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076F2FD" w14:textId="77777777" w:rsidR="009B2AC6" w:rsidRDefault="00000000">
      <w:pPr>
        <w:pStyle w:val="Title"/>
      </w:pPr>
      <w:bookmarkStart w:id="0" w:name="_uc571goa8ab8" w:colFirst="0" w:colLast="0"/>
      <w:bookmarkEnd w:id="0"/>
      <w:r>
        <w:t>Supplemental Information: Financial losses associated with US floods occur with surprisingly frequent, low return period precipitation</w:t>
      </w:r>
    </w:p>
    <w:p w14:paraId="4E54BF5B" w14:textId="77777777" w:rsidR="009B2AC6" w:rsidRDefault="00000000">
      <w:pPr>
        <w:pStyle w:val="Subtitle"/>
        <w:spacing w:line="276" w:lineRule="auto"/>
        <w:rPr>
          <w:rFonts w:ascii="Arial" w:eastAsia="Arial" w:hAnsi="Arial" w:cs="Arial"/>
        </w:rPr>
      </w:pPr>
      <w:bookmarkStart w:id="1" w:name="_wp58rl50ohan" w:colFirst="0" w:colLast="0"/>
      <w:bookmarkEnd w:id="1"/>
      <w:r>
        <w:rPr>
          <w:rFonts w:ascii="Arial" w:eastAsia="Arial" w:hAnsi="Arial" w:cs="Arial"/>
        </w:rPr>
        <w:t>Adam Nayak</w:t>
      </w:r>
      <w:r>
        <w:rPr>
          <w:rFonts w:ascii="Arial" w:eastAsia="Arial" w:hAnsi="Arial" w:cs="Arial"/>
          <w:vertAlign w:val="superscript"/>
        </w:rPr>
        <w:t>1,2,3</w:t>
      </w:r>
      <w:r>
        <w:rPr>
          <w:rFonts w:ascii="Arial" w:eastAsia="Arial" w:hAnsi="Arial" w:cs="Arial"/>
        </w:rPr>
        <w:t>, Pierre Gentine</w:t>
      </w:r>
      <w:r>
        <w:rPr>
          <w:rFonts w:ascii="Arial" w:eastAsia="Arial" w:hAnsi="Arial" w:cs="Arial"/>
          <w:vertAlign w:val="superscript"/>
        </w:rPr>
        <w:t>1,2,3</w:t>
      </w:r>
      <w:r>
        <w:rPr>
          <w:rFonts w:ascii="Arial" w:eastAsia="Arial" w:hAnsi="Arial" w:cs="Arial"/>
        </w:rPr>
        <w:t>, Upmanu Lall</w:t>
      </w:r>
      <w:r>
        <w:rPr>
          <w:rFonts w:ascii="Arial" w:eastAsia="Arial" w:hAnsi="Arial" w:cs="Arial"/>
          <w:vertAlign w:val="superscript"/>
        </w:rPr>
        <w:t>1,2,4,5</w:t>
      </w:r>
    </w:p>
    <w:p w14:paraId="243DF208" w14:textId="77777777" w:rsidR="009B2AC6" w:rsidRDefault="00000000">
      <w:pPr>
        <w:rPr>
          <w:sz w:val="20"/>
          <w:szCs w:val="20"/>
        </w:rPr>
      </w:pPr>
      <w:r>
        <w:rPr>
          <w:sz w:val="20"/>
          <w:szCs w:val="20"/>
          <w:vertAlign w:val="superscript"/>
        </w:rPr>
        <w:t xml:space="preserve">1 </w:t>
      </w:r>
      <w:r>
        <w:rPr>
          <w:sz w:val="20"/>
          <w:szCs w:val="20"/>
        </w:rPr>
        <w:t xml:space="preserve">Department of Earth and Environmental Engineering, Columbia University, New York, NY 10027, USA. </w:t>
      </w:r>
    </w:p>
    <w:p w14:paraId="777AECED" w14:textId="77777777" w:rsidR="009B2AC6" w:rsidRDefault="00000000">
      <w:pPr>
        <w:rPr>
          <w:sz w:val="20"/>
          <w:szCs w:val="20"/>
        </w:rPr>
      </w:pPr>
      <w:r>
        <w:rPr>
          <w:sz w:val="20"/>
          <w:szCs w:val="20"/>
          <w:vertAlign w:val="superscript"/>
        </w:rPr>
        <w:t xml:space="preserve">2 </w:t>
      </w:r>
      <w:r>
        <w:rPr>
          <w:sz w:val="20"/>
          <w:szCs w:val="20"/>
        </w:rPr>
        <w:t>Columbia Water Center, Columbia Climate School, Columbia University, New York, NY 10027, USA.</w:t>
      </w:r>
    </w:p>
    <w:p w14:paraId="41E04000" w14:textId="77777777" w:rsidR="009B2AC6" w:rsidRDefault="00000000">
      <w:pPr>
        <w:rPr>
          <w:sz w:val="20"/>
          <w:szCs w:val="20"/>
        </w:rPr>
      </w:pPr>
      <w:r>
        <w:rPr>
          <w:sz w:val="20"/>
          <w:szCs w:val="20"/>
          <w:vertAlign w:val="superscript"/>
        </w:rPr>
        <w:t xml:space="preserve">3 </w:t>
      </w:r>
      <w:r>
        <w:rPr>
          <w:sz w:val="20"/>
          <w:szCs w:val="20"/>
        </w:rPr>
        <w:t>Learning the Earth with Artificial Intelligence and Physics (LEAP) National Science Foundation Center, Columbia University, New York, NY 10027, USA.</w:t>
      </w:r>
    </w:p>
    <w:p w14:paraId="53041C3C" w14:textId="77777777" w:rsidR="009B2AC6" w:rsidRDefault="00000000">
      <w:pPr>
        <w:rPr>
          <w:sz w:val="20"/>
          <w:szCs w:val="20"/>
        </w:rPr>
      </w:pPr>
      <w:r>
        <w:rPr>
          <w:sz w:val="20"/>
          <w:szCs w:val="20"/>
          <w:vertAlign w:val="superscript"/>
        </w:rPr>
        <w:t xml:space="preserve">4 </w:t>
      </w:r>
      <w:r>
        <w:rPr>
          <w:sz w:val="20"/>
          <w:szCs w:val="20"/>
        </w:rPr>
        <w:t>School of Complex Adaptive Systems, Arizona State University, Tempe, AZ, 85281, USA.</w:t>
      </w:r>
    </w:p>
    <w:p w14:paraId="5FBC1AA3" w14:textId="77777777" w:rsidR="009B2AC6" w:rsidRDefault="00000000">
      <w:pPr>
        <w:rPr>
          <w:sz w:val="20"/>
          <w:szCs w:val="20"/>
        </w:rPr>
      </w:pPr>
      <w:r>
        <w:rPr>
          <w:sz w:val="20"/>
          <w:szCs w:val="20"/>
          <w:vertAlign w:val="superscript"/>
        </w:rPr>
        <w:t xml:space="preserve">5 </w:t>
      </w:r>
      <w:r>
        <w:rPr>
          <w:sz w:val="20"/>
          <w:szCs w:val="20"/>
        </w:rPr>
        <w:t>The Water Institute, Arizona State University, Tempe, AZ, 85281, USA.</w:t>
      </w:r>
    </w:p>
    <w:p w14:paraId="4E56CE2F" w14:textId="77777777" w:rsidR="009B2AC6" w:rsidRDefault="009B2AC6">
      <w:pPr>
        <w:rPr>
          <w:sz w:val="20"/>
          <w:szCs w:val="20"/>
        </w:rPr>
      </w:pPr>
    </w:p>
    <w:sdt>
      <w:sdtPr>
        <w:id w:val="2145007230"/>
        <w:docPartObj>
          <w:docPartGallery w:val="Table of Contents"/>
          <w:docPartUnique/>
        </w:docPartObj>
      </w:sdtPr>
      <w:sdtContent>
        <w:p w14:paraId="7330BB49" w14:textId="77777777" w:rsidR="009B2AC6" w:rsidRDefault="00000000">
          <w:pPr>
            <w:widowControl w:val="0"/>
            <w:tabs>
              <w:tab w:val="right" w:pos="12000"/>
            </w:tabs>
            <w:spacing w:before="60" w:line="240" w:lineRule="auto"/>
            <w:rPr>
              <w:rFonts w:ascii="Arial" w:eastAsia="Arial" w:hAnsi="Arial" w:cs="Arial"/>
              <w:b/>
              <w:color w:val="000000"/>
            </w:rPr>
          </w:pPr>
          <w:r>
            <w:fldChar w:fldCharType="begin"/>
          </w:r>
          <w:r>
            <w:instrText xml:space="preserve"> TOC \h \u \z \t "Heading 1,1,Heading 2,2,Heading 3,3,Heading 4,4,Heading 5,5,Heading 6,6,"</w:instrText>
          </w:r>
          <w:r>
            <w:fldChar w:fldCharType="separate"/>
          </w:r>
          <w:hyperlink w:anchor="_sh4ti9v0hbo7">
            <w:r>
              <w:rPr>
                <w:color w:val="000000"/>
              </w:rPr>
              <w:t>1) Summary of Datasets</w:t>
            </w:r>
            <w:r>
              <w:rPr>
                <w:color w:val="000000"/>
              </w:rPr>
              <w:tab/>
              <w:t>3</w:t>
            </w:r>
          </w:hyperlink>
        </w:p>
        <w:p w14:paraId="2F8DD409"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owvhxxx9awcj">
            <w:r>
              <w:rPr>
                <w:color w:val="000000"/>
              </w:rPr>
              <w:t>Table S3: Comprehensive Summary of Datasets Analyzed</w:t>
            </w:r>
            <w:r>
              <w:rPr>
                <w:color w:val="000000"/>
              </w:rPr>
              <w:tab/>
              <w:t>3</w:t>
            </w:r>
          </w:hyperlink>
        </w:p>
        <w:p w14:paraId="6F0C2220" w14:textId="77777777" w:rsidR="009B2AC6" w:rsidRDefault="00000000">
          <w:pPr>
            <w:widowControl w:val="0"/>
            <w:tabs>
              <w:tab w:val="right" w:pos="12000"/>
            </w:tabs>
            <w:spacing w:before="60" w:line="240" w:lineRule="auto"/>
            <w:rPr>
              <w:rFonts w:ascii="Arial" w:eastAsia="Arial" w:hAnsi="Arial" w:cs="Arial"/>
              <w:b/>
              <w:color w:val="000000"/>
            </w:rPr>
          </w:pPr>
          <w:hyperlink w:anchor="_h82rx95c96q">
            <w:r>
              <w:rPr>
                <w:color w:val="000000"/>
              </w:rPr>
              <w:t>2) Disaster Declaration Event Types</w:t>
            </w:r>
            <w:r>
              <w:rPr>
                <w:color w:val="000000"/>
              </w:rPr>
              <w:tab/>
              <w:t>4</w:t>
            </w:r>
          </w:hyperlink>
        </w:p>
        <w:p w14:paraId="3F86230E"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krzli6rjcmu9">
            <w:r>
              <w:rPr>
                <w:color w:val="000000"/>
              </w:rPr>
              <w:t>Table S2: FEMA Flood-Related Disaster Declaration Classifications</w:t>
            </w:r>
            <w:r>
              <w:rPr>
                <w:color w:val="000000"/>
              </w:rPr>
              <w:tab/>
              <w:t>4</w:t>
            </w:r>
          </w:hyperlink>
        </w:p>
        <w:p w14:paraId="17FBAC7A" w14:textId="77777777" w:rsidR="009B2AC6" w:rsidRDefault="00000000">
          <w:pPr>
            <w:widowControl w:val="0"/>
            <w:tabs>
              <w:tab w:val="right" w:pos="12000"/>
            </w:tabs>
            <w:spacing w:before="60" w:line="240" w:lineRule="auto"/>
            <w:rPr>
              <w:rFonts w:ascii="Arial" w:eastAsia="Arial" w:hAnsi="Arial" w:cs="Arial"/>
              <w:b/>
              <w:color w:val="000000"/>
            </w:rPr>
          </w:pPr>
          <w:hyperlink w:anchor="_iqbfut6fz8xu">
            <w:r>
              <w:rPr>
                <w:color w:val="000000"/>
              </w:rPr>
              <w:t>3) Urban-Rural Classification</w:t>
            </w:r>
            <w:r>
              <w:rPr>
                <w:color w:val="000000"/>
              </w:rPr>
              <w:tab/>
              <w:t>6</w:t>
            </w:r>
          </w:hyperlink>
        </w:p>
        <w:p w14:paraId="2D147660"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ae65rise55gv">
            <w:r>
              <w:rPr>
                <w:color w:val="000000"/>
              </w:rPr>
              <w:t>Table S3: CDC NCHS Urban-Rural Classification Scheme</w:t>
            </w:r>
            <w:r>
              <w:rPr>
                <w:color w:val="000000"/>
              </w:rPr>
              <w:tab/>
              <w:t>6</w:t>
            </w:r>
          </w:hyperlink>
        </w:p>
        <w:p w14:paraId="050E013E" w14:textId="77777777" w:rsidR="009B2AC6" w:rsidRDefault="00000000">
          <w:pPr>
            <w:widowControl w:val="0"/>
            <w:tabs>
              <w:tab w:val="right" w:pos="12000"/>
            </w:tabs>
            <w:spacing w:before="60" w:line="240" w:lineRule="auto"/>
            <w:rPr>
              <w:rFonts w:ascii="Arial" w:eastAsia="Arial" w:hAnsi="Arial" w:cs="Arial"/>
              <w:b/>
              <w:color w:val="000000"/>
            </w:rPr>
          </w:pPr>
          <w:hyperlink w:anchor="_xdmjwix1ake4">
            <w:r>
              <w:rPr>
                <w:color w:val="000000"/>
              </w:rPr>
              <w:t>4) ERA5: Max Daily Intercomparison</w:t>
            </w:r>
            <w:r>
              <w:rPr>
                <w:color w:val="000000"/>
              </w:rPr>
              <w:tab/>
              <w:t>7</w:t>
            </w:r>
          </w:hyperlink>
        </w:p>
        <w:p w14:paraId="05525C21"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lp5jk1g3qnve">
            <w:r>
              <w:rPr>
                <w:rFonts w:ascii="Arial" w:eastAsia="Arial" w:hAnsi="Arial" w:cs="Arial"/>
                <w:color w:val="000000"/>
              </w:rPr>
              <w:t>Figure E1: ERA5 Return Period Sensitivity to Event Duration</w:t>
            </w:r>
            <w:r>
              <w:rPr>
                <w:rFonts w:ascii="Arial" w:eastAsia="Arial" w:hAnsi="Arial" w:cs="Arial"/>
                <w:color w:val="000000"/>
              </w:rPr>
              <w:tab/>
              <w:t>8</w:t>
            </w:r>
          </w:hyperlink>
        </w:p>
        <w:p w14:paraId="43A4FEBB"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bd5kvfkfyznd">
            <w:r>
              <w:rPr>
                <w:color w:val="000000"/>
              </w:rPr>
              <w:t>Figure E2: ERA5 Spatial Distribution of Return Periods by Financing Type</w:t>
            </w:r>
            <w:r>
              <w:rPr>
                <w:color w:val="000000"/>
              </w:rPr>
              <w:tab/>
              <w:t>9</w:t>
            </w:r>
          </w:hyperlink>
        </w:p>
        <w:p w14:paraId="2BCD343C"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g3hadpok7zrj">
            <w:r>
              <w:rPr>
                <w:color w:val="000000"/>
              </w:rPr>
              <w:t>Figure E3: ERA5 Types of Flood-Related Presidential Declarations</w:t>
            </w:r>
            <w:r>
              <w:rPr>
                <w:color w:val="000000"/>
              </w:rPr>
              <w:tab/>
              <w:t>10</w:t>
            </w:r>
          </w:hyperlink>
        </w:p>
        <w:p w14:paraId="7A59B5A3"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c9r4a8vntj7o">
            <w:r>
              <w:rPr>
                <w:rFonts w:ascii="Arial" w:eastAsia="Arial" w:hAnsi="Arial" w:cs="Arial"/>
                <w:color w:val="000000"/>
              </w:rPr>
              <w:t>Figure E4: ERA5 Spatiotemporal Storm Clustering</w:t>
            </w:r>
            <w:r>
              <w:rPr>
                <w:rFonts w:ascii="Arial" w:eastAsia="Arial" w:hAnsi="Arial" w:cs="Arial"/>
                <w:color w:val="000000"/>
              </w:rPr>
              <w:tab/>
              <w:t>11</w:t>
            </w:r>
          </w:hyperlink>
        </w:p>
        <w:p w14:paraId="5E9A383B"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cdykeu8k5biz">
            <w:r>
              <w:rPr>
                <w:rFonts w:ascii="Arial" w:eastAsia="Arial" w:hAnsi="Arial" w:cs="Arial"/>
                <w:color w:val="000000"/>
              </w:rPr>
              <w:t>Figure E5: ERA5 Return Period Sensitivity to Spatiotemporal Clustering</w:t>
            </w:r>
            <w:r>
              <w:rPr>
                <w:rFonts w:ascii="Arial" w:eastAsia="Arial" w:hAnsi="Arial" w:cs="Arial"/>
                <w:color w:val="000000"/>
              </w:rPr>
              <w:tab/>
              <w:t>12</w:t>
            </w:r>
          </w:hyperlink>
        </w:p>
        <w:p w14:paraId="5D6C1F9A"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p4pkcknutvco">
            <w:r>
              <w:rPr>
                <w:color w:val="000000"/>
              </w:rPr>
              <w:t>Figure E7: ERA5 Summary of Costs and Return Periods by Financing Type</w:t>
            </w:r>
            <w:r>
              <w:rPr>
                <w:color w:val="000000"/>
              </w:rPr>
              <w:tab/>
              <w:t>13</w:t>
            </w:r>
          </w:hyperlink>
        </w:p>
        <w:p w14:paraId="18052D91" w14:textId="77777777" w:rsidR="009B2AC6" w:rsidRDefault="00000000">
          <w:pPr>
            <w:widowControl w:val="0"/>
            <w:tabs>
              <w:tab w:val="right" w:pos="12000"/>
            </w:tabs>
            <w:spacing w:before="60" w:line="240" w:lineRule="auto"/>
            <w:rPr>
              <w:rFonts w:ascii="Arial" w:eastAsia="Arial" w:hAnsi="Arial" w:cs="Arial"/>
              <w:b/>
              <w:color w:val="000000"/>
            </w:rPr>
          </w:pPr>
          <w:hyperlink w:anchor="_8fl8ct20ay2y">
            <w:r>
              <w:rPr>
                <w:color w:val="000000"/>
              </w:rPr>
              <w:t>5) MSWEP: Sensitivity to Event Duration</w:t>
            </w:r>
            <w:r>
              <w:rPr>
                <w:color w:val="000000"/>
              </w:rPr>
              <w:tab/>
              <w:t>14</w:t>
            </w:r>
          </w:hyperlink>
        </w:p>
        <w:p w14:paraId="19B1C641" w14:textId="77777777" w:rsidR="009B2AC6" w:rsidRDefault="00000000">
          <w:pPr>
            <w:widowControl w:val="0"/>
            <w:tabs>
              <w:tab w:val="right" w:pos="12000"/>
            </w:tabs>
            <w:spacing w:before="60" w:line="240" w:lineRule="auto"/>
            <w:ind w:left="360"/>
            <w:rPr>
              <w:rFonts w:ascii="Arial" w:eastAsia="Arial" w:hAnsi="Arial" w:cs="Arial"/>
              <w:color w:val="000000"/>
            </w:rPr>
          </w:pPr>
          <w:hyperlink w:anchor="_ltej98z155du">
            <w:r>
              <w:rPr>
                <w:rFonts w:ascii="Arial" w:eastAsia="Arial" w:hAnsi="Arial" w:cs="Arial"/>
                <w:color w:val="000000"/>
              </w:rPr>
              <w:t>A) Three-Day</w:t>
            </w:r>
            <w:r>
              <w:rPr>
                <w:rFonts w:ascii="Arial" w:eastAsia="Arial" w:hAnsi="Arial" w:cs="Arial"/>
                <w:color w:val="000000"/>
              </w:rPr>
              <w:tab/>
              <w:t>15</w:t>
            </w:r>
          </w:hyperlink>
        </w:p>
        <w:p w14:paraId="540F7664"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3tat7ut0yxvu">
            <w:r>
              <w:rPr>
                <w:color w:val="000000"/>
              </w:rPr>
              <w:t>Figure D2: Max 3-Day  Spatial Distribution of Return Periods by Financing Type</w:t>
            </w:r>
            <w:r>
              <w:rPr>
                <w:color w:val="000000"/>
              </w:rPr>
              <w:tab/>
              <w:t>15</w:t>
            </w:r>
          </w:hyperlink>
        </w:p>
        <w:p w14:paraId="703DBECE"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w0ym8wfnsf2m">
            <w:r>
              <w:rPr>
                <w:color w:val="000000"/>
              </w:rPr>
              <w:t>Figure D3: Max 3-Day Types of Flood-Related Presidential Declarations</w:t>
            </w:r>
            <w:r>
              <w:rPr>
                <w:color w:val="000000"/>
              </w:rPr>
              <w:tab/>
              <w:t>16</w:t>
            </w:r>
          </w:hyperlink>
        </w:p>
        <w:p w14:paraId="0BCDD4EF"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jcg3uir3h7xv">
            <w:r>
              <w:rPr>
                <w:rFonts w:ascii="Arial" w:eastAsia="Arial" w:hAnsi="Arial" w:cs="Arial"/>
                <w:color w:val="000000"/>
              </w:rPr>
              <w:t>Figure D4: Max 3-Day Spatiotemporal Storm Clustering</w:t>
            </w:r>
            <w:r>
              <w:rPr>
                <w:rFonts w:ascii="Arial" w:eastAsia="Arial" w:hAnsi="Arial" w:cs="Arial"/>
                <w:color w:val="000000"/>
              </w:rPr>
              <w:tab/>
              <w:t>17</w:t>
            </w:r>
          </w:hyperlink>
        </w:p>
        <w:p w14:paraId="726E7E1B"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yxryaze3f0mj">
            <w:r>
              <w:rPr>
                <w:rFonts w:ascii="Arial" w:eastAsia="Arial" w:hAnsi="Arial" w:cs="Arial"/>
                <w:color w:val="000000"/>
              </w:rPr>
              <w:t>Figure D5: Max 3-Day Return Period Sensitivity to Spatiotemporal Clustering</w:t>
            </w:r>
            <w:r>
              <w:rPr>
                <w:rFonts w:ascii="Arial" w:eastAsia="Arial" w:hAnsi="Arial" w:cs="Arial"/>
                <w:color w:val="000000"/>
              </w:rPr>
              <w:tab/>
              <w:t>18</w:t>
            </w:r>
          </w:hyperlink>
        </w:p>
        <w:p w14:paraId="13E8D53C"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pe8c5c5rmt4x">
            <w:r>
              <w:rPr>
                <w:color w:val="000000"/>
              </w:rPr>
              <w:t>Figure D7: Max 3-Day Summary of Costs and Return Periods by Financing Type</w:t>
            </w:r>
            <w:r>
              <w:rPr>
                <w:color w:val="000000"/>
              </w:rPr>
              <w:tab/>
              <w:t>19</w:t>
            </w:r>
          </w:hyperlink>
        </w:p>
        <w:p w14:paraId="66492933" w14:textId="77777777" w:rsidR="009B2AC6" w:rsidRDefault="00000000">
          <w:pPr>
            <w:widowControl w:val="0"/>
            <w:tabs>
              <w:tab w:val="right" w:pos="12000"/>
            </w:tabs>
            <w:spacing w:before="60" w:line="240" w:lineRule="auto"/>
            <w:ind w:left="360"/>
            <w:rPr>
              <w:rFonts w:ascii="Arial" w:eastAsia="Arial" w:hAnsi="Arial" w:cs="Arial"/>
              <w:color w:val="000000"/>
            </w:rPr>
          </w:pPr>
          <w:hyperlink w:anchor="_2imq9wt0c62f">
            <w:r>
              <w:rPr>
                <w:rFonts w:ascii="Arial" w:eastAsia="Arial" w:hAnsi="Arial" w:cs="Arial"/>
                <w:color w:val="000000"/>
              </w:rPr>
              <w:t>B) Weekly</w:t>
            </w:r>
            <w:r>
              <w:rPr>
                <w:rFonts w:ascii="Arial" w:eastAsia="Arial" w:hAnsi="Arial" w:cs="Arial"/>
                <w:color w:val="000000"/>
              </w:rPr>
              <w:tab/>
              <w:t>20</w:t>
            </w:r>
          </w:hyperlink>
        </w:p>
        <w:p w14:paraId="1FBE7188"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8egp4ups60m7">
            <w:r>
              <w:rPr>
                <w:color w:val="000000"/>
              </w:rPr>
              <w:t>Figure W2: Weekly Spatial Distribution of Return Periods by Financing Type</w:t>
            </w:r>
            <w:r>
              <w:rPr>
                <w:color w:val="000000"/>
              </w:rPr>
              <w:tab/>
              <w:t>20</w:t>
            </w:r>
          </w:hyperlink>
        </w:p>
        <w:p w14:paraId="68162660"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bhnwdlawh0b7">
            <w:r>
              <w:rPr>
                <w:color w:val="000000"/>
              </w:rPr>
              <w:t>Figure W3: Weekly Types of Flood-Related Presidential Declarations</w:t>
            </w:r>
            <w:r>
              <w:rPr>
                <w:color w:val="000000"/>
              </w:rPr>
              <w:tab/>
              <w:t>21</w:t>
            </w:r>
          </w:hyperlink>
        </w:p>
        <w:p w14:paraId="34CB2504"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6czr77pqafva">
            <w:r>
              <w:rPr>
                <w:rFonts w:ascii="Arial" w:eastAsia="Arial" w:hAnsi="Arial" w:cs="Arial"/>
                <w:color w:val="000000"/>
              </w:rPr>
              <w:t>Figure W4: Weekly Spatiotemporal Storm Clustering</w:t>
            </w:r>
            <w:r>
              <w:rPr>
                <w:rFonts w:ascii="Arial" w:eastAsia="Arial" w:hAnsi="Arial" w:cs="Arial"/>
                <w:color w:val="000000"/>
              </w:rPr>
              <w:tab/>
              <w:t>22</w:t>
            </w:r>
          </w:hyperlink>
        </w:p>
        <w:p w14:paraId="7057D2C2"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y6kvvnc4c9w">
            <w:r>
              <w:rPr>
                <w:rFonts w:ascii="Arial" w:eastAsia="Arial" w:hAnsi="Arial" w:cs="Arial"/>
                <w:color w:val="000000"/>
              </w:rPr>
              <w:t>Figure W5: Weekly Return Period Sensitivity to Spatiotemporal Clustering</w:t>
            </w:r>
            <w:r>
              <w:rPr>
                <w:rFonts w:ascii="Arial" w:eastAsia="Arial" w:hAnsi="Arial" w:cs="Arial"/>
                <w:color w:val="000000"/>
              </w:rPr>
              <w:tab/>
              <w:t>23</w:t>
            </w:r>
          </w:hyperlink>
        </w:p>
        <w:p w14:paraId="743D412D"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wc9q67lsjcu">
            <w:r>
              <w:rPr>
                <w:color w:val="000000"/>
              </w:rPr>
              <w:t>Figure W7: Weekly Summary of Costs and Return Periods by Financing Type</w:t>
            </w:r>
            <w:r>
              <w:rPr>
                <w:color w:val="000000"/>
              </w:rPr>
              <w:tab/>
              <w:t>24</w:t>
            </w:r>
          </w:hyperlink>
        </w:p>
        <w:p w14:paraId="6CFA6058" w14:textId="77777777" w:rsidR="009B2AC6" w:rsidRDefault="00000000">
          <w:pPr>
            <w:widowControl w:val="0"/>
            <w:tabs>
              <w:tab w:val="right" w:pos="12000"/>
            </w:tabs>
            <w:spacing w:before="60" w:line="240" w:lineRule="auto"/>
            <w:ind w:left="360"/>
            <w:rPr>
              <w:rFonts w:ascii="Arial" w:eastAsia="Arial" w:hAnsi="Arial" w:cs="Arial"/>
              <w:color w:val="000000"/>
            </w:rPr>
          </w:pPr>
          <w:hyperlink w:anchor="_jpljz68prqp5">
            <w:r>
              <w:rPr>
                <w:rFonts w:ascii="Arial" w:eastAsia="Arial" w:hAnsi="Arial" w:cs="Arial"/>
                <w:color w:val="000000"/>
              </w:rPr>
              <w:t>C) Monthly</w:t>
            </w:r>
            <w:r>
              <w:rPr>
                <w:rFonts w:ascii="Arial" w:eastAsia="Arial" w:hAnsi="Arial" w:cs="Arial"/>
                <w:color w:val="000000"/>
              </w:rPr>
              <w:tab/>
              <w:t>25</w:t>
            </w:r>
          </w:hyperlink>
        </w:p>
        <w:p w14:paraId="5C4EF9B1"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u6br3h4vnrwo">
            <w:r>
              <w:rPr>
                <w:color w:val="000000"/>
              </w:rPr>
              <w:t>Figure M2: Monthly Spatial Distribution of Return Periods by Financing Type</w:t>
            </w:r>
            <w:r>
              <w:rPr>
                <w:color w:val="000000"/>
              </w:rPr>
              <w:tab/>
              <w:t>25</w:t>
            </w:r>
          </w:hyperlink>
        </w:p>
        <w:p w14:paraId="5CCDE087"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w9yzt5qlebzb">
            <w:r>
              <w:rPr>
                <w:color w:val="000000"/>
              </w:rPr>
              <w:t>Figure M3: Monthly Types of Flood-Related Presidential Declarations</w:t>
            </w:r>
            <w:r>
              <w:rPr>
                <w:color w:val="000000"/>
              </w:rPr>
              <w:tab/>
              <w:t>26</w:t>
            </w:r>
          </w:hyperlink>
        </w:p>
        <w:p w14:paraId="612B8417"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plhop3vygg3r">
            <w:r>
              <w:rPr>
                <w:rFonts w:ascii="Arial" w:eastAsia="Arial" w:hAnsi="Arial" w:cs="Arial"/>
                <w:color w:val="000000"/>
              </w:rPr>
              <w:t>Figure M4: Monthly Spatiotemporal Storm Clustering</w:t>
            </w:r>
            <w:r>
              <w:rPr>
                <w:rFonts w:ascii="Arial" w:eastAsia="Arial" w:hAnsi="Arial" w:cs="Arial"/>
                <w:color w:val="000000"/>
              </w:rPr>
              <w:tab/>
              <w:t>27</w:t>
            </w:r>
          </w:hyperlink>
        </w:p>
        <w:p w14:paraId="5D775985"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3t5nxfesxymn">
            <w:r>
              <w:rPr>
                <w:rFonts w:ascii="Arial" w:eastAsia="Arial" w:hAnsi="Arial" w:cs="Arial"/>
                <w:color w:val="000000"/>
              </w:rPr>
              <w:t>Figure M5: Monthly Return Period Sensitivity to Spatiotemporal Clustering</w:t>
            </w:r>
            <w:r>
              <w:rPr>
                <w:rFonts w:ascii="Arial" w:eastAsia="Arial" w:hAnsi="Arial" w:cs="Arial"/>
                <w:color w:val="000000"/>
              </w:rPr>
              <w:tab/>
              <w:t>28</w:t>
            </w:r>
          </w:hyperlink>
        </w:p>
        <w:p w14:paraId="46B22420"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4fzu39yvokje">
            <w:r>
              <w:rPr>
                <w:color w:val="000000"/>
              </w:rPr>
              <w:t>Figure M7: Monthly Summary of Costs and Return Periods by Financing Type</w:t>
            </w:r>
            <w:r>
              <w:rPr>
                <w:color w:val="000000"/>
              </w:rPr>
              <w:tab/>
              <w:t>29</w:t>
            </w:r>
          </w:hyperlink>
        </w:p>
        <w:p w14:paraId="3B20AD2D" w14:textId="77777777" w:rsidR="009B2AC6" w:rsidRDefault="00000000">
          <w:pPr>
            <w:widowControl w:val="0"/>
            <w:tabs>
              <w:tab w:val="right" w:pos="12000"/>
            </w:tabs>
            <w:spacing w:before="60" w:line="240" w:lineRule="auto"/>
            <w:rPr>
              <w:rFonts w:ascii="Arial" w:eastAsia="Arial" w:hAnsi="Arial" w:cs="Arial"/>
              <w:b/>
              <w:color w:val="000000"/>
            </w:rPr>
          </w:pPr>
          <w:hyperlink w:anchor="_1w1fxunuzk11">
            <w:r>
              <w:rPr>
                <w:color w:val="000000"/>
              </w:rPr>
              <w:t>6) PRISM: Monthly Percentile and Return Period Intercomparison</w:t>
            </w:r>
            <w:r>
              <w:rPr>
                <w:color w:val="000000"/>
              </w:rPr>
              <w:tab/>
              <w:t>30</w:t>
            </w:r>
          </w:hyperlink>
        </w:p>
        <w:p w14:paraId="6FA0711C"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5ezlfvtvvyf0">
            <w:r>
              <w:rPr>
                <w:color w:val="000000"/>
              </w:rPr>
              <w:t>Figure S4: Intercomparison of Percentiles/Return Periods Across Datasets</w:t>
            </w:r>
            <w:r>
              <w:rPr>
                <w:color w:val="000000"/>
              </w:rPr>
              <w:tab/>
              <w:t>30</w:t>
            </w:r>
          </w:hyperlink>
        </w:p>
        <w:p w14:paraId="7920303C" w14:textId="77777777" w:rsidR="009B2AC6" w:rsidRDefault="00000000">
          <w:pPr>
            <w:widowControl w:val="0"/>
            <w:tabs>
              <w:tab w:val="right" w:pos="12000"/>
            </w:tabs>
            <w:spacing w:before="60" w:line="240" w:lineRule="auto"/>
            <w:rPr>
              <w:rFonts w:ascii="Arial" w:eastAsia="Arial" w:hAnsi="Arial" w:cs="Arial"/>
              <w:b/>
              <w:color w:val="000000"/>
            </w:rPr>
          </w:pPr>
          <w:hyperlink w:anchor="_sfbvt4hvnoky">
            <w:r>
              <w:rPr>
                <w:rFonts w:ascii="Arial" w:eastAsia="Arial" w:hAnsi="Arial" w:cs="Arial"/>
                <w:color w:val="000000"/>
              </w:rPr>
              <w:t>7) ST-DBSCAN Parameterization Sensitivity Analysis</w:t>
            </w:r>
            <w:r>
              <w:rPr>
                <w:rFonts w:ascii="Arial" w:eastAsia="Arial" w:hAnsi="Arial" w:cs="Arial"/>
                <w:color w:val="000000"/>
              </w:rPr>
              <w:tab/>
              <w:t>31</w:t>
            </w:r>
          </w:hyperlink>
        </w:p>
        <w:p w14:paraId="62E771BE" w14:textId="77777777" w:rsidR="009B2AC6" w:rsidRDefault="00000000">
          <w:pPr>
            <w:widowControl w:val="0"/>
            <w:tabs>
              <w:tab w:val="right" w:pos="12000"/>
            </w:tabs>
            <w:spacing w:before="60" w:line="240" w:lineRule="auto"/>
            <w:ind w:left="360"/>
            <w:rPr>
              <w:rFonts w:ascii="Arial" w:eastAsia="Arial" w:hAnsi="Arial" w:cs="Arial"/>
              <w:color w:val="000000"/>
            </w:rPr>
          </w:pPr>
          <w:hyperlink w:anchor="_qnzomyyz2tcp">
            <w:r>
              <w:rPr>
                <w:rFonts w:ascii="Arial" w:eastAsia="Arial" w:hAnsi="Arial" w:cs="Arial"/>
                <w:color w:val="000000"/>
              </w:rPr>
              <w:t>A) Damage and Return Period</w:t>
            </w:r>
            <w:r>
              <w:rPr>
                <w:rFonts w:ascii="Arial" w:eastAsia="Arial" w:hAnsi="Arial" w:cs="Arial"/>
                <w:color w:val="000000"/>
              </w:rPr>
              <w:tab/>
              <w:t>32</w:t>
            </w:r>
          </w:hyperlink>
        </w:p>
        <w:p w14:paraId="64038147"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36tx6uec6s90">
            <w:r>
              <w:rPr>
                <w:rFonts w:ascii="Arial" w:eastAsia="Arial" w:hAnsi="Arial" w:cs="Arial"/>
                <w:color w:val="000000"/>
              </w:rPr>
              <w:t>Figure S5: Correlation Between Damage and Return Period</w:t>
            </w:r>
            <w:r>
              <w:rPr>
                <w:rFonts w:ascii="Arial" w:eastAsia="Arial" w:hAnsi="Arial" w:cs="Arial"/>
                <w:color w:val="000000"/>
              </w:rPr>
              <w:tab/>
              <w:t>32</w:t>
            </w:r>
          </w:hyperlink>
        </w:p>
        <w:p w14:paraId="75837946" w14:textId="77777777" w:rsidR="009B2AC6" w:rsidRDefault="00000000">
          <w:pPr>
            <w:widowControl w:val="0"/>
            <w:tabs>
              <w:tab w:val="right" w:pos="12000"/>
            </w:tabs>
            <w:spacing w:before="60" w:line="240" w:lineRule="auto"/>
            <w:ind w:left="360"/>
            <w:rPr>
              <w:rFonts w:ascii="Arial" w:eastAsia="Arial" w:hAnsi="Arial" w:cs="Arial"/>
              <w:color w:val="000000"/>
            </w:rPr>
          </w:pPr>
          <w:hyperlink w:anchor="_qshk3jiaul3t">
            <w:r>
              <w:rPr>
                <w:rFonts w:ascii="Arial" w:eastAsia="Arial" w:hAnsi="Arial" w:cs="Arial"/>
                <w:color w:val="000000"/>
              </w:rPr>
              <w:t>B) Sensitivity Analysis: Cluster Attributes</w:t>
            </w:r>
            <w:r>
              <w:rPr>
                <w:rFonts w:ascii="Arial" w:eastAsia="Arial" w:hAnsi="Arial" w:cs="Arial"/>
                <w:color w:val="000000"/>
              </w:rPr>
              <w:tab/>
              <w:t>32</w:t>
            </w:r>
          </w:hyperlink>
        </w:p>
        <w:p w14:paraId="4FD075A1" w14:textId="77777777" w:rsidR="009B2AC6" w:rsidRDefault="00000000">
          <w:pPr>
            <w:widowControl w:val="0"/>
            <w:tabs>
              <w:tab w:val="right" w:pos="12000"/>
            </w:tabs>
            <w:spacing w:before="60" w:line="240" w:lineRule="auto"/>
            <w:rPr>
              <w:rFonts w:ascii="Arial" w:eastAsia="Arial" w:hAnsi="Arial" w:cs="Arial"/>
              <w:b/>
              <w:color w:val="000000"/>
            </w:rPr>
          </w:pPr>
          <w:hyperlink w:anchor="_2zasfetex67p">
            <w:r>
              <w:rPr>
                <w:color w:val="000000"/>
              </w:rPr>
              <w:t>8) Nonstationary GEV Duration Sensitivity</w:t>
            </w:r>
            <w:r>
              <w:rPr>
                <w:color w:val="000000"/>
              </w:rPr>
              <w:tab/>
              <w:t>32</w:t>
            </w:r>
          </w:hyperlink>
        </w:p>
        <w:p w14:paraId="0B3D7D6E" w14:textId="77777777" w:rsidR="009B2AC6" w:rsidRDefault="00000000">
          <w:pPr>
            <w:widowControl w:val="0"/>
            <w:tabs>
              <w:tab w:val="right" w:pos="12000"/>
            </w:tabs>
            <w:spacing w:before="60" w:line="240" w:lineRule="auto"/>
            <w:ind w:left="360"/>
            <w:rPr>
              <w:rFonts w:ascii="Arial" w:eastAsia="Arial" w:hAnsi="Arial" w:cs="Arial"/>
              <w:color w:val="000000"/>
            </w:rPr>
          </w:pPr>
          <w:hyperlink w:anchor="_amvldafw4mk0">
            <w:r>
              <w:rPr>
                <w:rFonts w:ascii="Arial" w:eastAsia="Arial" w:hAnsi="Arial" w:cs="Arial"/>
                <w:color w:val="000000"/>
              </w:rPr>
              <w:t>A) Mann-Kendall Test for Nonstationary Clusters</w:t>
            </w:r>
            <w:r>
              <w:rPr>
                <w:rFonts w:ascii="Arial" w:eastAsia="Arial" w:hAnsi="Arial" w:cs="Arial"/>
                <w:color w:val="000000"/>
              </w:rPr>
              <w:tab/>
              <w:t>32</w:t>
            </w:r>
          </w:hyperlink>
        </w:p>
        <w:p w14:paraId="51019391" w14:textId="77777777" w:rsidR="009B2AC6" w:rsidRDefault="00000000">
          <w:pPr>
            <w:widowControl w:val="0"/>
            <w:tabs>
              <w:tab w:val="right" w:pos="12000"/>
            </w:tabs>
            <w:spacing w:before="60" w:line="240" w:lineRule="auto"/>
            <w:ind w:left="360"/>
            <w:rPr>
              <w:rFonts w:ascii="Arial" w:eastAsia="Arial" w:hAnsi="Arial" w:cs="Arial"/>
              <w:color w:val="000000"/>
            </w:rPr>
          </w:pPr>
          <w:hyperlink w:anchor="_t70fmoyyj1um">
            <w:r>
              <w:rPr>
                <w:rFonts w:ascii="Arial" w:eastAsia="Arial" w:hAnsi="Arial" w:cs="Arial"/>
                <w:color w:val="000000"/>
              </w:rPr>
              <w:t>B) Nonstationary Analysis for Three-Day Event Duration</w:t>
            </w:r>
            <w:r>
              <w:rPr>
                <w:rFonts w:ascii="Arial" w:eastAsia="Arial" w:hAnsi="Arial" w:cs="Arial"/>
                <w:color w:val="000000"/>
              </w:rPr>
              <w:tab/>
              <w:t>32</w:t>
            </w:r>
          </w:hyperlink>
        </w:p>
        <w:p w14:paraId="4486FAC4"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mkkedqyo9wf">
            <w:r>
              <w:rPr>
                <w:rFonts w:ascii="Arial" w:eastAsia="Arial" w:hAnsi="Arial" w:cs="Arial"/>
                <w:color w:val="000000"/>
              </w:rPr>
              <w:t>Figure D6: Three-Day Nonstationarity Sensitivity in Intensity Distributions</w:t>
            </w:r>
            <w:r>
              <w:rPr>
                <w:rFonts w:ascii="Arial" w:eastAsia="Arial" w:hAnsi="Arial" w:cs="Arial"/>
                <w:color w:val="000000"/>
              </w:rPr>
              <w:tab/>
              <w:t>33</w:t>
            </w:r>
          </w:hyperlink>
        </w:p>
        <w:p w14:paraId="094F09EC" w14:textId="77777777" w:rsidR="009B2AC6" w:rsidRDefault="00000000">
          <w:pPr>
            <w:widowControl w:val="0"/>
            <w:tabs>
              <w:tab w:val="right" w:pos="12000"/>
            </w:tabs>
            <w:spacing w:before="60" w:line="240" w:lineRule="auto"/>
            <w:ind w:left="360"/>
            <w:rPr>
              <w:rFonts w:ascii="Arial" w:eastAsia="Arial" w:hAnsi="Arial" w:cs="Arial"/>
              <w:color w:val="000000"/>
            </w:rPr>
          </w:pPr>
          <w:hyperlink w:anchor="_52mrsup7jap4">
            <w:r>
              <w:rPr>
                <w:rFonts w:ascii="Arial" w:eastAsia="Arial" w:hAnsi="Arial" w:cs="Arial"/>
                <w:color w:val="000000"/>
              </w:rPr>
              <w:t>C) Extended Nonstationary GEV</w:t>
            </w:r>
            <w:r>
              <w:rPr>
                <w:rFonts w:ascii="Arial" w:eastAsia="Arial" w:hAnsi="Arial" w:cs="Arial"/>
                <w:color w:val="000000"/>
              </w:rPr>
              <w:tab/>
              <w:t>34</w:t>
            </w:r>
          </w:hyperlink>
        </w:p>
        <w:p w14:paraId="383C589C"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t0k2whemwrxc">
            <w:r>
              <w:rPr>
                <w:color w:val="000000"/>
              </w:rPr>
              <w:t>Figure E6: Extended Nonstationarity Sensitivity in Intensity Distributions</w:t>
            </w:r>
            <w:r>
              <w:rPr>
                <w:color w:val="000000"/>
              </w:rPr>
              <w:tab/>
              <w:t>34</w:t>
            </w:r>
          </w:hyperlink>
        </w:p>
        <w:p w14:paraId="7E202326" w14:textId="77777777" w:rsidR="009B2AC6" w:rsidRDefault="00000000">
          <w:pPr>
            <w:widowControl w:val="0"/>
            <w:tabs>
              <w:tab w:val="right" w:pos="12000"/>
            </w:tabs>
            <w:spacing w:before="60" w:line="240" w:lineRule="auto"/>
            <w:rPr>
              <w:rFonts w:ascii="Arial" w:eastAsia="Arial" w:hAnsi="Arial" w:cs="Arial"/>
              <w:b/>
              <w:color w:val="000000"/>
            </w:rPr>
          </w:pPr>
          <w:hyperlink w:anchor="_we230yzidh1">
            <w:r>
              <w:rPr>
                <w:color w:val="000000"/>
              </w:rPr>
              <w:t>9) Raw Precipitation: Monthly Dataset Intercomparison</w:t>
            </w:r>
            <w:r>
              <w:rPr>
                <w:color w:val="000000"/>
              </w:rPr>
              <w:tab/>
              <w:t>35</w:t>
            </w:r>
          </w:hyperlink>
        </w:p>
        <w:p w14:paraId="31F157C6"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h2ea0i5cpak">
            <w:r>
              <w:rPr>
                <w:color w:val="000000"/>
              </w:rPr>
              <w:t>Figure S1: Distribution Comparison of Gridded Raw Precipitation for Claims</w:t>
            </w:r>
            <w:r>
              <w:rPr>
                <w:color w:val="000000"/>
              </w:rPr>
              <w:tab/>
              <w:t>36</w:t>
            </w:r>
          </w:hyperlink>
        </w:p>
        <w:p w14:paraId="12C12139" w14:textId="77777777" w:rsidR="009B2AC6" w:rsidRDefault="00000000">
          <w:pPr>
            <w:widowControl w:val="0"/>
            <w:tabs>
              <w:tab w:val="right" w:pos="12000"/>
            </w:tabs>
            <w:spacing w:before="60" w:line="240" w:lineRule="auto"/>
            <w:ind w:left="720"/>
            <w:rPr>
              <w:rFonts w:ascii="Arial" w:eastAsia="Arial" w:hAnsi="Arial" w:cs="Arial"/>
              <w:color w:val="000000"/>
            </w:rPr>
          </w:pPr>
          <w:hyperlink w:anchor="_t7uoqgp310hc">
            <w:r>
              <w:rPr>
                <w:color w:val="000000"/>
              </w:rPr>
              <w:t>Figure S2: Spatial Comparison of Gridded Raw Precipitation for Claims</w:t>
            </w:r>
            <w:r>
              <w:rPr>
                <w:color w:val="000000"/>
              </w:rPr>
              <w:tab/>
              <w:t>37</w:t>
            </w:r>
          </w:hyperlink>
        </w:p>
        <w:p w14:paraId="16243677" w14:textId="77777777" w:rsidR="009B2AC6" w:rsidRDefault="00000000">
          <w:pPr>
            <w:widowControl w:val="0"/>
            <w:tabs>
              <w:tab w:val="right" w:pos="12000"/>
            </w:tabs>
            <w:spacing w:before="60" w:line="240" w:lineRule="auto"/>
            <w:rPr>
              <w:rFonts w:ascii="Arial" w:eastAsia="Arial" w:hAnsi="Arial" w:cs="Arial"/>
              <w:b/>
              <w:color w:val="000000"/>
            </w:rPr>
          </w:pPr>
          <w:hyperlink w:anchor="_o9061ionwr2a">
            <w:r>
              <w:rPr>
                <w:color w:val="000000"/>
              </w:rPr>
              <w:t>10) Additional References</w:t>
            </w:r>
            <w:r>
              <w:rPr>
                <w:color w:val="000000"/>
              </w:rPr>
              <w:tab/>
              <w:t>37</w:t>
            </w:r>
          </w:hyperlink>
          <w:r>
            <w:fldChar w:fldCharType="end"/>
          </w:r>
        </w:p>
      </w:sdtContent>
    </w:sdt>
    <w:p w14:paraId="064A33E6" w14:textId="77777777" w:rsidR="009B2AC6" w:rsidRDefault="00000000">
      <w:pPr>
        <w:pStyle w:val="Heading1"/>
      </w:pPr>
      <w:bookmarkStart w:id="2" w:name="_1liasm6fws5p" w:colFirst="0" w:colLast="0"/>
      <w:bookmarkEnd w:id="2"/>
      <w:r>
        <w:br w:type="page"/>
      </w:r>
    </w:p>
    <w:p w14:paraId="67B5A8AA" w14:textId="77777777" w:rsidR="009B2AC6" w:rsidRDefault="00000000">
      <w:pPr>
        <w:pStyle w:val="Heading1"/>
      </w:pPr>
      <w:bookmarkStart w:id="3" w:name="_sh4ti9v0hbo7" w:colFirst="0" w:colLast="0"/>
      <w:bookmarkEnd w:id="3"/>
      <w:r>
        <w:lastRenderedPageBreak/>
        <w:t>1) Summary of Datasets</w:t>
      </w:r>
    </w:p>
    <w:p w14:paraId="3F145EBF" w14:textId="77777777" w:rsidR="009B2AC6" w:rsidRDefault="00000000">
      <w:r>
        <w:t xml:space="preserve">We provide a comprehensive overview of all datasets used in attaining our results in Table S3. All sources provided below are publicly available. Processed datasets can be accessed from our </w:t>
      </w:r>
      <w:hyperlink r:id="rId6">
        <w:r>
          <w:rPr>
            <w:color w:val="1155CC"/>
            <w:u w:val="single"/>
          </w:rPr>
          <w:t>GitHub</w:t>
        </w:r>
      </w:hyperlink>
      <w:r>
        <w:t>.</w:t>
      </w:r>
    </w:p>
    <w:p w14:paraId="0B8388D3" w14:textId="77777777" w:rsidR="009B2AC6" w:rsidRDefault="00000000">
      <w:pPr>
        <w:pStyle w:val="Heading3"/>
      </w:pPr>
      <w:bookmarkStart w:id="4" w:name="_owvhxxx9awcj" w:colFirst="0" w:colLast="0"/>
      <w:bookmarkEnd w:id="4"/>
      <w:r>
        <w:t>Table S3: Comprehensive Summary of Datasets Analyzed</w:t>
      </w:r>
    </w:p>
    <w:tbl>
      <w:tblPr>
        <w:tblStyle w:val="a"/>
        <w:tblW w:w="99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85"/>
        <w:gridCol w:w="1860"/>
        <w:gridCol w:w="3105"/>
        <w:gridCol w:w="1650"/>
      </w:tblGrid>
      <w:tr w:rsidR="009B2AC6" w14:paraId="1320D0AD" w14:textId="77777777">
        <w:tc>
          <w:tcPr>
            <w:tcW w:w="3285" w:type="dxa"/>
            <w:shd w:val="clear" w:color="auto" w:fill="auto"/>
            <w:tcMar>
              <w:top w:w="100" w:type="dxa"/>
              <w:left w:w="100" w:type="dxa"/>
              <w:bottom w:w="100" w:type="dxa"/>
              <w:right w:w="100" w:type="dxa"/>
            </w:tcMar>
          </w:tcPr>
          <w:p w14:paraId="5024CC69" w14:textId="77777777" w:rsidR="009B2AC6" w:rsidRDefault="00000000">
            <w:pPr>
              <w:widowControl w:val="0"/>
              <w:pBdr>
                <w:top w:val="nil"/>
                <w:left w:val="nil"/>
                <w:bottom w:val="nil"/>
                <w:right w:val="nil"/>
                <w:between w:val="nil"/>
              </w:pBdr>
              <w:spacing w:line="240" w:lineRule="auto"/>
              <w:rPr>
                <w:b/>
              </w:rPr>
            </w:pPr>
            <w:r>
              <w:rPr>
                <w:b/>
              </w:rPr>
              <w:t>Name</w:t>
            </w:r>
          </w:p>
        </w:tc>
        <w:tc>
          <w:tcPr>
            <w:tcW w:w="1860" w:type="dxa"/>
            <w:shd w:val="clear" w:color="auto" w:fill="auto"/>
            <w:tcMar>
              <w:top w:w="100" w:type="dxa"/>
              <w:left w:w="100" w:type="dxa"/>
              <w:bottom w:w="100" w:type="dxa"/>
              <w:right w:w="100" w:type="dxa"/>
            </w:tcMar>
          </w:tcPr>
          <w:p w14:paraId="2EC2B61B" w14:textId="77777777" w:rsidR="009B2AC6" w:rsidRDefault="00000000">
            <w:pPr>
              <w:widowControl w:val="0"/>
              <w:pBdr>
                <w:top w:val="nil"/>
                <w:left w:val="nil"/>
                <w:bottom w:val="nil"/>
                <w:right w:val="nil"/>
                <w:between w:val="nil"/>
              </w:pBdr>
              <w:spacing w:line="240" w:lineRule="auto"/>
              <w:rPr>
                <w:b/>
              </w:rPr>
            </w:pPr>
            <w:r>
              <w:rPr>
                <w:b/>
              </w:rPr>
              <w:t>Source</w:t>
            </w:r>
          </w:p>
        </w:tc>
        <w:tc>
          <w:tcPr>
            <w:tcW w:w="3105" w:type="dxa"/>
            <w:shd w:val="clear" w:color="auto" w:fill="auto"/>
            <w:tcMar>
              <w:top w:w="100" w:type="dxa"/>
              <w:left w:w="100" w:type="dxa"/>
              <w:bottom w:w="100" w:type="dxa"/>
              <w:right w:w="100" w:type="dxa"/>
            </w:tcMar>
          </w:tcPr>
          <w:p w14:paraId="7ED0FB1A" w14:textId="77777777" w:rsidR="009B2AC6" w:rsidRDefault="00000000">
            <w:pPr>
              <w:widowControl w:val="0"/>
              <w:pBdr>
                <w:top w:val="nil"/>
                <w:left w:val="nil"/>
                <w:bottom w:val="nil"/>
                <w:right w:val="nil"/>
                <w:between w:val="nil"/>
              </w:pBdr>
              <w:spacing w:line="240" w:lineRule="auto"/>
              <w:rPr>
                <w:b/>
              </w:rPr>
            </w:pPr>
            <w:r>
              <w:rPr>
                <w:b/>
              </w:rPr>
              <w:t>Short Description</w:t>
            </w:r>
          </w:p>
        </w:tc>
        <w:tc>
          <w:tcPr>
            <w:tcW w:w="1650" w:type="dxa"/>
            <w:shd w:val="clear" w:color="auto" w:fill="auto"/>
            <w:tcMar>
              <w:top w:w="100" w:type="dxa"/>
              <w:left w:w="100" w:type="dxa"/>
              <w:bottom w:w="100" w:type="dxa"/>
              <w:right w:w="100" w:type="dxa"/>
            </w:tcMar>
          </w:tcPr>
          <w:p w14:paraId="323E17B9" w14:textId="77777777" w:rsidR="009B2AC6" w:rsidRDefault="00000000">
            <w:pPr>
              <w:widowControl w:val="0"/>
              <w:pBdr>
                <w:top w:val="nil"/>
                <w:left w:val="nil"/>
                <w:bottom w:val="nil"/>
                <w:right w:val="nil"/>
                <w:between w:val="nil"/>
              </w:pBdr>
              <w:spacing w:line="240" w:lineRule="auto"/>
              <w:rPr>
                <w:b/>
              </w:rPr>
            </w:pPr>
            <w:r>
              <w:rPr>
                <w:b/>
              </w:rPr>
              <w:t>Time Horizon</w:t>
            </w:r>
          </w:p>
        </w:tc>
      </w:tr>
      <w:tr w:rsidR="009B2AC6" w14:paraId="2B811CAE" w14:textId="77777777">
        <w:tc>
          <w:tcPr>
            <w:tcW w:w="3285" w:type="dxa"/>
            <w:shd w:val="clear" w:color="auto" w:fill="auto"/>
            <w:tcMar>
              <w:top w:w="100" w:type="dxa"/>
              <w:left w:w="100" w:type="dxa"/>
              <w:bottom w:w="100" w:type="dxa"/>
              <w:right w:w="100" w:type="dxa"/>
            </w:tcMar>
          </w:tcPr>
          <w:p w14:paraId="6CF246B9" w14:textId="77777777" w:rsidR="009B2AC6" w:rsidRDefault="00000000">
            <w:pPr>
              <w:widowControl w:val="0"/>
              <w:pBdr>
                <w:top w:val="nil"/>
                <w:left w:val="nil"/>
                <w:bottom w:val="nil"/>
                <w:right w:val="nil"/>
                <w:between w:val="nil"/>
              </w:pBdr>
              <w:spacing w:line="240" w:lineRule="auto"/>
            </w:pPr>
            <w:r>
              <w:t>MSWEP</w:t>
            </w:r>
          </w:p>
        </w:tc>
        <w:tc>
          <w:tcPr>
            <w:tcW w:w="1860" w:type="dxa"/>
            <w:shd w:val="clear" w:color="auto" w:fill="auto"/>
            <w:tcMar>
              <w:top w:w="100" w:type="dxa"/>
              <w:left w:w="100" w:type="dxa"/>
              <w:bottom w:w="100" w:type="dxa"/>
              <w:right w:w="100" w:type="dxa"/>
            </w:tcMar>
          </w:tcPr>
          <w:p w14:paraId="25902B28" w14:textId="77777777" w:rsidR="009B2AC6" w:rsidRDefault="00000000">
            <w:pPr>
              <w:widowControl w:val="0"/>
              <w:spacing w:line="240" w:lineRule="auto"/>
            </w:pPr>
            <w:r>
              <w:t>GloH2O</w:t>
            </w:r>
          </w:p>
        </w:tc>
        <w:tc>
          <w:tcPr>
            <w:tcW w:w="3105" w:type="dxa"/>
            <w:shd w:val="clear" w:color="auto" w:fill="auto"/>
            <w:tcMar>
              <w:top w:w="100" w:type="dxa"/>
              <w:left w:w="100" w:type="dxa"/>
              <w:bottom w:w="100" w:type="dxa"/>
              <w:right w:w="100" w:type="dxa"/>
            </w:tcMar>
          </w:tcPr>
          <w:p w14:paraId="26D4726D" w14:textId="77777777" w:rsidR="009B2AC6" w:rsidRDefault="00000000">
            <w:pPr>
              <w:widowControl w:val="0"/>
              <w:pBdr>
                <w:top w:val="nil"/>
                <w:left w:val="nil"/>
                <w:bottom w:val="nil"/>
                <w:right w:val="nil"/>
                <w:between w:val="nil"/>
              </w:pBdr>
              <w:spacing w:line="240" w:lineRule="auto"/>
            </w:pPr>
            <w:r>
              <w:t>Daily gridded precipitation, 0.1° resolution</w:t>
            </w:r>
          </w:p>
        </w:tc>
        <w:tc>
          <w:tcPr>
            <w:tcW w:w="1650" w:type="dxa"/>
            <w:shd w:val="clear" w:color="auto" w:fill="auto"/>
            <w:tcMar>
              <w:top w:w="100" w:type="dxa"/>
              <w:left w:w="100" w:type="dxa"/>
              <w:bottom w:w="100" w:type="dxa"/>
              <w:right w:w="100" w:type="dxa"/>
            </w:tcMar>
          </w:tcPr>
          <w:p w14:paraId="3F3691B8" w14:textId="77777777" w:rsidR="009B2AC6" w:rsidRDefault="00000000">
            <w:pPr>
              <w:widowControl w:val="0"/>
              <w:pBdr>
                <w:top w:val="nil"/>
                <w:left w:val="nil"/>
                <w:bottom w:val="nil"/>
                <w:right w:val="nil"/>
                <w:between w:val="nil"/>
              </w:pBdr>
              <w:spacing w:line="240" w:lineRule="auto"/>
            </w:pPr>
            <w:r>
              <w:t>1979 to 2020</w:t>
            </w:r>
          </w:p>
        </w:tc>
      </w:tr>
      <w:tr w:rsidR="009B2AC6" w14:paraId="26A9B45A" w14:textId="77777777">
        <w:tc>
          <w:tcPr>
            <w:tcW w:w="3285" w:type="dxa"/>
            <w:shd w:val="clear" w:color="auto" w:fill="auto"/>
            <w:tcMar>
              <w:top w:w="100" w:type="dxa"/>
              <w:left w:w="100" w:type="dxa"/>
              <w:bottom w:w="100" w:type="dxa"/>
              <w:right w:w="100" w:type="dxa"/>
            </w:tcMar>
          </w:tcPr>
          <w:p w14:paraId="13361B13" w14:textId="77777777" w:rsidR="009B2AC6" w:rsidRDefault="00000000">
            <w:pPr>
              <w:widowControl w:val="0"/>
              <w:pBdr>
                <w:top w:val="nil"/>
                <w:left w:val="nil"/>
                <w:bottom w:val="nil"/>
                <w:right w:val="nil"/>
                <w:between w:val="nil"/>
              </w:pBdr>
              <w:spacing w:line="240" w:lineRule="auto"/>
            </w:pPr>
            <w:r>
              <w:t>ERA5</w:t>
            </w:r>
          </w:p>
        </w:tc>
        <w:tc>
          <w:tcPr>
            <w:tcW w:w="1860" w:type="dxa"/>
            <w:shd w:val="clear" w:color="auto" w:fill="auto"/>
            <w:tcMar>
              <w:top w:w="100" w:type="dxa"/>
              <w:left w:w="100" w:type="dxa"/>
              <w:bottom w:w="100" w:type="dxa"/>
              <w:right w:w="100" w:type="dxa"/>
            </w:tcMar>
          </w:tcPr>
          <w:p w14:paraId="1DB975E8" w14:textId="77777777" w:rsidR="009B2AC6" w:rsidRDefault="00000000">
            <w:pPr>
              <w:widowControl w:val="0"/>
              <w:pBdr>
                <w:top w:val="nil"/>
                <w:left w:val="nil"/>
                <w:bottom w:val="nil"/>
                <w:right w:val="nil"/>
                <w:between w:val="nil"/>
              </w:pBdr>
              <w:spacing w:line="240" w:lineRule="auto"/>
            </w:pPr>
            <w:r>
              <w:t>Copernicus Data Store</w:t>
            </w:r>
          </w:p>
        </w:tc>
        <w:tc>
          <w:tcPr>
            <w:tcW w:w="3105" w:type="dxa"/>
            <w:shd w:val="clear" w:color="auto" w:fill="auto"/>
            <w:tcMar>
              <w:top w:w="100" w:type="dxa"/>
              <w:left w:w="100" w:type="dxa"/>
              <w:bottom w:w="100" w:type="dxa"/>
              <w:right w:w="100" w:type="dxa"/>
            </w:tcMar>
          </w:tcPr>
          <w:p w14:paraId="6EECFC20" w14:textId="77777777" w:rsidR="009B2AC6" w:rsidRDefault="00000000">
            <w:pPr>
              <w:widowControl w:val="0"/>
              <w:spacing w:line="240" w:lineRule="auto"/>
            </w:pPr>
            <w:r>
              <w:t xml:space="preserve">Daily gridded precipitation, 0.25° resolution </w:t>
            </w:r>
          </w:p>
        </w:tc>
        <w:tc>
          <w:tcPr>
            <w:tcW w:w="1650" w:type="dxa"/>
            <w:shd w:val="clear" w:color="auto" w:fill="auto"/>
            <w:tcMar>
              <w:top w:w="100" w:type="dxa"/>
              <w:left w:w="100" w:type="dxa"/>
              <w:bottom w:w="100" w:type="dxa"/>
              <w:right w:w="100" w:type="dxa"/>
            </w:tcMar>
          </w:tcPr>
          <w:p w14:paraId="14915655" w14:textId="77777777" w:rsidR="009B2AC6" w:rsidRDefault="00000000">
            <w:pPr>
              <w:widowControl w:val="0"/>
              <w:pBdr>
                <w:top w:val="nil"/>
                <w:left w:val="nil"/>
                <w:bottom w:val="nil"/>
                <w:right w:val="nil"/>
                <w:between w:val="nil"/>
              </w:pBdr>
              <w:spacing w:line="240" w:lineRule="auto"/>
            </w:pPr>
            <w:r>
              <w:t>1940 to 2023</w:t>
            </w:r>
          </w:p>
        </w:tc>
      </w:tr>
      <w:tr w:rsidR="009B2AC6" w14:paraId="014C1BC5" w14:textId="77777777">
        <w:tc>
          <w:tcPr>
            <w:tcW w:w="3285" w:type="dxa"/>
            <w:shd w:val="clear" w:color="auto" w:fill="auto"/>
            <w:tcMar>
              <w:top w:w="100" w:type="dxa"/>
              <w:left w:w="100" w:type="dxa"/>
              <w:bottom w:w="100" w:type="dxa"/>
              <w:right w:w="100" w:type="dxa"/>
            </w:tcMar>
          </w:tcPr>
          <w:p w14:paraId="5778A062" w14:textId="77777777" w:rsidR="009B2AC6" w:rsidRDefault="00000000">
            <w:pPr>
              <w:widowControl w:val="0"/>
              <w:pBdr>
                <w:top w:val="nil"/>
                <w:left w:val="nil"/>
                <w:bottom w:val="nil"/>
                <w:right w:val="nil"/>
                <w:between w:val="nil"/>
              </w:pBdr>
              <w:spacing w:line="240" w:lineRule="auto"/>
            </w:pPr>
            <w:r>
              <w:t>PRISM</w:t>
            </w:r>
          </w:p>
        </w:tc>
        <w:tc>
          <w:tcPr>
            <w:tcW w:w="1860" w:type="dxa"/>
            <w:shd w:val="clear" w:color="auto" w:fill="auto"/>
            <w:tcMar>
              <w:top w:w="100" w:type="dxa"/>
              <w:left w:w="100" w:type="dxa"/>
              <w:bottom w:w="100" w:type="dxa"/>
              <w:right w:w="100" w:type="dxa"/>
            </w:tcMar>
          </w:tcPr>
          <w:p w14:paraId="49ADB893" w14:textId="77777777" w:rsidR="009B2AC6" w:rsidRDefault="00000000">
            <w:pPr>
              <w:widowControl w:val="0"/>
              <w:pBdr>
                <w:top w:val="nil"/>
                <w:left w:val="nil"/>
                <w:bottom w:val="nil"/>
                <w:right w:val="nil"/>
                <w:between w:val="nil"/>
              </w:pBdr>
              <w:spacing w:line="240" w:lineRule="auto"/>
            </w:pPr>
            <w:r>
              <w:t>PRISM Climate Group</w:t>
            </w:r>
          </w:p>
        </w:tc>
        <w:tc>
          <w:tcPr>
            <w:tcW w:w="3105" w:type="dxa"/>
            <w:shd w:val="clear" w:color="auto" w:fill="auto"/>
            <w:tcMar>
              <w:top w:w="100" w:type="dxa"/>
              <w:left w:w="100" w:type="dxa"/>
              <w:bottom w:w="100" w:type="dxa"/>
              <w:right w:w="100" w:type="dxa"/>
            </w:tcMar>
          </w:tcPr>
          <w:p w14:paraId="288ECB9A" w14:textId="77777777" w:rsidR="009B2AC6" w:rsidRDefault="00000000">
            <w:pPr>
              <w:widowControl w:val="0"/>
              <w:spacing w:line="240" w:lineRule="auto"/>
            </w:pPr>
            <w:r>
              <w:t>Monthly gridded precipitation, 4km resolution</w:t>
            </w:r>
          </w:p>
        </w:tc>
        <w:tc>
          <w:tcPr>
            <w:tcW w:w="1650" w:type="dxa"/>
            <w:shd w:val="clear" w:color="auto" w:fill="auto"/>
            <w:tcMar>
              <w:top w:w="100" w:type="dxa"/>
              <w:left w:w="100" w:type="dxa"/>
              <w:bottom w:w="100" w:type="dxa"/>
              <w:right w:w="100" w:type="dxa"/>
            </w:tcMar>
          </w:tcPr>
          <w:p w14:paraId="09259184" w14:textId="77777777" w:rsidR="009B2AC6" w:rsidRDefault="00000000">
            <w:pPr>
              <w:widowControl w:val="0"/>
              <w:pBdr>
                <w:top w:val="nil"/>
                <w:left w:val="nil"/>
                <w:bottom w:val="nil"/>
                <w:right w:val="nil"/>
                <w:between w:val="nil"/>
              </w:pBdr>
              <w:spacing w:line="240" w:lineRule="auto"/>
            </w:pPr>
            <w:r>
              <w:t>1923 to 2023</w:t>
            </w:r>
          </w:p>
        </w:tc>
      </w:tr>
      <w:tr w:rsidR="009B2AC6" w14:paraId="03E548ED" w14:textId="77777777">
        <w:tc>
          <w:tcPr>
            <w:tcW w:w="3285" w:type="dxa"/>
            <w:shd w:val="clear" w:color="auto" w:fill="auto"/>
            <w:tcMar>
              <w:top w:w="100" w:type="dxa"/>
              <w:left w:w="100" w:type="dxa"/>
              <w:bottom w:w="100" w:type="dxa"/>
              <w:right w:w="100" w:type="dxa"/>
            </w:tcMar>
          </w:tcPr>
          <w:p w14:paraId="5FD20B7D" w14:textId="77777777" w:rsidR="009B2AC6" w:rsidRDefault="00000000">
            <w:pPr>
              <w:widowControl w:val="0"/>
              <w:pBdr>
                <w:top w:val="nil"/>
                <w:left w:val="nil"/>
                <w:bottom w:val="nil"/>
                <w:right w:val="nil"/>
                <w:between w:val="nil"/>
              </w:pBdr>
              <w:spacing w:line="240" w:lineRule="auto"/>
            </w:pPr>
            <w:r>
              <w:t>FIMA NFIP Redacted Claims</w:t>
            </w:r>
          </w:p>
        </w:tc>
        <w:tc>
          <w:tcPr>
            <w:tcW w:w="1860" w:type="dxa"/>
            <w:shd w:val="clear" w:color="auto" w:fill="auto"/>
            <w:tcMar>
              <w:top w:w="100" w:type="dxa"/>
              <w:left w:w="100" w:type="dxa"/>
              <w:bottom w:w="100" w:type="dxa"/>
              <w:right w:w="100" w:type="dxa"/>
            </w:tcMar>
          </w:tcPr>
          <w:p w14:paraId="180F99B9" w14:textId="77777777" w:rsidR="009B2AC6" w:rsidRDefault="00000000">
            <w:pPr>
              <w:widowControl w:val="0"/>
              <w:pBdr>
                <w:top w:val="nil"/>
                <w:left w:val="nil"/>
                <w:bottom w:val="nil"/>
                <w:right w:val="nil"/>
                <w:between w:val="nil"/>
              </w:pBdr>
              <w:spacing w:line="240" w:lineRule="auto"/>
            </w:pPr>
            <w:r>
              <w:t>FEMA</w:t>
            </w:r>
          </w:p>
        </w:tc>
        <w:tc>
          <w:tcPr>
            <w:tcW w:w="3105" w:type="dxa"/>
            <w:shd w:val="clear" w:color="auto" w:fill="auto"/>
            <w:tcMar>
              <w:top w:w="100" w:type="dxa"/>
              <w:left w:w="100" w:type="dxa"/>
              <w:bottom w:w="100" w:type="dxa"/>
              <w:right w:w="100" w:type="dxa"/>
            </w:tcMar>
          </w:tcPr>
          <w:p w14:paraId="29890EF2" w14:textId="77777777" w:rsidR="009B2AC6" w:rsidRDefault="00000000">
            <w:pPr>
              <w:widowControl w:val="0"/>
              <w:pBdr>
                <w:top w:val="nil"/>
                <w:left w:val="nil"/>
                <w:bottom w:val="nil"/>
                <w:right w:val="nil"/>
                <w:between w:val="nil"/>
              </w:pBdr>
              <w:spacing w:line="240" w:lineRule="auto"/>
            </w:pPr>
            <w:r>
              <w:t>Flood Insurance Claims</w:t>
            </w:r>
          </w:p>
        </w:tc>
        <w:tc>
          <w:tcPr>
            <w:tcW w:w="1650" w:type="dxa"/>
            <w:shd w:val="clear" w:color="auto" w:fill="auto"/>
            <w:tcMar>
              <w:top w:w="100" w:type="dxa"/>
              <w:left w:w="100" w:type="dxa"/>
              <w:bottom w:w="100" w:type="dxa"/>
              <w:right w:w="100" w:type="dxa"/>
            </w:tcMar>
          </w:tcPr>
          <w:p w14:paraId="0A0F315C" w14:textId="77777777" w:rsidR="009B2AC6" w:rsidRDefault="00000000">
            <w:pPr>
              <w:widowControl w:val="0"/>
              <w:spacing w:line="240" w:lineRule="auto"/>
            </w:pPr>
            <w:r>
              <w:t>1978 to 2024</w:t>
            </w:r>
          </w:p>
        </w:tc>
      </w:tr>
      <w:tr w:rsidR="009B2AC6" w14:paraId="4E08E126" w14:textId="77777777">
        <w:tc>
          <w:tcPr>
            <w:tcW w:w="3285" w:type="dxa"/>
            <w:shd w:val="clear" w:color="auto" w:fill="auto"/>
            <w:tcMar>
              <w:top w:w="100" w:type="dxa"/>
              <w:left w:w="100" w:type="dxa"/>
              <w:bottom w:w="100" w:type="dxa"/>
              <w:right w:w="100" w:type="dxa"/>
            </w:tcMar>
          </w:tcPr>
          <w:p w14:paraId="0E2B6FE9" w14:textId="77777777" w:rsidR="009B2AC6" w:rsidRDefault="00000000">
            <w:pPr>
              <w:widowControl w:val="0"/>
              <w:pBdr>
                <w:top w:val="nil"/>
                <w:left w:val="nil"/>
                <w:bottom w:val="nil"/>
                <w:right w:val="nil"/>
                <w:between w:val="nil"/>
              </w:pBdr>
              <w:spacing w:line="240" w:lineRule="auto"/>
            </w:pPr>
            <w:r>
              <w:t>FIMA NFIP Redacted Policies</w:t>
            </w:r>
          </w:p>
        </w:tc>
        <w:tc>
          <w:tcPr>
            <w:tcW w:w="1860" w:type="dxa"/>
            <w:shd w:val="clear" w:color="auto" w:fill="auto"/>
            <w:tcMar>
              <w:top w:w="100" w:type="dxa"/>
              <w:left w:w="100" w:type="dxa"/>
              <w:bottom w:w="100" w:type="dxa"/>
              <w:right w:w="100" w:type="dxa"/>
            </w:tcMar>
          </w:tcPr>
          <w:p w14:paraId="3370FFE2" w14:textId="77777777" w:rsidR="009B2AC6" w:rsidRDefault="00000000">
            <w:pPr>
              <w:widowControl w:val="0"/>
              <w:pBdr>
                <w:top w:val="nil"/>
                <w:left w:val="nil"/>
                <w:bottom w:val="nil"/>
                <w:right w:val="nil"/>
                <w:between w:val="nil"/>
              </w:pBdr>
              <w:spacing w:line="240" w:lineRule="auto"/>
            </w:pPr>
            <w:r>
              <w:t>FEMA</w:t>
            </w:r>
          </w:p>
        </w:tc>
        <w:tc>
          <w:tcPr>
            <w:tcW w:w="3105" w:type="dxa"/>
            <w:shd w:val="clear" w:color="auto" w:fill="auto"/>
            <w:tcMar>
              <w:top w:w="100" w:type="dxa"/>
              <w:left w:w="100" w:type="dxa"/>
              <w:bottom w:w="100" w:type="dxa"/>
              <w:right w:w="100" w:type="dxa"/>
            </w:tcMar>
          </w:tcPr>
          <w:p w14:paraId="11154A76" w14:textId="77777777" w:rsidR="009B2AC6" w:rsidRDefault="00000000">
            <w:pPr>
              <w:widowControl w:val="0"/>
              <w:pBdr>
                <w:top w:val="nil"/>
                <w:left w:val="nil"/>
                <w:bottom w:val="nil"/>
                <w:right w:val="nil"/>
                <w:between w:val="nil"/>
              </w:pBdr>
              <w:spacing w:line="240" w:lineRule="auto"/>
            </w:pPr>
            <w:r>
              <w:t>Flood Insurance Premiums</w:t>
            </w:r>
          </w:p>
        </w:tc>
        <w:tc>
          <w:tcPr>
            <w:tcW w:w="1650" w:type="dxa"/>
            <w:shd w:val="clear" w:color="auto" w:fill="auto"/>
            <w:tcMar>
              <w:top w:w="100" w:type="dxa"/>
              <w:left w:w="100" w:type="dxa"/>
              <w:bottom w:w="100" w:type="dxa"/>
              <w:right w:w="100" w:type="dxa"/>
            </w:tcMar>
          </w:tcPr>
          <w:p w14:paraId="78D63DAC" w14:textId="77777777" w:rsidR="009B2AC6" w:rsidRDefault="00000000">
            <w:pPr>
              <w:widowControl w:val="0"/>
              <w:pBdr>
                <w:top w:val="nil"/>
                <w:left w:val="nil"/>
                <w:bottom w:val="nil"/>
                <w:right w:val="nil"/>
                <w:between w:val="nil"/>
              </w:pBdr>
              <w:spacing w:line="240" w:lineRule="auto"/>
            </w:pPr>
            <w:r>
              <w:t>1978 to 2024</w:t>
            </w:r>
          </w:p>
        </w:tc>
      </w:tr>
      <w:tr w:rsidR="009B2AC6" w14:paraId="6E693E76" w14:textId="77777777">
        <w:tc>
          <w:tcPr>
            <w:tcW w:w="3285" w:type="dxa"/>
            <w:shd w:val="clear" w:color="auto" w:fill="auto"/>
            <w:tcMar>
              <w:top w:w="100" w:type="dxa"/>
              <w:left w:w="100" w:type="dxa"/>
              <w:bottom w:w="100" w:type="dxa"/>
              <w:right w:w="100" w:type="dxa"/>
            </w:tcMar>
          </w:tcPr>
          <w:p w14:paraId="45B25DC6" w14:textId="77777777" w:rsidR="009B2AC6" w:rsidRDefault="00000000">
            <w:pPr>
              <w:widowControl w:val="0"/>
              <w:pBdr>
                <w:top w:val="nil"/>
                <w:left w:val="nil"/>
                <w:bottom w:val="nil"/>
                <w:right w:val="nil"/>
                <w:between w:val="nil"/>
              </w:pBdr>
              <w:spacing w:line="240" w:lineRule="auto"/>
            </w:pPr>
            <w:r>
              <w:t>Risk Rating 2.0 2024 Policies</w:t>
            </w:r>
          </w:p>
        </w:tc>
        <w:tc>
          <w:tcPr>
            <w:tcW w:w="1860" w:type="dxa"/>
            <w:shd w:val="clear" w:color="auto" w:fill="auto"/>
            <w:tcMar>
              <w:top w:w="100" w:type="dxa"/>
              <w:left w:w="100" w:type="dxa"/>
              <w:bottom w:w="100" w:type="dxa"/>
              <w:right w:w="100" w:type="dxa"/>
            </w:tcMar>
          </w:tcPr>
          <w:p w14:paraId="66C44F24" w14:textId="77777777" w:rsidR="009B2AC6" w:rsidRDefault="00000000">
            <w:pPr>
              <w:widowControl w:val="0"/>
              <w:pBdr>
                <w:top w:val="nil"/>
                <w:left w:val="nil"/>
                <w:bottom w:val="nil"/>
                <w:right w:val="nil"/>
                <w:between w:val="nil"/>
              </w:pBdr>
              <w:spacing w:line="240" w:lineRule="auto"/>
            </w:pPr>
            <w:r>
              <w:t>FEMA</w:t>
            </w:r>
          </w:p>
        </w:tc>
        <w:tc>
          <w:tcPr>
            <w:tcW w:w="3105" w:type="dxa"/>
            <w:shd w:val="clear" w:color="auto" w:fill="auto"/>
            <w:tcMar>
              <w:top w:w="100" w:type="dxa"/>
              <w:left w:w="100" w:type="dxa"/>
              <w:bottom w:w="100" w:type="dxa"/>
              <w:right w:w="100" w:type="dxa"/>
            </w:tcMar>
          </w:tcPr>
          <w:p w14:paraId="141D0C98" w14:textId="77777777" w:rsidR="009B2AC6" w:rsidRDefault="00000000">
            <w:pPr>
              <w:widowControl w:val="0"/>
              <w:pBdr>
                <w:top w:val="nil"/>
                <w:left w:val="nil"/>
                <w:bottom w:val="nil"/>
                <w:right w:val="nil"/>
                <w:between w:val="nil"/>
              </w:pBdr>
              <w:spacing w:line="240" w:lineRule="auto"/>
            </w:pPr>
            <w:r>
              <w:t>Flood Insurance Premiums (Risk-Based)</w:t>
            </w:r>
          </w:p>
        </w:tc>
        <w:tc>
          <w:tcPr>
            <w:tcW w:w="1650" w:type="dxa"/>
            <w:shd w:val="clear" w:color="auto" w:fill="auto"/>
            <w:tcMar>
              <w:top w:w="100" w:type="dxa"/>
              <w:left w:w="100" w:type="dxa"/>
              <w:bottom w:w="100" w:type="dxa"/>
              <w:right w:w="100" w:type="dxa"/>
            </w:tcMar>
          </w:tcPr>
          <w:p w14:paraId="3978E801" w14:textId="77777777" w:rsidR="009B2AC6" w:rsidRDefault="00000000">
            <w:pPr>
              <w:widowControl w:val="0"/>
              <w:pBdr>
                <w:top w:val="nil"/>
                <w:left w:val="nil"/>
                <w:bottom w:val="nil"/>
                <w:right w:val="nil"/>
                <w:between w:val="nil"/>
              </w:pBdr>
              <w:spacing w:line="240" w:lineRule="auto"/>
            </w:pPr>
            <w:r>
              <w:t>2024</w:t>
            </w:r>
          </w:p>
        </w:tc>
      </w:tr>
      <w:tr w:rsidR="009B2AC6" w14:paraId="6944034E" w14:textId="77777777">
        <w:tc>
          <w:tcPr>
            <w:tcW w:w="3285" w:type="dxa"/>
            <w:shd w:val="clear" w:color="auto" w:fill="auto"/>
            <w:tcMar>
              <w:top w:w="100" w:type="dxa"/>
              <w:left w:w="100" w:type="dxa"/>
              <w:bottom w:w="100" w:type="dxa"/>
              <w:right w:w="100" w:type="dxa"/>
            </w:tcMar>
          </w:tcPr>
          <w:p w14:paraId="568E1560" w14:textId="77777777" w:rsidR="009B2AC6" w:rsidRDefault="00000000">
            <w:pPr>
              <w:widowControl w:val="0"/>
              <w:pBdr>
                <w:top w:val="nil"/>
                <w:left w:val="nil"/>
                <w:bottom w:val="nil"/>
                <w:right w:val="nil"/>
                <w:between w:val="nil"/>
              </w:pBdr>
              <w:spacing w:line="240" w:lineRule="auto"/>
            </w:pPr>
            <w:r>
              <w:t>Hazard Mitigation Assistance Mitigated Properties</w:t>
            </w:r>
          </w:p>
        </w:tc>
        <w:tc>
          <w:tcPr>
            <w:tcW w:w="1860" w:type="dxa"/>
            <w:shd w:val="clear" w:color="auto" w:fill="auto"/>
            <w:tcMar>
              <w:top w:w="100" w:type="dxa"/>
              <w:left w:w="100" w:type="dxa"/>
              <w:bottom w:w="100" w:type="dxa"/>
              <w:right w:w="100" w:type="dxa"/>
            </w:tcMar>
          </w:tcPr>
          <w:p w14:paraId="23D6DBEB" w14:textId="77777777" w:rsidR="009B2AC6" w:rsidRDefault="00000000">
            <w:pPr>
              <w:widowControl w:val="0"/>
              <w:pBdr>
                <w:top w:val="nil"/>
                <w:left w:val="nil"/>
                <w:bottom w:val="nil"/>
                <w:right w:val="nil"/>
                <w:between w:val="nil"/>
              </w:pBdr>
              <w:spacing w:line="240" w:lineRule="auto"/>
            </w:pPr>
            <w:r>
              <w:t>FEMA</w:t>
            </w:r>
          </w:p>
        </w:tc>
        <w:tc>
          <w:tcPr>
            <w:tcW w:w="3105" w:type="dxa"/>
            <w:shd w:val="clear" w:color="auto" w:fill="auto"/>
            <w:tcMar>
              <w:top w:w="100" w:type="dxa"/>
              <w:left w:w="100" w:type="dxa"/>
              <w:bottom w:w="100" w:type="dxa"/>
              <w:right w:w="100" w:type="dxa"/>
            </w:tcMar>
          </w:tcPr>
          <w:p w14:paraId="04BF8A43" w14:textId="77777777" w:rsidR="009B2AC6" w:rsidRDefault="00000000">
            <w:pPr>
              <w:widowControl w:val="0"/>
              <w:pBdr>
                <w:top w:val="nil"/>
                <w:left w:val="nil"/>
                <w:bottom w:val="nil"/>
                <w:right w:val="nil"/>
                <w:between w:val="nil"/>
              </w:pBdr>
              <w:spacing w:line="240" w:lineRule="auto"/>
            </w:pPr>
            <w:r>
              <w:t>Property buyouts and mitigation grants</w:t>
            </w:r>
          </w:p>
        </w:tc>
        <w:tc>
          <w:tcPr>
            <w:tcW w:w="1650" w:type="dxa"/>
            <w:shd w:val="clear" w:color="auto" w:fill="auto"/>
            <w:tcMar>
              <w:top w:w="100" w:type="dxa"/>
              <w:left w:w="100" w:type="dxa"/>
              <w:bottom w:w="100" w:type="dxa"/>
              <w:right w:w="100" w:type="dxa"/>
            </w:tcMar>
          </w:tcPr>
          <w:p w14:paraId="4327CF2E" w14:textId="77777777" w:rsidR="009B2AC6" w:rsidRDefault="00000000">
            <w:pPr>
              <w:widowControl w:val="0"/>
              <w:pBdr>
                <w:top w:val="nil"/>
                <w:left w:val="nil"/>
                <w:bottom w:val="nil"/>
                <w:right w:val="nil"/>
                <w:between w:val="nil"/>
              </w:pBdr>
              <w:spacing w:line="240" w:lineRule="auto"/>
            </w:pPr>
            <w:r>
              <w:t>1988 to 2024</w:t>
            </w:r>
          </w:p>
        </w:tc>
      </w:tr>
      <w:tr w:rsidR="009B2AC6" w14:paraId="3828115E" w14:textId="77777777">
        <w:tc>
          <w:tcPr>
            <w:tcW w:w="3285" w:type="dxa"/>
            <w:shd w:val="clear" w:color="auto" w:fill="auto"/>
            <w:tcMar>
              <w:top w:w="100" w:type="dxa"/>
              <w:left w:w="100" w:type="dxa"/>
              <w:bottom w:w="100" w:type="dxa"/>
              <w:right w:w="100" w:type="dxa"/>
            </w:tcMar>
          </w:tcPr>
          <w:p w14:paraId="713FC13E" w14:textId="77777777" w:rsidR="009B2AC6" w:rsidRDefault="00000000">
            <w:pPr>
              <w:widowControl w:val="0"/>
              <w:pBdr>
                <w:top w:val="nil"/>
                <w:left w:val="nil"/>
                <w:bottom w:val="nil"/>
                <w:right w:val="nil"/>
                <w:between w:val="nil"/>
              </w:pBdr>
              <w:spacing w:line="240" w:lineRule="auto"/>
            </w:pPr>
            <w:r>
              <w:t>Disaster Declaration Summaries</w:t>
            </w:r>
          </w:p>
        </w:tc>
        <w:tc>
          <w:tcPr>
            <w:tcW w:w="1860" w:type="dxa"/>
            <w:shd w:val="clear" w:color="auto" w:fill="auto"/>
            <w:tcMar>
              <w:top w:w="100" w:type="dxa"/>
              <w:left w:w="100" w:type="dxa"/>
              <w:bottom w:w="100" w:type="dxa"/>
              <w:right w:w="100" w:type="dxa"/>
            </w:tcMar>
          </w:tcPr>
          <w:p w14:paraId="35E555AB" w14:textId="77777777" w:rsidR="009B2AC6" w:rsidRDefault="00000000">
            <w:pPr>
              <w:widowControl w:val="0"/>
              <w:pBdr>
                <w:top w:val="nil"/>
                <w:left w:val="nil"/>
                <w:bottom w:val="nil"/>
                <w:right w:val="nil"/>
                <w:between w:val="nil"/>
              </w:pBdr>
              <w:spacing w:line="240" w:lineRule="auto"/>
            </w:pPr>
            <w:r>
              <w:t>FEMA</w:t>
            </w:r>
          </w:p>
        </w:tc>
        <w:tc>
          <w:tcPr>
            <w:tcW w:w="3105" w:type="dxa"/>
            <w:shd w:val="clear" w:color="auto" w:fill="auto"/>
            <w:tcMar>
              <w:top w:w="100" w:type="dxa"/>
              <w:left w:w="100" w:type="dxa"/>
              <w:bottom w:w="100" w:type="dxa"/>
              <w:right w:w="100" w:type="dxa"/>
            </w:tcMar>
          </w:tcPr>
          <w:p w14:paraId="3A145B69" w14:textId="77777777" w:rsidR="009B2AC6" w:rsidRDefault="00000000">
            <w:pPr>
              <w:widowControl w:val="0"/>
              <w:pBdr>
                <w:top w:val="nil"/>
                <w:left w:val="nil"/>
                <w:bottom w:val="nil"/>
                <w:right w:val="nil"/>
                <w:between w:val="nil"/>
              </w:pBdr>
              <w:spacing w:line="240" w:lineRule="auto"/>
            </w:pPr>
            <w:r>
              <w:t>Presidential disaster numbers and classifications</w:t>
            </w:r>
          </w:p>
        </w:tc>
        <w:tc>
          <w:tcPr>
            <w:tcW w:w="1650" w:type="dxa"/>
            <w:shd w:val="clear" w:color="auto" w:fill="auto"/>
            <w:tcMar>
              <w:top w:w="100" w:type="dxa"/>
              <w:left w:w="100" w:type="dxa"/>
              <w:bottom w:w="100" w:type="dxa"/>
              <w:right w:w="100" w:type="dxa"/>
            </w:tcMar>
          </w:tcPr>
          <w:p w14:paraId="3A03A044" w14:textId="77777777" w:rsidR="009B2AC6" w:rsidRDefault="00000000">
            <w:pPr>
              <w:widowControl w:val="0"/>
              <w:pBdr>
                <w:top w:val="nil"/>
                <w:left w:val="nil"/>
                <w:bottom w:val="nil"/>
                <w:right w:val="nil"/>
                <w:between w:val="nil"/>
              </w:pBdr>
              <w:spacing w:line="240" w:lineRule="auto"/>
            </w:pPr>
            <w:r>
              <w:t>1974 to 2024</w:t>
            </w:r>
          </w:p>
        </w:tc>
      </w:tr>
      <w:tr w:rsidR="009B2AC6" w14:paraId="77520503" w14:textId="77777777">
        <w:tc>
          <w:tcPr>
            <w:tcW w:w="3285" w:type="dxa"/>
            <w:shd w:val="clear" w:color="auto" w:fill="auto"/>
            <w:tcMar>
              <w:top w:w="100" w:type="dxa"/>
              <w:left w:w="100" w:type="dxa"/>
              <w:bottom w:w="100" w:type="dxa"/>
              <w:right w:w="100" w:type="dxa"/>
            </w:tcMar>
          </w:tcPr>
          <w:p w14:paraId="742F139E" w14:textId="77777777" w:rsidR="009B2AC6" w:rsidRDefault="00000000">
            <w:pPr>
              <w:widowControl w:val="0"/>
              <w:pBdr>
                <w:top w:val="nil"/>
                <w:left w:val="nil"/>
                <w:bottom w:val="nil"/>
                <w:right w:val="nil"/>
                <w:between w:val="nil"/>
              </w:pBdr>
              <w:spacing w:line="240" w:lineRule="auto"/>
            </w:pPr>
            <w:r>
              <w:t>Housing Assistance Program Data - Owners</w:t>
            </w:r>
          </w:p>
        </w:tc>
        <w:tc>
          <w:tcPr>
            <w:tcW w:w="1860" w:type="dxa"/>
            <w:shd w:val="clear" w:color="auto" w:fill="auto"/>
            <w:tcMar>
              <w:top w:w="100" w:type="dxa"/>
              <w:left w:w="100" w:type="dxa"/>
              <w:bottom w:w="100" w:type="dxa"/>
              <w:right w:w="100" w:type="dxa"/>
            </w:tcMar>
          </w:tcPr>
          <w:p w14:paraId="4D1097BF" w14:textId="77777777" w:rsidR="009B2AC6" w:rsidRDefault="00000000">
            <w:pPr>
              <w:widowControl w:val="0"/>
              <w:spacing w:line="240" w:lineRule="auto"/>
            </w:pPr>
            <w:r>
              <w:t>FEMA</w:t>
            </w:r>
          </w:p>
        </w:tc>
        <w:tc>
          <w:tcPr>
            <w:tcW w:w="3105" w:type="dxa"/>
            <w:shd w:val="clear" w:color="auto" w:fill="auto"/>
            <w:tcMar>
              <w:top w:w="100" w:type="dxa"/>
              <w:left w:w="100" w:type="dxa"/>
              <w:bottom w:w="100" w:type="dxa"/>
              <w:right w:w="100" w:type="dxa"/>
            </w:tcMar>
          </w:tcPr>
          <w:p w14:paraId="109A6443" w14:textId="77777777" w:rsidR="009B2AC6" w:rsidRDefault="00000000">
            <w:pPr>
              <w:widowControl w:val="0"/>
              <w:pBdr>
                <w:top w:val="nil"/>
                <w:left w:val="nil"/>
                <w:bottom w:val="nil"/>
                <w:right w:val="nil"/>
                <w:between w:val="nil"/>
              </w:pBdr>
              <w:spacing w:line="240" w:lineRule="auto"/>
            </w:pPr>
            <w:r>
              <w:t>Disaster aid for individual assistance for homeowners</w:t>
            </w:r>
          </w:p>
        </w:tc>
        <w:tc>
          <w:tcPr>
            <w:tcW w:w="1650" w:type="dxa"/>
            <w:shd w:val="clear" w:color="auto" w:fill="auto"/>
            <w:tcMar>
              <w:top w:w="100" w:type="dxa"/>
              <w:left w:w="100" w:type="dxa"/>
              <w:bottom w:w="100" w:type="dxa"/>
              <w:right w:w="100" w:type="dxa"/>
            </w:tcMar>
          </w:tcPr>
          <w:p w14:paraId="0E052B12" w14:textId="77777777" w:rsidR="009B2AC6" w:rsidRDefault="00000000">
            <w:pPr>
              <w:widowControl w:val="0"/>
              <w:pBdr>
                <w:top w:val="nil"/>
                <w:left w:val="nil"/>
                <w:bottom w:val="nil"/>
                <w:right w:val="nil"/>
                <w:between w:val="nil"/>
              </w:pBdr>
              <w:spacing w:line="240" w:lineRule="auto"/>
            </w:pPr>
            <w:r>
              <w:t>1979 to 2024</w:t>
            </w:r>
          </w:p>
        </w:tc>
      </w:tr>
      <w:tr w:rsidR="009B2AC6" w14:paraId="7CB189B4" w14:textId="77777777">
        <w:tc>
          <w:tcPr>
            <w:tcW w:w="3285" w:type="dxa"/>
            <w:shd w:val="clear" w:color="auto" w:fill="auto"/>
            <w:tcMar>
              <w:top w:w="100" w:type="dxa"/>
              <w:left w:w="100" w:type="dxa"/>
              <w:bottom w:w="100" w:type="dxa"/>
              <w:right w:w="100" w:type="dxa"/>
            </w:tcMar>
          </w:tcPr>
          <w:p w14:paraId="20973C21" w14:textId="77777777" w:rsidR="009B2AC6" w:rsidRDefault="00000000">
            <w:pPr>
              <w:widowControl w:val="0"/>
              <w:spacing w:line="240" w:lineRule="auto"/>
            </w:pPr>
            <w:r>
              <w:t>Housing Assistance Program Data - Renters</w:t>
            </w:r>
          </w:p>
        </w:tc>
        <w:tc>
          <w:tcPr>
            <w:tcW w:w="1860" w:type="dxa"/>
            <w:shd w:val="clear" w:color="auto" w:fill="auto"/>
            <w:tcMar>
              <w:top w:w="100" w:type="dxa"/>
              <w:left w:w="100" w:type="dxa"/>
              <w:bottom w:w="100" w:type="dxa"/>
              <w:right w:w="100" w:type="dxa"/>
            </w:tcMar>
          </w:tcPr>
          <w:p w14:paraId="64EA7103" w14:textId="77777777" w:rsidR="009B2AC6" w:rsidRDefault="00000000">
            <w:pPr>
              <w:widowControl w:val="0"/>
              <w:spacing w:line="240" w:lineRule="auto"/>
            </w:pPr>
            <w:r>
              <w:t>FEMA</w:t>
            </w:r>
          </w:p>
        </w:tc>
        <w:tc>
          <w:tcPr>
            <w:tcW w:w="3105" w:type="dxa"/>
            <w:shd w:val="clear" w:color="auto" w:fill="auto"/>
            <w:tcMar>
              <w:top w:w="100" w:type="dxa"/>
              <w:left w:w="100" w:type="dxa"/>
              <w:bottom w:w="100" w:type="dxa"/>
              <w:right w:w="100" w:type="dxa"/>
            </w:tcMar>
          </w:tcPr>
          <w:p w14:paraId="10FE74AE" w14:textId="77777777" w:rsidR="009B2AC6" w:rsidRDefault="00000000">
            <w:pPr>
              <w:widowControl w:val="0"/>
              <w:spacing w:line="240" w:lineRule="auto"/>
            </w:pPr>
            <w:r>
              <w:t>Disaster aid for individual assistance for renters</w:t>
            </w:r>
          </w:p>
        </w:tc>
        <w:tc>
          <w:tcPr>
            <w:tcW w:w="1650" w:type="dxa"/>
            <w:shd w:val="clear" w:color="auto" w:fill="auto"/>
            <w:tcMar>
              <w:top w:w="100" w:type="dxa"/>
              <w:left w:w="100" w:type="dxa"/>
              <w:bottom w:w="100" w:type="dxa"/>
              <w:right w:w="100" w:type="dxa"/>
            </w:tcMar>
          </w:tcPr>
          <w:p w14:paraId="0CCF02F8" w14:textId="77777777" w:rsidR="009B2AC6" w:rsidRDefault="00000000">
            <w:pPr>
              <w:widowControl w:val="0"/>
              <w:spacing w:line="240" w:lineRule="auto"/>
            </w:pPr>
            <w:r>
              <w:t>1979 to 2024</w:t>
            </w:r>
          </w:p>
        </w:tc>
      </w:tr>
      <w:tr w:rsidR="009B2AC6" w14:paraId="01B675AF" w14:textId="77777777">
        <w:tc>
          <w:tcPr>
            <w:tcW w:w="3285" w:type="dxa"/>
            <w:shd w:val="clear" w:color="auto" w:fill="auto"/>
            <w:tcMar>
              <w:top w:w="100" w:type="dxa"/>
              <w:left w:w="100" w:type="dxa"/>
              <w:bottom w:w="100" w:type="dxa"/>
              <w:right w:w="100" w:type="dxa"/>
            </w:tcMar>
          </w:tcPr>
          <w:p w14:paraId="41FCC5A3" w14:textId="77777777" w:rsidR="009B2AC6" w:rsidRDefault="00000000">
            <w:pPr>
              <w:widowControl w:val="0"/>
              <w:spacing w:line="240" w:lineRule="auto"/>
            </w:pPr>
            <w:r>
              <w:t>CPI-U</w:t>
            </w:r>
          </w:p>
        </w:tc>
        <w:tc>
          <w:tcPr>
            <w:tcW w:w="1860" w:type="dxa"/>
            <w:shd w:val="clear" w:color="auto" w:fill="auto"/>
            <w:tcMar>
              <w:top w:w="100" w:type="dxa"/>
              <w:left w:w="100" w:type="dxa"/>
              <w:bottom w:w="100" w:type="dxa"/>
              <w:right w:w="100" w:type="dxa"/>
            </w:tcMar>
          </w:tcPr>
          <w:p w14:paraId="1936D2D0" w14:textId="77777777" w:rsidR="009B2AC6" w:rsidRDefault="00000000">
            <w:pPr>
              <w:widowControl w:val="0"/>
              <w:spacing w:line="240" w:lineRule="auto"/>
            </w:pPr>
            <w:r>
              <w:t>BLS</w:t>
            </w:r>
          </w:p>
        </w:tc>
        <w:tc>
          <w:tcPr>
            <w:tcW w:w="3105" w:type="dxa"/>
            <w:shd w:val="clear" w:color="auto" w:fill="auto"/>
            <w:tcMar>
              <w:top w:w="100" w:type="dxa"/>
              <w:left w:w="100" w:type="dxa"/>
              <w:bottom w:w="100" w:type="dxa"/>
              <w:right w:w="100" w:type="dxa"/>
            </w:tcMar>
          </w:tcPr>
          <w:p w14:paraId="67422BCF" w14:textId="77777777" w:rsidR="009B2AC6" w:rsidRDefault="00000000">
            <w:pPr>
              <w:widowControl w:val="0"/>
              <w:spacing w:line="240" w:lineRule="auto"/>
            </w:pPr>
            <w:r>
              <w:t>Consumer Price Index for all urban consumers</w:t>
            </w:r>
          </w:p>
        </w:tc>
        <w:tc>
          <w:tcPr>
            <w:tcW w:w="1650" w:type="dxa"/>
            <w:shd w:val="clear" w:color="auto" w:fill="auto"/>
            <w:tcMar>
              <w:top w:w="100" w:type="dxa"/>
              <w:left w:w="100" w:type="dxa"/>
              <w:bottom w:w="100" w:type="dxa"/>
              <w:right w:w="100" w:type="dxa"/>
            </w:tcMar>
          </w:tcPr>
          <w:p w14:paraId="70979184" w14:textId="77777777" w:rsidR="009B2AC6" w:rsidRDefault="00000000">
            <w:pPr>
              <w:widowControl w:val="0"/>
              <w:spacing w:line="240" w:lineRule="auto"/>
            </w:pPr>
            <w:r>
              <w:t>1947 to 2024</w:t>
            </w:r>
          </w:p>
        </w:tc>
      </w:tr>
      <w:tr w:rsidR="009B2AC6" w14:paraId="73BC9BE3" w14:textId="77777777">
        <w:tc>
          <w:tcPr>
            <w:tcW w:w="3285" w:type="dxa"/>
            <w:shd w:val="clear" w:color="auto" w:fill="auto"/>
            <w:tcMar>
              <w:top w:w="100" w:type="dxa"/>
              <w:left w:w="100" w:type="dxa"/>
              <w:bottom w:w="100" w:type="dxa"/>
              <w:right w:w="100" w:type="dxa"/>
            </w:tcMar>
          </w:tcPr>
          <w:p w14:paraId="4FCD704C" w14:textId="77777777" w:rsidR="009B2AC6" w:rsidRDefault="00000000">
            <w:pPr>
              <w:widowControl w:val="0"/>
              <w:pBdr>
                <w:top w:val="nil"/>
                <w:left w:val="nil"/>
                <w:bottom w:val="nil"/>
                <w:right w:val="nil"/>
                <w:between w:val="nil"/>
              </w:pBdr>
              <w:spacing w:line="240" w:lineRule="auto"/>
            </w:pPr>
            <w:r>
              <w:t>NCHS Rural-Urban Classification Scheme</w:t>
            </w:r>
          </w:p>
        </w:tc>
        <w:tc>
          <w:tcPr>
            <w:tcW w:w="1860" w:type="dxa"/>
            <w:shd w:val="clear" w:color="auto" w:fill="auto"/>
            <w:tcMar>
              <w:top w:w="100" w:type="dxa"/>
              <w:left w:w="100" w:type="dxa"/>
              <w:bottom w:w="100" w:type="dxa"/>
              <w:right w:w="100" w:type="dxa"/>
            </w:tcMar>
          </w:tcPr>
          <w:p w14:paraId="1759F685" w14:textId="77777777" w:rsidR="009B2AC6" w:rsidRDefault="00000000">
            <w:pPr>
              <w:widowControl w:val="0"/>
              <w:pBdr>
                <w:top w:val="nil"/>
                <w:left w:val="nil"/>
                <w:bottom w:val="nil"/>
                <w:right w:val="nil"/>
                <w:between w:val="nil"/>
              </w:pBdr>
              <w:spacing w:line="240" w:lineRule="auto"/>
            </w:pPr>
            <w:r>
              <w:t>CDC - NCHS</w:t>
            </w:r>
          </w:p>
        </w:tc>
        <w:tc>
          <w:tcPr>
            <w:tcW w:w="3105" w:type="dxa"/>
            <w:shd w:val="clear" w:color="auto" w:fill="auto"/>
            <w:tcMar>
              <w:top w:w="100" w:type="dxa"/>
              <w:left w:w="100" w:type="dxa"/>
              <w:bottom w:w="100" w:type="dxa"/>
              <w:right w:w="100" w:type="dxa"/>
            </w:tcMar>
          </w:tcPr>
          <w:p w14:paraId="71530DCD" w14:textId="77777777" w:rsidR="009B2AC6" w:rsidRDefault="00000000">
            <w:pPr>
              <w:widowControl w:val="0"/>
              <w:pBdr>
                <w:top w:val="nil"/>
                <w:left w:val="nil"/>
                <w:bottom w:val="nil"/>
                <w:right w:val="nil"/>
                <w:between w:val="nil"/>
              </w:pBdr>
              <w:spacing w:line="240" w:lineRule="auto"/>
            </w:pPr>
            <w:r>
              <w:t>Urban rural classification scheme used by the CDC</w:t>
            </w:r>
          </w:p>
        </w:tc>
        <w:tc>
          <w:tcPr>
            <w:tcW w:w="1650" w:type="dxa"/>
            <w:shd w:val="clear" w:color="auto" w:fill="auto"/>
            <w:tcMar>
              <w:top w:w="100" w:type="dxa"/>
              <w:left w:w="100" w:type="dxa"/>
              <w:bottom w:w="100" w:type="dxa"/>
              <w:right w:w="100" w:type="dxa"/>
            </w:tcMar>
          </w:tcPr>
          <w:p w14:paraId="1A45683D" w14:textId="77777777" w:rsidR="009B2AC6" w:rsidRDefault="00000000">
            <w:pPr>
              <w:widowControl w:val="0"/>
              <w:pBdr>
                <w:top w:val="nil"/>
                <w:left w:val="nil"/>
                <w:bottom w:val="nil"/>
                <w:right w:val="nil"/>
                <w:between w:val="nil"/>
              </w:pBdr>
              <w:spacing w:line="240" w:lineRule="auto"/>
            </w:pPr>
            <w:r>
              <w:t>Updated 2013</w:t>
            </w:r>
          </w:p>
        </w:tc>
      </w:tr>
      <w:tr w:rsidR="009B2AC6" w14:paraId="48086196" w14:textId="77777777">
        <w:tc>
          <w:tcPr>
            <w:tcW w:w="3285" w:type="dxa"/>
            <w:shd w:val="clear" w:color="auto" w:fill="auto"/>
            <w:tcMar>
              <w:top w:w="100" w:type="dxa"/>
              <w:left w:w="100" w:type="dxa"/>
              <w:bottom w:w="100" w:type="dxa"/>
              <w:right w:w="100" w:type="dxa"/>
            </w:tcMar>
          </w:tcPr>
          <w:p w14:paraId="25B5485B" w14:textId="77777777" w:rsidR="009B2AC6" w:rsidRDefault="00000000">
            <w:pPr>
              <w:widowControl w:val="0"/>
              <w:pBdr>
                <w:top w:val="nil"/>
                <w:left w:val="nil"/>
                <w:bottom w:val="nil"/>
                <w:right w:val="nil"/>
                <w:between w:val="nil"/>
              </w:pBdr>
              <w:spacing w:line="240" w:lineRule="auto"/>
            </w:pPr>
            <w:r>
              <w:t>County Boundaries</w:t>
            </w:r>
          </w:p>
        </w:tc>
        <w:tc>
          <w:tcPr>
            <w:tcW w:w="1860" w:type="dxa"/>
            <w:shd w:val="clear" w:color="auto" w:fill="auto"/>
            <w:tcMar>
              <w:top w:w="100" w:type="dxa"/>
              <w:left w:w="100" w:type="dxa"/>
              <w:bottom w:w="100" w:type="dxa"/>
              <w:right w:w="100" w:type="dxa"/>
            </w:tcMar>
          </w:tcPr>
          <w:p w14:paraId="36A58C52" w14:textId="77777777" w:rsidR="009B2AC6" w:rsidRDefault="00000000">
            <w:pPr>
              <w:widowControl w:val="0"/>
              <w:pBdr>
                <w:top w:val="nil"/>
                <w:left w:val="nil"/>
                <w:bottom w:val="nil"/>
                <w:right w:val="nil"/>
                <w:between w:val="nil"/>
              </w:pBdr>
              <w:spacing w:line="240" w:lineRule="auto"/>
            </w:pPr>
            <w:r>
              <w:t>US Census</w:t>
            </w:r>
          </w:p>
        </w:tc>
        <w:tc>
          <w:tcPr>
            <w:tcW w:w="3105" w:type="dxa"/>
            <w:shd w:val="clear" w:color="auto" w:fill="auto"/>
            <w:tcMar>
              <w:top w:w="100" w:type="dxa"/>
              <w:left w:w="100" w:type="dxa"/>
              <w:bottom w:w="100" w:type="dxa"/>
              <w:right w:w="100" w:type="dxa"/>
            </w:tcMar>
          </w:tcPr>
          <w:p w14:paraId="080507A6" w14:textId="77777777" w:rsidR="009B2AC6" w:rsidRDefault="00000000">
            <w:pPr>
              <w:widowControl w:val="0"/>
              <w:pBdr>
                <w:top w:val="nil"/>
                <w:left w:val="nil"/>
                <w:bottom w:val="nil"/>
                <w:right w:val="nil"/>
                <w:between w:val="nil"/>
              </w:pBdr>
              <w:spacing w:line="240" w:lineRule="auto"/>
            </w:pPr>
            <w:r>
              <w:t>Shapefile for US counties</w:t>
            </w:r>
          </w:p>
        </w:tc>
        <w:tc>
          <w:tcPr>
            <w:tcW w:w="1650" w:type="dxa"/>
            <w:shd w:val="clear" w:color="auto" w:fill="auto"/>
            <w:tcMar>
              <w:top w:w="100" w:type="dxa"/>
              <w:left w:w="100" w:type="dxa"/>
              <w:bottom w:w="100" w:type="dxa"/>
              <w:right w:w="100" w:type="dxa"/>
            </w:tcMar>
          </w:tcPr>
          <w:p w14:paraId="44032753" w14:textId="77777777" w:rsidR="009B2AC6" w:rsidRDefault="00000000">
            <w:pPr>
              <w:widowControl w:val="0"/>
              <w:pBdr>
                <w:top w:val="nil"/>
                <w:left w:val="nil"/>
                <w:bottom w:val="nil"/>
                <w:right w:val="nil"/>
                <w:between w:val="nil"/>
              </w:pBdr>
              <w:spacing w:line="240" w:lineRule="auto"/>
            </w:pPr>
            <w:r>
              <w:t>Updated 2019</w:t>
            </w:r>
          </w:p>
        </w:tc>
      </w:tr>
      <w:tr w:rsidR="009B2AC6" w14:paraId="06491B64" w14:textId="77777777">
        <w:tc>
          <w:tcPr>
            <w:tcW w:w="3285" w:type="dxa"/>
            <w:shd w:val="clear" w:color="auto" w:fill="auto"/>
            <w:tcMar>
              <w:top w:w="100" w:type="dxa"/>
              <w:left w:w="100" w:type="dxa"/>
              <w:bottom w:w="100" w:type="dxa"/>
              <w:right w:w="100" w:type="dxa"/>
            </w:tcMar>
          </w:tcPr>
          <w:p w14:paraId="04948772" w14:textId="77777777" w:rsidR="009B2AC6" w:rsidRDefault="00000000">
            <w:pPr>
              <w:widowControl w:val="0"/>
              <w:pBdr>
                <w:top w:val="nil"/>
                <w:left w:val="nil"/>
                <w:bottom w:val="nil"/>
                <w:right w:val="nil"/>
                <w:between w:val="nil"/>
              </w:pBdr>
              <w:spacing w:line="240" w:lineRule="auto"/>
            </w:pPr>
            <w:r>
              <w:t>State Boundaries</w:t>
            </w:r>
          </w:p>
        </w:tc>
        <w:tc>
          <w:tcPr>
            <w:tcW w:w="1860" w:type="dxa"/>
            <w:shd w:val="clear" w:color="auto" w:fill="auto"/>
            <w:tcMar>
              <w:top w:w="100" w:type="dxa"/>
              <w:left w:w="100" w:type="dxa"/>
              <w:bottom w:w="100" w:type="dxa"/>
              <w:right w:w="100" w:type="dxa"/>
            </w:tcMar>
          </w:tcPr>
          <w:p w14:paraId="511CCC9F" w14:textId="77777777" w:rsidR="009B2AC6" w:rsidRDefault="00000000">
            <w:pPr>
              <w:widowControl w:val="0"/>
              <w:pBdr>
                <w:top w:val="nil"/>
                <w:left w:val="nil"/>
                <w:bottom w:val="nil"/>
                <w:right w:val="nil"/>
                <w:between w:val="nil"/>
              </w:pBdr>
              <w:spacing w:line="240" w:lineRule="auto"/>
            </w:pPr>
            <w:r>
              <w:t>US Census</w:t>
            </w:r>
          </w:p>
        </w:tc>
        <w:tc>
          <w:tcPr>
            <w:tcW w:w="3105" w:type="dxa"/>
            <w:shd w:val="clear" w:color="auto" w:fill="auto"/>
            <w:tcMar>
              <w:top w:w="100" w:type="dxa"/>
              <w:left w:w="100" w:type="dxa"/>
              <w:bottom w:w="100" w:type="dxa"/>
              <w:right w:w="100" w:type="dxa"/>
            </w:tcMar>
          </w:tcPr>
          <w:p w14:paraId="58E2D00B" w14:textId="77777777" w:rsidR="009B2AC6" w:rsidRDefault="00000000">
            <w:pPr>
              <w:widowControl w:val="0"/>
              <w:pBdr>
                <w:top w:val="nil"/>
                <w:left w:val="nil"/>
                <w:bottom w:val="nil"/>
                <w:right w:val="nil"/>
                <w:between w:val="nil"/>
              </w:pBdr>
              <w:spacing w:line="240" w:lineRule="auto"/>
            </w:pPr>
            <w:r>
              <w:t>Shapefile for US states</w:t>
            </w:r>
          </w:p>
        </w:tc>
        <w:tc>
          <w:tcPr>
            <w:tcW w:w="1650" w:type="dxa"/>
            <w:shd w:val="clear" w:color="auto" w:fill="auto"/>
            <w:tcMar>
              <w:top w:w="100" w:type="dxa"/>
              <w:left w:w="100" w:type="dxa"/>
              <w:bottom w:w="100" w:type="dxa"/>
              <w:right w:w="100" w:type="dxa"/>
            </w:tcMar>
          </w:tcPr>
          <w:p w14:paraId="10541F80" w14:textId="77777777" w:rsidR="009B2AC6" w:rsidRDefault="00000000">
            <w:pPr>
              <w:widowControl w:val="0"/>
              <w:pBdr>
                <w:top w:val="nil"/>
                <w:left w:val="nil"/>
                <w:bottom w:val="nil"/>
                <w:right w:val="nil"/>
                <w:between w:val="nil"/>
              </w:pBdr>
              <w:spacing w:line="240" w:lineRule="auto"/>
            </w:pPr>
            <w:r>
              <w:t>Updated 2018</w:t>
            </w:r>
          </w:p>
        </w:tc>
      </w:tr>
    </w:tbl>
    <w:p w14:paraId="3DAC6D0C" w14:textId="77777777" w:rsidR="009B2AC6" w:rsidRDefault="00000000">
      <w:pPr>
        <w:rPr>
          <w:sz w:val="20"/>
          <w:szCs w:val="20"/>
        </w:rPr>
      </w:pPr>
      <w:r>
        <w:rPr>
          <w:i/>
          <w:sz w:val="20"/>
          <w:szCs w:val="20"/>
        </w:rPr>
        <w:t xml:space="preserve">Caption: </w:t>
      </w:r>
      <w:r>
        <w:rPr>
          <w:sz w:val="20"/>
          <w:szCs w:val="20"/>
        </w:rPr>
        <w:t>Comprehensive list of data sources used for analysis.</w:t>
      </w:r>
    </w:p>
    <w:p w14:paraId="1AE03529" w14:textId="77777777" w:rsidR="009B2AC6" w:rsidRDefault="00000000">
      <w:pPr>
        <w:pStyle w:val="Heading1"/>
      </w:pPr>
      <w:bookmarkStart w:id="5" w:name="_h82rx95c96q" w:colFirst="0" w:colLast="0"/>
      <w:bookmarkEnd w:id="5"/>
      <w:r>
        <w:lastRenderedPageBreak/>
        <w:t>2) Disaster Declaration Event Types</w:t>
      </w:r>
    </w:p>
    <w:p w14:paraId="26642A88" w14:textId="02124F54" w:rsidR="009B2AC6" w:rsidRDefault="00000000">
      <w:r>
        <w:t xml:space="preserve">Here we provide the definitions provided by </w:t>
      </w:r>
      <w:r w:rsidR="001D5B92">
        <w:t>federally</w:t>
      </w:r>
      <w:r>
        <w:t xml:space="preserve"> for different types of presidential disaster declarations and specify types that are flood related used in our analysis. This provides context for our groupings found in Figure 3 in the main text.</w:t>
      </w:r>
    </w:p>
    <w:p w14:paraId="6BC06591" w14:textId="77777777" w:rsidR="009B2AC6" w:rsidRDefault="00000000">
      <w:pPr>
        <w:pStyle w:val="Heading3"/>
      </w:pPr>
      <w:bookmarkStart w:id="6" w:name="_krzli6rjcmu9" w:colFirst="0" w:colLast="0"/>
      <w:bookmarkEnd w:id="6"/>
      <w:r>
        <w:t>Table S2: FEMA Flood-Related Disaster Declaration Classifications</w:t>
      </w:r>
    </w:p>
    <w:tbl>
      <w:tblPr>
        <w:tblStyle w:val="a0"/>
        <w:tblW w:w="98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85"/>
        <w:gridCol w:w="1260"/>
        <w:gridCol w:w="5040"/>
        <w:gridCol w:w="2100"/>
      </w:tblGrid>
      <w:tr w:rsidR="009B2AC6" w14:paraId="3C2195F8" w14:textId="77777777">
        <w:tc>
          <w:tcPr>
            <w:tcW w:w="1485" w:type="dxa"/>
            <w:shd w:val="clear" w:color="auto" w:fill="auto"/>
            <w:tcMar>
              <w:top w:w="100" w:type="dxa"/>
              <w:left w:w="100" w:type="dxa"/>
              <w:bottom w:w="100" w:type="dxa"/>
              <w:right w:w="100" w:type="dxa"/>
            </w:tcMar>
          </w:tcPr>
          <w:p w14:paraId="4F05546D" w14:textId="77777777" w:rsidR="009B2AC6" w:rsidRDefault="00000000">
            <w:pPr>
              <w:widowControl w:val="0"/>
              <w:pBdr>
                <w:top w:val="nil"/>
                <w:left w:val="nil"/>
                <w:bottom w:val="nil"/>
                <w:right w:val="nil"/>
                <w:between w:val="nil"/>
              </w:pBdr>
              <w:spacing w:line="240" w:lineRule="auto"/>
              <w:rPr>
                <w:b/>
              </w:rPr>
            </w:pPr>
            <w:r>
              <w:rPr>
                <w:b/>
              </w:rPr>
              <w:t>Hazard</w:t>
            </w:r>
          </w:p>
        </w:tc>
        <w:tc>
          <w:tcPr>
            <w:tcW w:w="1260" w:type="dxa"/>
            <w:shd w:val="clear" w:color="auto" w:fill="auto"/>
            <w:tcMar>
              <w:top w:w="100" w:type="dxa"/>
              <w:left w:w="100" w:type="dxa"/>
              <w:bottom w:w="100" w:type="dxa"/>
              <w:right w:w="100" w:type="dxa"/>
            </w:tcMar>
          </w:tcPr>
          <w:p w14:paraId="1A84B0E4" w14:textId="77777777" w:rsidR="009B2AC6" w:rsidRDefault="00000000">
            <w:pPr>
              <w:widowControl w:val="0"/>
              <w:pBdr>
                <w:top w:val="nil"/>
                <w:left w:val="nil"/>
                <w:bottom w:val="nil"/>
                <w:right w:val="nil"/>
                <w:between w:val="nil"/>
              </w:pBdr>
              <w:spacing w:line="240" w:lineRule="auto"/>
              <w:rPr>
                <w:b/>
              </w:rPr>
            </w:pPr>
            <w:r>
              <w:rPr>
                <w:b/>
              </w:rPr>
              <w:t>Flooding-Related?</w:t>
            </w:r>
          </w:p>
        </w:tc>
        <w:tc>
          <w:tcPr>
            <w:tcW w:w="5040" w:type="dxa"/>
            <w:shd w:val="clear" w:color="auto" w:fill="auto"/>
            <w:tcMar>
              <w:top w:w="100" w:type="dxa"/>
              <w:left w:w="100" w:type="dxa"/>
              <w:bottom w:w="100" w:type="dxa"/>
              <w:right w:w="100" w:type="dxa"/>
            </w:tcMar>
          </w:tcPr>
          <w:p w14:paraId="6F82E5C1" w14:textId="77777777" w:rsidR="009B2AC6" w:rsidRDefault="00000000">
            <w:pPr>
              <w:widowControl w:val="0"/>
              <w:pBdr>
                <w:top w:val="nil"/>
                <w:left w:val="nil"/>
                <w:bottom w:val="nil"/>
                <w:right w:val="nil"/>
                <w:between w:val="nil"/>
              </w:pBdr>
              <w:spacing w:line="240" w:lineRule="auto"/>
              <w:rPr>
                <w:b/>
              </w:rPr>
            </w:pPr>
            <w:r>
              <w:rPr>
                <w:b/>
              </w:rPr>
              <w:t>Description (for Flooding-Related)</w:t>
            </w:r>
          </w:p>
        </w:tc>
        <w:tc>
          <w:tcPr>
            <w:tcW w:w="2100" w:type="dxa"/>
            <w:shd w:val="clear" w:color="auto" w:fill="auto"/>
            <w:tcMar>
              <w:top w:w="100" w:type="dxa"/>
              <w:left w:w="100" w:type="dxa"/>
              <w:bottom w:w="100" w:type="dxa"/>
              <w:right w:w="100" w:type="dxa"/>
            </w:tcMar>
          </w:tcPr>
          <w:p w14:paraId="0BB50F88" w14:textId="77777777" w:rsidR="009B2AC6" w:rsidRDefault="00000000">
            <w:pPr>
              <w:widowControl w:val="0"/>
              <w:pBdr>
                <w:top w:val="nil"/>
                <w:left w:val="nil"/>
                <w:bottom w:val="nil"/>
                <w:right w:val="nil"/>
                <w:between w:val="nil"/>
              </w:pBdr>
              <w:spacing w:line="240" w:lineRule="auto"/>
              <w:rPr>
                <w:b/>
              </w:rPr>
            </w:pPr>
            <w:r>
              <w:rPr>
                <w:b/>
              </w:rPr>
              <w:t>Grouping</w:t>
            </w:r>
          </w:p>
        </w:tc>
      </w:tr>
      <w:tr w:rsidR="009B2AC6" w14:paraId="7F2C4587" w14:textId="77777777">
        <w:tc>
          <w:tcPr>
            <w:tcW w:w="1485" w:type="dxa"/>
            <w:shd w:val="clear" w:color="auto" w:fill="auto"/>
            <w:tcMar>
              <w:top w:w="100" w:type="dxa"/>
              <w:left w:w="100" w:type="dxa"/>
              <w:bottom w:w="100" w:type="dxa"/>
              <w:right w:w="100" w:type="dxa"/>
            </w:tcMar>
          </w:tcPr>
          <w:p w14:paraId="6F832275" w14:textId="77777777" w:rsidR="009B2AC6" w:rsidRDefault="00000000">
            <w:pPr>
              <w:widowControl w:val="0"/>
              <w:pBdr>
                <w:top w:val="nil"/>
                <w:left w:val="nil"/>
                <w:bottom w:val="nil"/>
                <w:right w:val="nil"/>
                <w:between w:val="nil"/>
              </w:pBdr>
              <w:spacing w:line="240" w:lineRule="auto"/>
            </w:pPr>
            <w:r>
              <w:t>Hurricane</w:t>
            </w:r>
          </w:p>
        </w:tc>
        <w:tc>
          <w:tcPr>
            <w:tcW w:w="1260" w:type="dxa"/>
            <w:shd w:val="clear" w:color="auto" w:fill="auto"/>
            <w:tcMar>
              <w:top w:w="100" w:type="dxa"/>
              <w:left w:w="100" w:type="dxa"/>
              <w:bottom w:w="100" w:type="dxa"/>
              <w:right w:w="100" w:type="dxa"/>
            </w:tcMar>
          </w:tcPr>
          <w:p w14:paraId="14CDDAC4" w14:textId="77777777" w:rsidR="009B2AC6" w:rsidRDefault="00000000">
            <w:pPr>
              <w:widowControl w:val="0"/>
              <w:pBdr>
                <w:top w:val="nil"/>
                <w:left w:val="nil"/>
                <w:bottom w:val="nil"/>
                <w:right w:val="nil"/>
                <w:between w:val="nil"/>
              </w:pBdr>
              <w:spacing w:line="240" w:lineRule="auto"/>
            </w:pPr>
            <w:r>
              <w:t>Yes</w:t>
            </w:r>
          </w:p>
        </w:tc>
        <w:tc>
          <w:tcPr>
            <w:tcW w:w="5040" w:type="dxa"/>
            <w:shd w:val="clear" w:color="auto" w:fill="auto"/>
            <w:tcMar>
              <w:top w:w="100" w:type="dxa"/>
              <w:left w:w="100" w:type="dxa"/>
              <w:bottom w:w="100" w:type="dxa"/>
              <w:right w:w="100" w:type="dxa"/>
            </w:tcMar>
          </w:tcPr>
          <w:p w14:paraId="384E5936" w14:textId="77777777" w:rsidR="009B2AC6" w:rsidRDefault="00000000">
            <w:pPr>
              <w:widowControl w:val="0"/>
              <w:pBdr>
                <w:top w:val="nil"/>
                <w:left w:val="nil"/>
                <w:bottom w:val="nil"/>
                <w:right w:val="nil"/>
                <w:between w:val="nil"/>
              </w:pBdr>
              <w:spacing w:line="240" w:lineRule="auto"/>
            </w:pPr>
            <w:r>
              <w:t>Tropical cyclone with sustained winds of 64 kt (74 mph) or higher, winds may be accompanied by storm surge, and coastal and/or river flooding</w:t>
            </w:r>
          </w:p>
        </w:tc>
        <w:tc>
          <w:tcPr>
            <w:tcW w:w="2100" w:type="dxa"/>
            <w:shd w:val="clear" w:color="auto" w:fill="auto"/>
            <w:tcMar>
              <w:top w:w="100" w:type="dxa"/>
              <w:left w:w="100" w:type="dxa"/>
              <w:bottom w:w="100" w:type="dxa"/>
              <w:right w:w="100" w:type="dxa"/>
            </w:tcMar>
          </w:tcPr>
          <w:p w14:paraId="30C13573" w14:textId="77777777" w:rsidR="009B2AC6" w:rsidRDefault="00000000">
            <w:pPr>
              <w:widowControl w:val="0"/>
              <w:pBdr>
                <w:top w:val="nil"/>
                <w:left w:val="nil"/>
                <w:bottom w:val="nil"/>
                <w:right w:val="nil"/>
                <w:between w:val="nil"/>
              </w:pBdr>
              <w:spacing w:line="240" w:lineRule="auto"/>
            </w:pPr>
            <w:r>
              <w:t>Hurricane/Tropical Cyclone</w:t>
            </w:r>
          </w:p>
        </w:tc>
      </w:tr>
      <w:tr w:rsidR="009B2AC6" w14:paraId="2B54969C" w14:textId="77777777">
        <w:tc>
          <w:tcPr>
            <w:tcW w:w="1485" w:type="dxa"/>
            <w:shd w:val="clear" w:color="auto" w:fill="auto"/>
            <w:tcMar>
              <w:top w:w="100" w:type="dxa"/>
              <w:left w:w="100" w:type="dxa"/>
              <w:bottom w:w="100" w:type="dxa"/>
              <w:right w:w="100" w:type="dxa"/>
            </w:tcMar>
          </w:tcPr>
          <w:p w14:paraId="60745A8E" w14:textId="77777777" w:rsidR="009B2AC6" w:rsidRDefault="00000000">
            <w:pPr>
              <w:widowControl w:val="0"/>
              <w:pBdr>
                <w:top w:val="nil"/>
                <w:left w:val="nil"/>
                <w:bottom w:val="nil"/>
                <w:right w:val="nil"/>
                <w:between w:val="nil"/>
              </w:pBdr>
              <w:spacing w:line="240" w:lineRule="auto"/>
            </w:pPr>
            <w:r>
              <w:t>Tropical Storm</w:t>
            </w:r>
          </w:p>
        </w:tc>
        <w:tc>
          <w:tcPr>
            <w:tcW w:w="1260" w:type="dxa"/>
            <w:shd w:val="clear" w:color="auto" w:fill="auto"/>
            <w:tcMar>
              <w:top w:w="100" w:type="dxa"/>
              <w:left w:w="100" w:type="dxa"/>
              <w:bottom w:w="100" w:type="dxa"/>
              <w:right w:w="100" w:type="dxa"/>
            </w:tcMar>
          </w:tcPr>
          <w:p w14:paraId="6AC2E5DB" w14:textId="77777777" w:rsidR="009B2AC6" w:rsidRDefault="00000000">
            <w:pPr>
              <w:widowControl w:val="0"/>
              <w:pBdr>
                <w:top w:val="nil"/>
                <w:left w:val="nil"/>
                <w:bottom w:val="nil"/>
                <w:right w:val="nil"/>
                <w:between w:val="nil"/>
              </w:pBdr>
              <w:spacing w:line="240" w:lineRule="auto"/>
            </w:pPr>
            <w:r>
              <w:t>Yes</w:t>
            </w:r>
          </w:p>
        </w:tc>
        <w:tc>
          <w:tcPr>
            <w:tcW w:w="5040" w:type="dxa"/>
            <w:shd w:val="clear" w:color="auto" w:fill="auto"/>
            <w:tcMar>
              <w:top w:w="100" w:type="dxa"/>
              <w:left w:w="100" w:type="dxa"/>
              <w:bottom w:w="100" w:type="dxa"/>
              <w:right w:w="100" w:type="dxa"/>
            </w:tcMar>
          </w:tcPr>
          <w:p w14:paraId="51F8EE74" w14:textId="77777777" w:rsidR="009B2AC6" w:rsidRDefault="00000000">
            <w:pPr>
              <w:widowControl w:val="0"/>
              <w:pBdr>
                <w:top w:val="nil"/>
                <w:left w:val="nil"/>
                <w:bottom w:val="nil"/>
                <w:right w:val="nil"/>
                <w:between w:val="nil"/>
              </w:pBdr>
              <w:spacing w:line="240" w:lineRule="auto"/>
            </w:pPr>
            <w:r>
              <w:t>Tropical cyclone with sustained winds of 34 to 63 kt (39 to 73 mph) or higher, winds may be accompanied by storm surge, and coastal and/or river flooding</w:t>
            </w:r>
          </w:p>
        </w:tc>
        <w:tc>
          <w:tcPr>
            <w:tcW w:w="2100" w:type="dxa"/>
            <w:shd w:val="clear" w:color="auto" w:fill="auto"/>
            <w:tcMar>
              <w:top w:w="100" w:type="dxa"/>
              <w:left w:w="100" w:type="dxa"/>
              <w:bottom w:w="100" w:type="dxa"/>
              <w:right w:w="100" w:type="dxa"/>
            </w:tcMar>
          </w:tcPr>
          <w:p w14:paraId="55E0C78F" w14:textId="77777777" w:rsidR="009B2AC6" w:rsidRDefault="00000000">
            <w:pPr>
              <w:widowControl w:val="0"/>
              <w:spacing w:line="240" w:lineRule="auto"/>
            </w:pPr>
            <w:r>
              <w:t>Hurricane/Tropical Cyclone</w:t>
            </w:r>
          </w:p>
        </w:tc>
      </w:tr>
      <w:tr w:rsidR="009B2AC6" w14:paraId="1289AD8F" w14:textId="77777777">
        <w:tc>
          <w:tcPr>
            <w:tcW w:w="1485" w:type="dxa"/>
            <w:shd w:val="clear" w:color="auto" w:fill="auto"/>
            <w:tcMar>
              <w:top w:w="100" w:type="dxa"/>
              <w:left w:w="100" w:type="dxa"/>
              <w:bottom w:w="100" w:type="dxa"/>
              <w:right w:w="100" w:type="dxa"/>
            </w:tcMar>
          </w:tcPr>
          <w:p w14:paraId="6722BA75" w14:textId="77777777" w:rsidR="009B2AC6" w:rsidRDefault="00000000">
            <w:pPr>
              <w:widowControl w:val="0"/>
              <w:pBdr>
                <w:top w:val="nil"/>
                <w:left w:val="nil"/>
                <w:bottom w:val="nil"/>
                <w:right w:val="nil"/>
                <w:between w:val="nil"/>
              </w:pBdr>
              <w:spacing w:line="240" w:lineRule="auto"/>
            </w:pPr>
            <w:r>
              <w:t>Severe Storm</w:t>
            </w:r>
          </w:p>
        </w:tc>
        <w:tc>
          <w:tcPr>
            <w:tcW w:w="1260" w:type="dxa"/>
            <w:shd w:val="clear" w:color="auto" w:fill="auto"/>
            <w:tcMar>
              <w:top w:w="100" w:type="dxa"/>
              <w:left w:w="100" w:type="dxa"/>
              <w:bottom w:w="100" w:type="dxa"/>
              <w:right w:w="100" w:type="dxa"/>
            </w:tcMar>
          </w:tcPr>
          <w:p w14:paraId="3A5807E6" w14:textId="77777777" w:rsidR="009B2AC6" w:rsidRDefault="00000000">
            <w:pPr>
              <w:widowControl w:val="0"/>
              <w:pBdr>
                <w:top w:val="nil"/>
                <w:left w:val="nil"/>
                <w:bottom w:val="nil"/>
                <w:right w:val="nil"/>
                <w:between w:val="nil"/>
              </w:pBdr>
              <w:spacing w:line="240" w:lineRule="auto"/>
            </w:pPr>
            <w:r>
              <w:t>Yes</w:t>
            </w:r>
          </w:p>
        </w:tc>
        <w:tc>
          <w:tcPr>
            <w:tcW w:w="5040" w:type="dxa"/>
            <w:shd w:val="clear" w:color="auto" w:fill="auto"/>
            <w:tcMar>
              <w:top w:w="100" w:type="dxa"/>
              <w:left w:w="100" w:type="dxa"/>
              <w:bottom w:w="100" w:type="dxa"/>
              <w:right w:w="100" w:type="dxa"/>
            </w:tcMar>
          </w:tcPr>
          <w:p w14:paraId="5E33E3E3" w14:textId="77777777" w:rsidR="009B2AC6" w:rsidRDefault="00000000">
            <w:pPr>
              <w:widowControl w:val="0"/>
              <w:pBdr>
                <w:top w:val="nil"/>
                <w:left w:val="nil"/>
                <w:bottom w:val="nil"/>
                <w:right w:val="nil"/>
                <w:between w:val="nil"/>
              </w:pBdr>
              <w:spacing w:line="240" w:lineRule="auto"/>
            </w:pPr>
            <w:r>
              <w:t>Hydrologic events produced by thunderstorms with</w:t>
            </w:r>
          </w:p>
          <w:p w14:paraId="07BA536F" w14:textId="77777777" w:rsidR="009B2AC6" w:rsidRDefault="00000000">
            <w:pPr>
              <w:widowControl w:val="0"/>
              <w:pBdr>
                <w:top w:val="nil"/>
                <w:left w:val="nil"/>
                <w:bottom w:val="nil"/>
                <w:right w:val="nil"/>
                <w:between w:val="nil"/>
              </w:pBdr>
              <w:spacing w:line="240" w:lineRule="auto"/>
            </w:pPr>
            <w:r>
              <w:t>1) Winds of 58 mph or higher (damaging winds)</w:t>
            </w:r>
          </w:p>
          <w:p w14:paraId="121F863E" w14:textId="77777777" w:rsidR="009B2AC6" w:rsidRDefault="00000000">
            <w:pPr>
              <w:widowControl w:val="0"/>
              <w:pBdr>
                <w:top w:val="nil"/>
                <w:left w:val="nil"/>
                <w:bottom w:val="nil"/>
                <w:right w:val="nil"/>
                <w:between w:val="nil"/>
              </w:pBdr>
              <w:spacing w:line="240" w:lineRule="auto"/>
            </w:pPr>
            <w:r>
              <w:t>AND/OR</w:t>
            </w:r>
          </w:p>
          <w:p w14:paraId="5E6DC5D9" w14:textId="77777777" w:rsidR="009B2AC6" w:rsidRDefault="00000000">
            <w:pPr>
              <w:widowControl w:val="0"/>
              <w:pBdr>
                <w:top w:val="nil"/>
                <w:left w:val="nil"/>
                <w:bottom w:val="nil"/>
                <w:right w:val="nil"/>
                <w:between w:val="nil"/>
              </w:pBdr>
              <w:spacing w:line="240" w:lineRule="auto"/>
            </w:pPr>
            <w:r>
              <w:t>2) Hail 1 inch in diameter or larger</w:t>
            </w:r>
          </w:p>
          <w:p w14:paraId="344C010E" w14:textId="77777777" w:rsidR="009B2AC6" w:rsidRDefault="00000000">
            <w:pPr>
              <w:widowControl w:val="0"/>
              <w:pBdr>
                <w:top w:val="nil"/>
                <w:left w:val="nil"/>
                <w:bottom w:val="nil"/>
                <w:right w:val="nil"/>
                <w:between w:val="nil"/>
              </w:pBdr>
              <w:spacing w:line="240" w:lineRule="auto"/>
            </w:pPr>
            <w:r>
              <w:t xml:space="preserve">With characteristics of flash flooding, </w:t>
            </w:r>
            <w:proofErr w:type="spellStart"/>
            <w:r>
              <w:t>dama</w:t>
            </w:r>
            <w:proofErr w:type="spellEnd"/>
          </w:p>
        </w:tc>
        <w:tc>
          <w:tcPr>
            <w:tcW w:w="2100" w:type="dxa"/>
            <w:shd w:val="clear" w:color="auto" w:fill="auto"/>
            <w:tcMar>
              <w:top w:w="100" w:type="dxa"/>
              <w:left w:w="100" w:type="dxa"/>
              <w:bottom w:w="100" w:type="dxa"/>
              <w:right w:w="100" w:type="dxa"/>
            </w:tcMar>
          </w:tcPr>
          <w:p w14:paraId="62D14D27" w14:textId="77777777" w:rsidR="009B2AC6" w:rsidRDefault="00000000">
            <w:pPr>
              <w:widowControl w:val="0"/>
              <w:pBdr>
                <w:top w:val="nil"/>
                <w:left w:val="nil"/>
                <w:bottom w:val="nil"/>
                <w:right w:val="nil"/>
                <w:between w:val="nil"/>
              </w:pBdr>
              <w:spacing w:line="240" w:lineRule="auto"/>
            </w:pPr>
            <w:r>
              <w:t>Storm</w:t>
            </w:r>
          </w:p>
        </w:tc>
      </w:tr>
      <w:tr w:rsidR="009B2AC6" w14:paraId="7B55A0AC" w14:textId="77777777">
        <w:tc>
          <w:tcPr>
            <w:tcW w:w="1485" w:type="dxa"/>
            <w:shd w:val="clear" w:color="auto" w:fill="auto"/>
            <w:tcMar>
              <w:top w:w="100" w:type="dxa"/>
              <w:left w:w="100" w:type="dxa"/>
              <w:bottom w:w="100" w:type="dxa"/>
              <w:right w:w="100" w:type="dxa"/>
            </w:tcMar>
          </w:tcPr>
          <w:p w14:paraId="46D3F900" w14:textId="77777777" w:rsidR="009B2AC6" w:rsidRDefault="00000000">
            <w:pPr>
              <w:widowControl w:val="0"/>
              <w:pBdr>
                <w:top w:val="nil"/>
                <w:left w:val="nil"/>
                <w:bottom w:val="nil"/>
                <w:right w:val="nil"/>
                <w:between w:val="nil"/>
              </w:pBdr>
              <w:spacing w:line="240" w:lineRule="auto"/>
            </w:pPr>
            <w:r>
              <w:t>Coastal Storm</w:t>
            </w:r>
          </w:p>
        </w:tc>
        <w:tc>
          <w:tcPr>
            <w:tcW w:w="1260" w:type="dxa"/>
            <w:shd w:val="clear" w:color="auto" w:fill="auto"/>
            <w:tcMar>
              <w:top w:w="100" w:type="dxa"/>
              <w:left w:w="100" w:type="dxa"/>
              <w:bottom w:w="100" w:type="dxa"/>
              <w:right w:w="100" w:type="dxa"/>
            </w:tcMar>
          </w:tcPr>
          <w:p w14:paraId="4D045BBA" w14:textId="77777777" w:rsidR="009B2AC6" w:rsidRDefault="00000000">
            <w:pPr>
              <w:widowControl w:val="0"/>
              <w:pBdr>
                <w:top w:val="nil"/>
                <w:left w:val="nil"/>
                <w:bottom w:val="nil"/>
                <w:right w:val="nil"/>
                <w:between w:val="nil"/>
              </w:pBdr>
              <w:spacing w:line="240" w:lineRule="auto"/>
            </w:pPr>
            <w:r>
              <w:t>Yes</w:t>
            </w:r>
          </w:p>
        </w:tc>
        <w:tc>
          <w:tcPr>
            <w:tcW w:w="5040" w:type="dxa"/>
            <w:shd w:val="clear" w:color="auto" w:fill="auto"/>
            <w:tcMar>
              <w:top w:w="100" w:type="dxa"/>
              <w:left w:w="100" w:type="dxa"/>
              <w:bottom w:w="100" w:type="dxa"/>
              <w:right w:w="100" w:type="dxa"/>
            </w:tcMar>
          </w:tcPr>
          <w:p w14:paraId="3B3FC989" w14:textId="77777777" w:rsidR="009B2AC6" w:rsidRDefault="00000000">
            <w:pPr>
              <w:widowControl w:val="0"/>
              <w:pBdr>
                <w:top w:val="nil"/>
                <w:left w:val="nil"/>
                <w:bottom w:val="nil"/>
                <w:right w:val="nil"/>
                <w:between w:val="nil"/>
              </w:pBdr>
              <w:spacing w:line="240" w:lineRule="auto"/>
            </w:pPr>
            <w:r>
              <w:t>Ocean/lake water being forced inland from the nearby body such as storm surge (caused by either nor'easters, tropical cyclones or thunderstorms)</w:t>
            </w:r>
          </w:p>
        </w:tc>
        <w:tc>
          <w:tcPr>
            <w:tcW w:w="2100" w:type="dxa"/>
            <w:shd w:val="clear" w:color="auto" w:fill="auto"/>
            <w:tcMar>
              <w:top w:w="100" w:type="dxa"/>
              <w:left w:w="100" w:type="dxa"/>
              <w:bottom w:w="100" w:type="dxa"/>
              <w:right w:w="100" w:type="dxa"/>
            </w:tcMar>
          </w:tcPr>
          <w:p w14:paraId="192353E1" w14:textId="77777777" w:rsidR="009B2AC6" w:rsidRDefault="00000000">
            <w:pPr>
              <w:widowControl w:val="0"/>
              <w:pBdr>
                <w:top w:val="nil"/>
                <w:left w:val="nil"/>
                <w:bottom w:val="nil"/>
                <w:right w:val="nil"/>
                <w:between w:val="nil"/>
              </w:pBdr>
              <w:spacing w:line="240" w:lineRule="auto"/>
            </w:pPr>
            <w:r>
              <w:t>Storm</w:t>
            </w:r>
          </w:p>
        </w:tc>
      </w:tr>
      <w:tr w:rsidR="009B2AC6" w14:paraId="53BB7711" w14:textId="77777777">
        <w:tc>
          <w:tcPr>
            <w:tcW w:w="1485" w:type="dxa"/>
            <w:shd w:val="clear" w:color="auto" w:fill="auto"/>
            <w:tcMar>
              <w:top w:w="100" w:type="dxa"/>
              <w:left w:w="100" w:type="dxa"/>
              <w:bottom w:w="100" w:type="dxa"/>
              <w:right w:w="100" w:type="dxa"/>
            </w:tcMar>
          </w:tcPr>
          <w:p w14:paraId="1F01E0B2" w14:textId="77777777" w:rsidR="009B2AC6" w:rsidRDefault="00000000">
            <w:pPr>
              <w:widowControl w:val="0"/>
              <w:pBdr>
                <w:top w:val="nil"/>
                <w:left w:val="nil"/>
                <w:bottom w:val="nil"/>
                <w:right w:val="nil"/>
                <w:between w:val="nil"/>
              </w:pBdr>
              <w:spacing w:line="240" w:lineRule="auto"/>
            </w:pPr>
            <w:r>
              <w:t>Dam/Levee Break</w:t>
            </w:r>
          </w:p>
        </w:tc>
        <w:tc>
          <w:tcPr>
            <w:tcW w:w="1260" w:type="dxa"/>
            <w:shd w:val="clear" w:color="auto" w:fill="auto"/>
            <w:tcMar>
              <w:top w:w="100" w:type="dxa"/>
              <w:left w:w="100" w:type="dxa"/>
              <w:bottom w:w="100" w:type="dxa"/>
              <w:right w:w="100" w:type="dxa"/>
            </w:tcMar>
          </w:tcPr>
          <w:p w14:paraId="2615CA08" w14:textId="77777777" w:rsidR="009B2AC6" w:rsidRDefault="00000000">
            <w:pPr>
              <w:widowControl w:val="0"/>
              <w:pBdr>
                <w:top w:val="nil"/>
                <w:left w:val="nil"/>
                <w:bottom w:val="nil"/>
                <w:right w:val="nil"/>
                <w:between w:val="nil"/>
              </w:pBdr>
              <w:spacing w:line="240" w:lineRule="auto"/>
            </w:pPr>
            <w:r>
              <w:t>Yes</w:t>
            </w:r>
          </w:p>
        </w:tc>
        <w:tc>
          <w:tcPr>
            <w:tcW w:w="5040" w:type="dxa"/>
            <w:shd w:val="clear" w:color="auto" w:fill="auto"/>
            <w:tcMar>
              <w:top w:w="100" w:type="dxa"/>
              <w:left w:w="100" w:type="dxa"/>
              <w:bottom w:w="100" w:type="dxa"/>
              <w:right w:w="100" w:type="dxa"/>
            </w:tcMar>
          </w:tcPr>
          <w:p w14:paraId="2CF465AE" w14:textId="77777777" w:rsidR="009B2AC6" w:rsidRDefault="00000000">
            <w:pPr>
              <w:widowControl w:val="0"/>
              <w:pBdr>
                <w:top w:val="nil"/>
                <w:left w:val="nil"/>
                <w:bottom w:val="nil"/>
                <w:right w:val="nil"/>
                <w:between w:val="nil"/>
              </w:pBdr>
              <w:spacing w:line="240" w:lineRule="auto"/>
            </w:pPr>
            <w:r>
              <w:t>Break of dam or levee.</w:t>
            </w:r>
          </w:p>
        </w:tc>
        <w:tc>
          <w:tcPr>
            <w:tcW w:w="2100" w:type="dxa"/>
            <w:shd w:val="clear" w:color="auto" w:fill="auto"/>
            <w:tcMar>
              <w:top w:w="100" w:type="dxa"/>
              <w:left w:w="100" w:type="dxa"/>
              <w:bottom w:w="100" w:type="dxa"/>
              <w:right w:w="100" w:type="dxa"/>
            </w:tcMar>
          </w:tcPr>
          <w:p w14:paraId="36ED96B5" w14:textId="77777777" w:rsidR="009B2AC6" w:rsidRDefault="00000000">
            <w:pPr>
              <w:widowControl w:val="0"/>
              <w:spacing w:line="240" w:lineRule="auto"/>
            </w:pPr>
            <w:r>
              <w:t>Dam/Levee Break</w:t>
            </w:r>
          </w:p>
        </w:tc>
      </w:tr>
      <w:tr w:rsidR="009B2AC6" w14:paraId="74417860" w14:textId="77777777">
        <w:tc>
          <w:tcPr>
            <w:tcW w:w="1485" w:type="dxa"/>
            <w:shd w:val="clear" w:color="auto" w:fill="auto"/>
            <w:tcMar>
              <w:top w:w="100" w:type="dxa"/>
              <w:left w:w="100" w:type="dxa"/>
              <w:bottom w:w="100" w:type="dxa"/>
              <w:right w:w="100" w:type="dxa"/>
            </w:tcMar>
          </w:tcPr>
          <w:p w14:paraId="59D3B4CB" w14:textId="77777777" w:rsidR="009B2AC6" w:rsidRDefault="00000000">
            <w:pPr>
              <w:widowControl w:val="0"/>
              <w:pBdr>
                <w:top w:val="nil"/>
                <w:left w:val="nil"/>
                <w:bottom w:val="nil"/>
                <w:right w:val="nil"/>
                <w:between w:val="nil"/>
              </w:pBdr>
              <w:spacing w:line="240" w:lineRule="auto"/>
            </w:pPr>
            <w:r>
              <w:t>Flood</w:t>
            </w:r>
          </w:p>
        </w:tc>
        <w:tc>
          <w:tcPr>
            <w:tcW w:w="1260" w:type="dxa"/>
            <w:shd w:val="clear" w:color="auto" w:fill="auto"/>
            <w:tcMar>
              <w:top w:w="100" w:type="dxa"/>
              <w:left w:w="100" w:type="dxa"/>
              <w:bottom w:w="100" w:type="dxa"/>
              <w:right w:w="100" w:type="dxa"/>
            </w:tcMar>
          </w:tcPr>
          <w:p w14:paraId="29CBC5FC" w14:textId="77777777" w:rsidR="009B2AC6" w:rsidRDefault="00000000">
            <w:pPr>
              <w:widowControl w:val="0"/>
              <w:pBdr>
                <w:top w:val="nil"/>
                <w:left w:val="nil"/>
                <w:bottom w:val="nil"/>
                <w:right w:val="nil"/>
                <w:between w:val="nil"/>
              </w:pBdr>
              <w:spacing w:line="240" w:lineRule="auto"/>
            </w:pPr>
            <w:r>
              <w:t>Yes</w:t>
            </w:r>
          </w:p>
        </w:tc>
        <w:tc>
          <w:tcPr>
            <w:tcW w:w="5040" w:type="dxa"/>
            <w:shd w:val="clear" w:color="auto" w:fill="auto"/>
            <w:tcMar>
              <w:top w:w="100" w:type="dxa"/>
              <w:left w:w="100" w:type="dxa"/>
              <w:bottom w:w="100" w:type="dxa"/>
              <w:right w:w="100" w:type="dxa"/>
            </w:tcMar>
          </w:tcPr>
          <w:p w14:paraId="09772027" w14:textId="77777777" w:rsidR="009B2AC6" w:rsidRDefault="00000000">
            <w:pPr>
              <w:widowControl w:val="0"/>
              <w:pBdr>
                <w:top w:val="nil"/>
                <w:left w:val="nil"/>
                <w:bottom w:val="nil"/>
                <w:right w:val="nil"/>
                <w:between w:val="nil"/>
              </w:pBdr>
              <w:spacing w:line="240" w:lineRule="auto"/>
            </w:pPr>
            <w:r>
              <w:t>General flooding of streets, low-lying areas, urban storm drains, creeks, and small streams. Associated with excessive rainfall, or when flooding is imminent/occurring. Includes riverine flooding, flash floods.</w:t>
            </w:r>
          </w:p>
        </w:tc>
        <w:tc>
          <w:tcPr>
            <w:tcW w:w="2100" w:type="dxa"/>
            <w:shd w:val="clear" w:color="auto" w:fill="auto"/>
            <w:tcMar>
              <w:top w:w="100" w:type="dxa"/>
              <w:left w:w="100" w:type="dxa"/>
              <w:bottom w:w="100" w:type="dxa"/>
              <w:right w:w="100" w:type="dxa"/>
            </w:tcMar>
          </w:tcPr>
          <w:p w14:paraId="3A193636" w14:textId="77777777" w:rsidR="009B2AC6" w:rsidRDefault="00000000">
            <w:pPr>
              <w:widowControl w:val="0"/>
              <w:pBdr>
                <w:top w:val="nil"/>
                <w:left w:val="nil"/>
                <w:bottom w:val="nil"/>
                <w:right w:val="nil"/>
                <w:between w:val="nil"/>
              </w:pBdr>
              <w:spacing w:line="240" w:lineRule="auto"/>
            </w:pPr>
            <w:r>
              <w:t>Flood</w:t>
            </w:r>
          </w:p>
        </w:tc>
      </w:tr>
      <w:tr w:rsidR="009B2AC6" w14:paraId="3EE53123" w14:textId="77777777">
        <w:tc>
          <w:tcPr>
            <w:tcW w:w="1485" w:type="dxa"/>
            <w:shd w:val="clear" w:color="auto" w:fill="auto"/>
            <w:tcMar>
              <w:top w:w="100" w:type="dxa"/>
              <w:left w:w="100" w:type="dxa"/>
              <w:bottom w:w="100" w:type="dxa"/>
              <w:right w:w="100" w:type="dxa"/>
            </w:tcMar>
          </w:tcPr>
          <w:p w14:paraId="0EB3F503" w14:textId="77777777" w:rsidR="009B2AC6" w:rsidRDefault="00000000">
            <w:pPr>
              <w:widowControl w:val="0"/>
              <w:spacing w:line="240" w:lineRule="auto"/>
            </w:pPr>
            <w:r>
              <w:t>Tsunami</w:t>
            </w:r>
          </w:p>
        </w:tc>
        <w:tc>
          <w:tcPr>
            <w:tcW w:w="1260" w:type="dxa"/>
            <w:shd w:val="clear" w:color="auto" w:fill="auto"/>
            <w:tcMar>
              <w:top w:w="100" w:type="dxa"/>
              <w:left w:w="100" w:type="dxa"/>
              <w:bottom w:w="100" w:type="dxa"/>
              <w:right w:w="100" w:type="dxa"/>
            </w:tcMar>
          </w:tcPr>
          <w:p w14:paraId="28CB2A6A" w14:textId="77777777" w:rsidR="009B2AC6" w:rsidRDefault="00000000">
            <w:pPr>
              <w:widowControl w:val="0"/>
              <w:pBdr>
                <w:top w:val="nil"/>
                <w:left w:val="nil"/>
                <w:bottom w:val="nil"/>
                <w:right w:val="nil"/>
                <w:between w:val="nil"/>
              </w:pBdr>
              <w:spacing w:line="240" w:lineRule="auto"/>
            </w:pPr>
            <w:r>
              <w:t>Yes, but typically seismologically induced, not considere</w:t>
            </w:r>
            <w:r>
              <w:lastRenderedPageBreak/>
              <w:t>d</w:t>
            </w:r>
          </w:p>
        </w:tc>
        <w:tc>
          <w:tcPr>
            <w:tcW w:w="5040" w:type="dxa"/>
            <w:shd w:val="clear" w:color="auto" w:fill="auto"/>
            <w:tcMar>
              <w:top w:w="100" w:type="dxa"/>
              <w:left w:w="100" w:type="dxa"/>
              <w:bottom w:w="100" w:type="dxa"/>
              <w:right w:w="100" w:type="dxa"/>
            </w:tcMar>
          </w:tcPr>
          <w:p w14:paraId="1526F270" w14:textId="77777777" w:rsidR="009B2AC6" w:rsidRDefault="00000000">
            <w:pPr>
              <w:widowControl w:val="0"/>
              <w:pBdr>
                <w:top w:val="nil"/>
                <w:left w:val="nil"/>
                <w:bottom w:val="nil"/>
                <w:right w:val="nil"/>
                <w:between w:val="nil"/>
              </w:pBdr>
              <w:spacing w:line="240" w:lineRule="auto"/>
            </w:pPr>
            <w:r>
              <w:lastRenderedPageBreak/>
              <w:t>Potential to generate strong currents or waves dangerous to those in or very near the water is imminent, expected, or occurring</w:t>
            </w:r>
          </w:p>
        </w:tc>
        <w:tc>
          <w:tcPr>
            <w:tcW w:w="2100" w:type="dxa"/>
            <w:shd w:val="clear" w:color="auto" w:fill="auto"/>
            <w:tcMar>
              <w:top w:w="100" w:type="dxa"/>
              <w:left w:w="100" w:type="dxa"/>
              <w:bottom w:w="100" w:type="dxa"/>
              <w:right w:w="100" w:type="dxa"/>
            </w:tcMar>
          </w:tcPr>
          <w:p w14:paraId="122F6292" w14:textId="77777777" w:rsidR="009B2AC6" w:rsidRDefault="00000000">
            <w:pPr>
              <w:widowControl w:val="0"/>
              <w:pBdr>
                <w:top w:val="nil"/>
                <w:left w:val="nil"/>
                <w:bottom w:val="nil"/>
                <w:right w:val="nil"/>
                <w:between w:val="nil"/>
              </w:pBdr>
              <w:spacing w:line="240" w:lineRule="auto"/>
            </w:pPr>
            <w:r>
              <w:t>N/A</w:t>
            </w:r>
          </w:p>
        </w:tc>
      </w:tr>
      <w:tr w:rsidR="009B2AC6" w14:paraId="346A188B" w14:textId="77777777">
        <w:tc>
          <w:tcPr>
            <w:tcW w:w="1485" w:type="dxa"/>
            <w:shd w:val="clear" w:color="auto" w:fill="auto"/>
            <w:tcMar>
              <w:top w:w="100" w:type="dxa"/>
              <w:left w:w="100" w:type="dxa"/>
              <w:bottom w:w="100" w:type="dxa"/>
              <w:right w:w="100" w:type="dxa"/>
            </w:tcMar>
          </w:tcPr>
          <w:p w14:paraId="799AEB18" w14:textId="77777777" w:rsidR="009B2AC6" w:rsidRDefault="00000000">
            <w:pPr>
              <w:widowControl w:val="0"/>
              <w:spacing w:line="240" w:lineRule="auto"/>
            </w:pPr>
            <w:r>
              <w:t>Mud/Landslide</w:t>
            </w:r>
          </w:p>
        </w:tc>
        <w:tc>
          <w:tcPr>
            <w:tcW w:w="1260" w:type="dxa"/>
            <w:shd w:val="clear" w:color="auto" w:fill="auto"/>
            <w:tcMar>
              <w:top w:w="100" w:type="dxa"/>
              <w:left w:w="100" w:type="dxa"/>
              <w:bottom w:w="100" w:type="dxa"/>
              <w:right w:w="100" w:type="dxa"/>
            </w:tcMar>
          </w:tcPr>
          <w:p w14:paraId="473A00B0" w14:textId="77777777" w:rsidR="009B2AC6" w:rsidRDefault="00000000">
            <w:pPr>
              <w:widowControl w:val="0"/>
              <w:spacing w:line="240" w:lineRule="auto"/>
            </w:pPr>
            <w:r>
              <w:t>Potentially, but not considered due to confounding factors such as erosion</w:t>
            </w:r>
          </w:p>
        </w:tc>
        <w:tc>
          <w:tcPr>
            <w:tcW w:w="5040" w:type="dxa"/>
            <w:shd w:val="clear" w:color="auto" w:fill="auto"/>
            <w:tcMar>
              <w:top w:w="100" w:type="dxa"/>
              <w:left w:w="100" w:type="dxa"/>
              <w:bottom w:w="100" w:type="dxa"/>
              <w:right w:w="100" w:type="dxa"/>
            </w:tcMar>
          </w:tcPr>
          <w:p w14:paraId="17393B47" w14:textId="77777777" w:rsidR="009B2AC6" w:rsidRDefault="00000000">
            <w:pPr>
              <w:widowControl w:val="0"/>
              <w:pBdr>
                <w:top w:val="nil"/>
                <w:left w:val="nil"/>
                <w:bottom w:val="nil"/>
                <w:right w:val="nil"/>
                <w:between w:val="nil"/>
              </w:pBdr>
              <w:spacing w:line="240" w:lineRule="auto"/>
            </w:pPr>
            <w:r>
              <w:t>Mass sliding of the earth or ground.</w:t>
            </w:r>
          </w:p>
        </w:tc>
        <w:tc>
          <w:tcPr>
            <w:tcW w:w="2100" w:type="dxa"/>
            <w:shd w:val="clear" w:color="auto" w:fill="auto"/>
            <w:tcMar>
              <w:top w:w="100" w:type="dxa"/>
              <w:left w:w="100" w:type="dxa"/>
              <w:bottom w:w="100" w:type="dxa"/>
              <w:right w:w="100" w:type="dxa"/>
            </w:tcMar>
          </w:tcPr>
          <w:p w14:paraId="09A3D662" w14:textId="77777777" w:rsidR="009B2AC6" w:rsidRDefault="00000000">
            <w:pPr>
              <w:widowControl w:val="0"/>
              <w:spacing w:line="240" w:lineRule="auto"/>
            </w:pPr>
            <w:r>
              <w:t>N/A</w:t>
            </w:r>
          </w:p>
          <w:p w14:paraId="6D641AEE" w14:textId="77777777" w:rsidR="009B2AC6" w:rsidRDefault="009B2AC6">
            <w:pPr>
              <w:widowControl w:val="0"/>
              <w:pBdr>
                <w:top w:val="nil"/>
                <w:left w:val="nil"/>
                <w:bottom w:val="nil"/>
                <w:right w:val="nil"/>
                <w:between w:val="nil"/>
              </w:pBdr>
              <w:spacing w:line="240" w:lineRule="auto"/>
            </w:pPr>
          </w:p>
        </w:tc>
      </w:tr>
      <w:tr w:rsidR="009B2AC6" w14:paraId="6C56AC59" w14:textId="77777777">
        <w:tc>
          <w:tcPr>
            <w:tcW w:w="1485" w:type="dxa"/>
            <w:shd w:val="clear" w:color="auto" w:fill="auto"/>
            <w:tcMar>
              <w:top w:w="100" w:type="dxa"/>
              <w:left w:w="100" w:type="dxa"/>
              <w:bottom w:w="100" w:type="dxa"/>
              <w:right w:w="100" w:type="dxa"/>
            </w:tcMar>
          </w:tcPr>
          <w:p w14:paraId="653C5E8A" w14:textId="77777777" w:rsidR="009B2AC6" w:rsidRDefault="00000000">
            <w:pPr>
              <w:widowControl w:val="0"/>
              <w:spacing w:line="240" w:lineRule="auto"/>
            </w:pPr>
            <w:r>
              <w:t>Severe Ice Storm</w:t>
            </w:r>
          </w:p>
        </w:tc>
        <w:tc>
          <w:tcPr>
            <w:tcW w:w="1260" w:type="dxa"/>
            <w:shd w:val="clear" w:color="auto" w:fill="auto"/>
            <w:tcMar>
              <w:top w:w="100" w:type="dxa"/>
              <w:left w:w="100" w:type="dxa"/>
              <w:bottom w:w="100" w:type="dxa"/>
              <w:right w:w="100" w:type="dxa"/>
            </w:tcMar>
          </w:tcPr>
          <w:p w14:paraId="5803D05D" w14:textId="77777777" w:rsidR="009B2AC6" w:rsidRDefault="00000000">
            <w:pPr>
              <w:widowControl w:val="0"/>
              <w:pBdr>
                <w:top w:val="nil"/>
                <w:left w:val="nil"/>
                <w:bottom w:val="nil"/>
                <w:right w:val="nil"/>
                <w:between w:val="nil"/>
              </w:pBdr>
              <w:spacing w:line="240" w:lineRule="auto"/>
            </w:pPr>
            <w:r>
              <w:t>Not directly</w:t>
            </w:r>
          </w:p>
        </w:tc>
        <w:tc>
          <w:tcPr>
            <w:tcW w:w="5040" w:type="dxa"/>
            <w:shd w:val="clear" w:color="auto" w:fill="auto"/>
            <w:tcMar>
              <w:top w:w="100" w:type="dxa"/>
              <w:left w:w="100" w:type="dxa"/>
              <w:bottom w:w="100" w:type="dxa"/>
              <w:right w:w="100" w:type="dxa"/>
            </w:tcMar>
          </w:tcPr>
          <w:p w14:paraId="255D5FC5" w14:textId="77777777" w:rsidR="009B2AC6" w:rsidRDefault="00000000">
            <w:pPr>
              <w:widowControl w:val="0"/>
              <w:pBdr>
                <w:top w:val="nil"/>
                <w:left w:val="nil"/>
                <w:bottom w:val="nil"/>
                <w:right w:val="nil"/>
                <w:between w:val="nil"/>
              </w:pBdr>
              <w:spacing w:line="240" w:lineRule="auto"/>
            </w:pPr>
            <w:r>
              <w:t>Accumulations range from 1⁄4 to 1⁄2 inch (6.4 to 12.7 mm) or more of freezing rain on elevated horizontal flat surfaces.</w:t>
            </w:r>
          </w:p>
        </w:tc>
        <w:tc>
          <w:tcPr>
            <w:tcW w:w="2100" w:type="dxa"/>
            <w:shd w:val="clear" w:color="auto" w:fill="auto"/>
            <w:tcMar>
              <w:top w:w="100" w:type="dxa"/>
              <w:left w:w="100" w:type="dxa"/>
              <w:bottom w:w="100" w:type="dxa"/>
              <w:right w:w="100" w:type="dxa"/>
            </w:tcMar>
          </w:tcPr>
          <w:p w14:paraId="0A2FD632" w14:textId="77777777" w:rsidR="009B2AC6" w:rsidRDefault="00000000">
            <w:pPr>
              <w:widowControl w:val="0"/>
              <w:spacing w:line="240" w:lineRule="auto"/>
            </w:pPr>
            <w:r>
              <w:t>N/A</w:t>
            </w:r>
          </w:p>
          <w:p w14:paraId="6838F688" w14:textId="77777777" w:rsidR="009B2AC6" w:rsidRDefault="009B2AC6">
            <w:pPr>
              <w:widowControl w:val="0"/>
              <w:pBdr>
                <w:top w:val="nil"/>
                <w:left w:val="nil"/>
                <w:bottom w:val="nil"/>
                <w:right w:val="nil"/>
                <w:between w:val="nil"/>
              </w:pBdr>
              <w:spacing w:line="240" w:lineRule="auto"/>
            </w:pPr>
          </w:p>
        </w:tc>
      </w:tr>
      <w:tr w:rsidR="009B2AC6" w14:paraId="782842D5" w14:textId="77777777">
        <w:tc>
          <w:tcPr>
            <w:tcW w:w="1485" w:type="dxa"/>
            <w:shd w:val="clear" w:color="auto" w:fill="auto"/>
            <w:tcMar>
              <w:top w:w="100" w:type="dxa"/>
              <w:left w:w="100" w:type="dxa"/>
              <w:bottom w:w="100" w:type="dxa"/>
              <w:right w:w="100" w:type="dxa"/>
            </w:tcMar>
          </w:tcPr>
          <w:p w14:paraId="541ED694" w14:textId="77777777" w:rsidR="009B2AC6" w:rsidRDefault="00000000">
            <w:pPr>
              <w:widowControl w:val="0"/>
              <w:pBdr>
                <w:top w:val="nil"/>
                <w:left w:val="nil"/>
                <w:bottom w:val="nil"/>
                <w:right w:val="nil"/>
                <w:between w:val="nil"/>
              </w:pBdr>
              <w:spacing w:line="240" w:lineRule="auto"/>
            </w:pPr>
            <w:r>
              <w:t>Winter Storm</w:t>
            </w:r>
          </w:p>
        </w:tc>
        <w:tc>
          <w:tcPr>
            <w:tcW w:w="1260" w:type="dxa"/>
            <w:shd w:val="clear" w:color="auto" w:fill="auto"/>
            <w:tcMar>
              <w:top w:w="100" w:type="dxa"/>
              <w:left w:w="100" w:type="dxa"/>
              <w:bottom w:w="100" w:type="dxa"/>
              <w:right w:w="100" w:type="dxa"/>
            </w:tcMar>
          </w:tcPr>
          <w:p w14:paraId="3E1ADC88" w14:textId="77777777" w:rsidR="009B2AC6" w:rsidRDefault="00000000">
            <w:pPr>
              <w:widowControl w:val="0"/>
              <w:spacing w:line="240" w:lineRule="auto"/>
            </w:pPr>
            <w:r>
              <w:t>Not directly</w:t>
            </w:r>
          </w:p>
        </w:tc>
        <w:tc>
          <w:tcPr>
            <w:tcW w:w="5040" w:type="dxa"/>
            <w:shd w:val="clear" w:color="auto" w:fill="auto"/>
            <w:tcMar>
              <w:top w:w="100" w:type="dxa"/>
              <w:left w:w="100" w:type="dxa"/>
              <w:bottom w:w="100" w:type="dxa"/>
              <w:right w:w="100" w:type="dxa"/>
            </w:tcMar>
          </w:tcPr>
          <w:p w14:paraId="278B3569" w14:textId="77777777" w:rsidR="009B2AC6" w:rsidRDefault="00000000">
            <w:pPr>
              <w:widowControl w:val="0"/>
              <w:pBdr>
                <w:top w:val="nil"/>
                <w:left w:val="nil"/>
                <w:bottom w:val="nil"/>
                <w:right w:val="nil"/>
                <w:between w:val="nil"/>
              </w:pBdr>
              <w:spacing w:line="240" w:lineRule="auto"/>
            </w:pPr>
            <w:r>
              <w:t>Significant and hazardous winter weather defined as a combination of:</w:t>
            </w:r>
          </w:p>
          <w:p w14:paraId="228CB51E" w14:textId="77777777" w:rsidR="009B2AC6" w:rsidRDefault="00000000">
            <w:pPr>
              <w:widowControl w:val="0"/>
              <w:pBdr>
                <w:top w:val="nil"/>
                <w:left w:val="nil"/>
                <w:bottom w:val="nil"/>
                <w:right w:val="nil"/>
                <w:between w:val="nil"/>
              </w:pBdr>
              <w:spacing w:line="240" w:lineRule="auto"/>
            </w:pPr>
            <w:r>
              <w:t>1)  5 inches or more of snow/sleet within a 12-hour period or 7 inches or more of snow/sleet within a 24-hour period</w:t>
            </w:r>
          </w:p>
          <w:p w14:paraId="0B0D0DAD" w14:textId="77777777" w:rsidR="009B2AC6" w:rsidRDefault="00000000">
            <w:pPr>
              <w:widowControl w:val="0"/>
              <w:pBdr>
                <w:top w:val="nil"/>
                <w:left w:val="nil"/>
                <w:bottom w:val="nil"/>
                <w:right w:val="nil"/>
                <w:between w:val="nil"/>
              </w:pBdr>
              <w:spacing w:line="240" w:lineRule="auto"/>
            </w:pPr>
            <w:r>
              <w:t>AND/OR</w:t>
            </w:r>
          </w:p>
          <w:p w14:paraId="0ED26E28" w14:textId="77777777" w:rsidR="009B2AC6" w:rsidRDefault="00000000">
            <w:pPr>
              <w:widowControl w:val="0"/>
              <w:pBdr>
                <w:top w:val="nil"/>
                <w:left w:val="nil"/>
                <w:bottom w:val="nil"/>
                <w:right w:val="nil"/>
                <w:between w:val="nil"/>
              </w:pBdr>
              <w:spacing w:line="240" w:lineRule="auto"/>
            </w:pPr>
            <w:r>
              <w:t>2)  Enough ice accumulation to cause damage to trees or powerlines.</w:t>
            </w:r>
          </w:p>
          <w:p w14:paraId="39D8B2DF" w14:textId="77777777" w:rsidR="009B2AC6" w:rsidRDefault="00000000">
            <w:pPr>
              <w:widowControl w:val="0"/>
              <w:pBdr>
                <w:top w:val="nil"/>
                <w:left w:val="nil"/>
                <w:bottom w:val="nil"/>
                <w:right w:val="nil"/>
                <w:between w:val="nil"/>
              </w:pBdr>
              <w:spacing w:line="240" w:lineRule="auto"/>
            </w:pPr>
            <w:r>
              <w:t>AND/OR</w:t>
            </w:r>
          </w:p>
          <w:p w14:paraId="4952F3A5" w14:textId="77777777" w:rsidR="009B2AC6" w:rsidRDefault="00000000">
            <w:pPr>
              <w:widowControl w:val="0"/>
              <w:pBdr>
                <w:top w:val="nil"/>
                <w:left w:val="nil"/>
                <w:bottom w:val="nil"/>
                <w:right w:val="nil"/>
                <w:between w:val="nil"/>
              </w:pBdr>
              <w:spacing w:line="240" w:lineRule="auto"/>
            </w:pPr>
            <w:r>
              <w:t>3)  a life threatening or damaging combination of snow and/or ice accumulation with wind.</w:t>
            </w:r>
          </w:p>
        </w:tc>
        <w:tc>
          <w:tcPr>
            <w:tcW w:w="2100" w:type="dxa"/>
            <w:shd w:val="clear" w:color="auto" w:fill="auto"/>
            <w:tcMar>
              <w:top w:w="100" w:type="dxa"/>
              <w:left w:w="100" w:type="dxa"/>
              <w:bottom w:w="100" w:type="dxa"/>
              <w:right w:w="100" w:type="dxa"/>
            </w:tcMar>
          </w:tcPr>
          <w:p w14:paraId="0E59EA98" w14:textId="77777777" w:rsidR="009B2AC6" w:rsidRDefault="00000000">
            <w:pPr>
              <w:widowControl w:val="0"/>
              <w:spacing w:line="240" w:lineRule="auto"/>
            </w:pPr>
            <w:r>
              <w:t>N/A</w:t>
            </w:r>
          </w:p>
          <w:p w14:paraId="2A89810B" w14:textId="77777777" w:rsidR="009B2AC6" w:rsidRDefault="009B2AC6">
            <w:pPr>
              <w:widowControl w:val="0"/>
              <w:pBdr>
                <w:top w:val="nil"/>
                <w:left w:val="nil"/>
                <w:bottom w:val="nil"/>
                <w:right w:val="nil"/>
                <w:between w:val="nil"/>
              </w:pBdr>
              <w:spacing w:line="240" w:lineRule="auto"/>
            </w:pPr>
          </w:p>
        </w:tc>
      </w:tr>
      <w:tr w:rsidR="009B2AC6" w14:paraId="0F0AAECB" w14:textId="77777777">
        <w:tc>
          <w:tcPr>
            <w:tcW w:w="1485" w:type="dxa"/>
            <w:shd w:val="clear" w:color="auto" w:fill="auto"/>
            <w:tcMar>
              <w:top w:w="100" w:type="dxa"/>
              <w:left w:w="100" w:type="dxa"/>
              <w:bottom w:w="100" w:type="dxa"/>
              <w:right w:w="100" w:type="dxa"/>
            </w:tcMar>
          </w:tcPr>
          <w:p w14:paraId="3B98DC4A" w14:textId="77777777" w:rsidR="009B2AC6" w:rsidRDefault="00000000">
            <w:pPr>
              <w:widowControl w:val="0"/>
              <w:spacing w:line="240" w:lineRule="auto"/>
            </w:pPr>
            <w:r>
              <w:t>Freezing</w:t>
            </w:r>
          </w:p>
        </w:tc>
        <w:tc>
          <w:tcPr>
            <w:tcW w:w="1260" w:type="dxa"/>
            <w:shd w:val="clear" w:color="auto" w:fill="auto"/>
            <w:tcMar>
              <w:top w:w="100" w:type="dxa"/>
              <w:left w:w="100" w:type="dxa"/>
              <w:bottom w:w="100" w:type="dxa"/>
              <w:right w:w="100" w:type="dxa"/>
            </w:tcMar>
          </w:tcPr>
          <w:p w14:paraId="7247E6E9"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4B72654A"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7EA4B041" w14:textId="77777777" w:rsidR="009B2AC6" w:rsidRDefault="00000000">
            <w:pPr>
              <w:widowControl w:val="0"/>
              <w:spacing w:line="240" w:lineRule="auto"/>
            </w:pPr>
            <w:r>
              <w:t>N/A</w:t>
            </w:r>
          </w:p>
        </w:tc>
      </w:tr>
      <w:tr w:rsidR="009B2AC6" w14:paraId="6ABA93A9" w14:textId="77777777">
        <w:tc>
          <w:tcPr>
            <w:tcW w:w="1485" w:type="dxa"/>
            <w:shd w:val="clear" w:color="auto" w:fill="auto"/>
            <w:tcMar>
              <w:top w:w="100" w:type="dxa"/>
              <w:left w:w="100" w:type="dxa"/>
              <w:bottom w:w="100" w:type="dxa"/>
              <w:right w:w="100" w:type="dxa"/>
            </w:tcMar>
          </w:tcPr>
          <w:p w14:paraId="27E05AEB" w14:textId="77777777" w:rsidR="009B2AC6" w:rsidRDefault="00000000">
            <w:pPr>
              <w:widowControl w:val="0"/>
              <w:spacing w:line="240" w:lineRule="auto"/>
            </w:pPr>
            <w:r>
              <w:t>Fishing Losses</w:t>
            </w:r>
          </w:p>
        </w:tc>
        <w:tc>
          <w:tcPr>
            <w:tcW w:w="1260" w:type="dxa"/>
            <w:shd w:val="clear" w:color="auto" w:fill="auto"/>
            <w:tcMar>
              <w:top w:w="100" w:type="dxa"/>
              <w:left w:w="100" w:type="dxa"/>
              <w:bottom w:w="100" w:type="dxa"/>
              <w:right w:w="100" w:type="dxa"/>
            </w:tcMar>
          </w:tcPr>
          <w:p w14:paraId="650CB38C"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3350FB52" w14:textId="77777777" w:rsidR="009B2AC6" w:rsidRDefault="00000000">
            <w:pPr>
              <w:widowControl w:val="0"/>
              <w:pBdr>
                <w:top w:val="nil"/>
                <w:left w:val="nil"/>
                <w:bottom w:val="nil"/>
                <w:right w:val="nil"/>
                <w:between w:val="nil"/>
              </w:pBdr>
              <w:spacing w:line="240" w:lineRule="auto"/>
            </w:pPr>
            <w:r>
              <w:t>-</w:t>
            </w:r>
          </w:p>
        </w:tc>
        <w:tc>
          <w:tcPr>
            <w:tcW w:w="2100" w:type="dxa"/>
            <w:shd w:val="clear" w:color="auto" w:fill="auto"/>
            <w:tcMar>
              <w:top w:w="100" w:type="dxa"/>
              <w:left w:w="100" w:type="dxa"/>
              <w:bottom w:w="100" w:type="dxa"/>
              <w:right w:w="100" w:type="dxa"/>
            </w:tcMar>
          </w:tcPr>
          <w:p w14:paraId="44C63D20" w14:textId="77777777" w:rsidR="009B2AC6" w:rsidRDefault="00000000">
            <w:pPr>
              <w:widowControl w:val="0"/>
              <w:spacing w:line="240" w:lineRule="auto"/>
            </w:pPr>
            <w:r>
              <w:t>N/A</w:t>
            </w:r>
          </w:p>
          <w:p w14:paraId="0423C148" w14:textId="77777777" w:rsidR="009B2AC6" w:rsidRDefault="009B2AC6">
            <w:pPr>
              <w:widowControl w:val="0"/>
              <w:pBdr>
                <w:top w:val="nil"/>
                <w:left w:val="nil"/>
                <w:bottom w:val="nil"/>
                <w:right w:val="nil"/>
                <w:between w:val="nil"/>
              </w:pBdr>
              <w:spacing w:line="240" w:lineRule="auto"/>
            </w:pPr>
          </w:p>
        </w:tc>
      </w:tr>
      <w:tr w:rsidR="009B2AC6" w14:paraId="24A1C6AF" w14:textId="77777777">
        <w:tc>
          <w:tcPr>
            <w:tcW w:w="1485" w:type="dxa"/>
            <w:shd w:val="clear" w:color="auto" w:fill="auto"/>
            <w:tcMar>
              <w:top w:w="100" w:type="dxa"/>
              <w:left w:w="100" w:type="dxa"/>
              <w:bottom w:w="100" w:type="dxa"/>
              <w:right w:w="100" w:type="dxa"/>
            </w:tcMar>
          </w:tcPr>
          <w:p w14:paraId="12BFB68E" w14:textId="77777777" w:rsidR="009B2AC6" w:rsidRDefault="00000000">
            <w:pPr>
              <w:widowControl w:val="0"/>
              <w:spacing w:line="240" w:lineRule="auto"/>
            </w:pPr>
            <w:r>
              <w:t>Drought</w:t>
            </w:r>
          </w:p>
        </w:tc>
        <w:tc>
          <w:tcPr>
            <w:tcW w:w="1260" w:type="dxa"/>
            <w:shd w:val="clear" w:color="auto" w:fill="auto"/>
            <w:tcMar>
              <w:top w:w="100" w:type="dxa"/>
              <w:left w:w="100" w:type="dxa"/>
              <w:bottom w:w="100" w:type="dxa"/>
              <w:right w:w="100" w:type="dxa"/>
            </w:tcMar>
          </w:tcPr>
          <w:p w14:paraId="5FCB183C"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0D6DADE9"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43B57DA4" w14:textId="77777777" w:rsidR="009B2AC6" w:rsidRDefault="00000000">
            <w:pPr>
              <w:widowControl w:val="0"/>
              <w:spacing w:line="240" w:lineRule="auto"/>
            </w:pPr>
            <w:r>
              <w:t>N/A</w:t>
            </w:r>
          </w:p>
        </w:tc>
      </w:tr>
      <w:tr w:rsidR="009B2AC6" w14:paraId="12C3919B" w14:textId="77777777">
        <w:tc>
          <w:tcPr>
            <w:tcW w:w="1485" w:type="dxa"/>
            <w:shd w:val="clear" w:color="auto" w:fill="auto"/>
            <w:tcMar>
              <w:top w:w="100" w:type="dxa"/>
              <w:left w:w="100" w:type="dxa"/>
              <w:bottom w:w="100" w:type="dxa"/>
              <w:right w:w="100" w:type="dxa"/>
            </w:tcMar>
          </w:tcPr>
          <w:p w14:paraId="6D4FF3B3" w14:textId="77777777" w:rsidR="009B2AC6" w:rsidRDefault="00000000">
            <w:pPr>
              <w:widowControl w:val="0"/>
              <w:spacing w:line="240" w:lineRule="auto"/>
            </w:pPr>
            <w:r>
              <w:t>Earthquake</w:t>
            </w:r>
          </w:p>
        </w:tc>
        <w:tc>
          <w:tcPr>
            <w:tcW w:w="1260" w:type="dxa"/>
            <w:shd w:val="clear" w:color="auto" w:fill="auto"/>
            <w:tcMar>
              <w:top w:w="100" w:type="dxa"/>
              <w:left w:w="100" w:type="dxa"/>
              <w:bottom w:w="100" w:type="dxa"/>
              <w:right w:w="100" w:type="dxa"/>
            </w:tcMar>
          </w:tcPr>
          <w:p w14:paraId="2F4508D9"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06713930"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40AB9D6F" w14:textId="77777777" w:rsidR="009B2AC6" w:rsidRDefault="00000000">
            <w:pPr>
              <w:widowControl w:val="0"/>
              <w:spacing w:line="240" w:lineRule="auto"/>
            </w:pPr>
            <w:r>
              <w:t>N/A</w:t>
            </w:r>
          </w:p>
        </w:tc>
      </w:tr>
      <w:tr w:rsidR="009B2AC6" w14:paraId="5F4AE13F" w14:textId="77777777">
        <w:tc>
          <w:tcPr>
            <w:tcW w:w="1485" w:type="dxa"/>
            <w:shd w:val="clear" w:color="auto" w:fill="auto"/>
            <w:tcMar>
              <w:top w:w="100" w:type="dxa"/>
              <w:left w:w="100" w:type="dxa"/>
              <w:bottom w:w="100" w:type="dxa"/>
              <w:right w:w="100" w:type="dxa"/>
            </w:tcMar>
          </w:tcPr>
          <w:p w14:paraId="73B59875" w14:textId="77777777" w:rsidR="009B2AC6" w:rsidRDefault="00000000">
            <w:pPr>
              <w:widowControl w:val="0"/>
              <w:spacing w:line="240" w:lineRule="auto"/>
            </w:pPr>
            <w:r>
              <w:t>Straight-Line Winds</w:t>
            </w:r>
          </w:p>
        </w:tc>
        <w:tc>
          <w:tcPr>
            <w:tcW w:w="1260" w:type="dxa"/>
            <w:shd w:val="clear" w:color="auto" w:fill="auto"/>
            <w:tcMar>
              <w:top w:w="100" w:type="dxa"/>
              <w:left w:w="100" w:type="dxa"/>
              <w:bottom w:w="100" w:type="dxa"/>
              <w:right w:w="100" w:type="dxa"/>
            </w:tcMar>
          </w:tcPr>
          <w:p w14:paraId="18A6C6B4"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5121A727"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1316731D" w14:textId="77777777" w:rsidR="009B2AC6" w:rsidRDefault="00000000">
            <w:pPr>
              <w:widowControl w:val="0"/>
              <w:spacing w:line="240" w:lineRule="auto"/>
            </w:pPr>
            <w:r>
              <w:t>N/A</w:t>
            </w:r>
          </w:p>
        </w:tc>
      </w:tr>
      <w:tr w:rsidR="009B2AC6" w14:paraId="73872B01" w14:textId="77777777">
        <w:tc>
          <w:tcPr>
            <w:tcW w:w="1485" w:type="dxa"/>
            <w:shd w:val="clear" w:color="auto" w:fill="auto"/>
            <w:tcMar>
              <w:top w:w="100" w:type="dxa"/>
              <w:left w:w="100" w:type="dxa"/>
              <w:bottom w:w="100" w:type="dxa"/>
              <w:right w:w="100" w:type="dxa"/>
            </w:tcMar>
          </w:tcPr>
          <w:p w14:paraId="56B01330" w14:textId="77777777" w:rsidR="009B2AC6" w:rsidRDefault="00000000">
            <w:pPr>
              <w:widowControl w:val="0"/>
              <w:spacing w:line="240" w:lineRule="auto"/>
            </w:pPr>
            <w:r>
              <w:t>Fire</w:t>
            </w:r>
          </w:p>
        </w:tc>
        <w:tc>
          <w:tcPr>
            <w:tcW w:w="1260" w:type="dxa"/>
            <w:shd w:val="clear" w:color="auto" w:fill="auto"/>
            <w:tcMar>
              <w:top w:w="100" w:type="dxa"/>
              <w:left w:w="100" w:type="dxa"/>
              <w:bottom w:w="100" w:type="dxa"/>
              <w:right w:w="100" w:type="dxa"/>
            </w:tcMar>
          </w:tcPr>
          <w:p w14:paraId="3BDD0875"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299A3930"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1C90A142" w14:textId="77777777" w:rsidR="009B2AC6" w:rsidRDefault="00000000">
            <w:pPr>
              <w:widowControl w:val="0"/>
              <w:spacing w:line="240" w:lineRule="auto"/>
            </w:pPr>
            <w:r>
              <w:t>N/A</w:t>
            </w:r>
          </w:p>
        </w:tc>
      </w:tr>
      <w:tr w:rsidR="009B2AC6" w14:paraId="02D00F71" w14:textId="77777777">
        <w:tc>
          <w:tcPr>
            <w:tcW w:w="1485" w:type="dxa"/>
            <w:shd w:val="clear" w:color="auto" w:fill="auto"/>
            <w:tcMar>
              <w:top w:w="100" w:type="dxa"/>
              <w:left w:w="100" w:type="dxa"/>
              <w:bottom w:w="100" w:type="dxa"/>
              <w:right w:w="100" w:type="dxa"/>
            </w:tcMar>
          </w:tcPr>
          <w:p w14:paraId="2389B0E3" w14:textId="77777777" w:rsidR="009B2AC6" w:rsidRDefault="00000000">
            <w:pPr>
              <w:widowControl w:val="0"/>
              <w:spacing w:line="240" w:lineRule="auto"/>
            </w:pPr>
            <w:r>
              <w:t>Chemical</w:t>
            </w:r>
          </w:p>
        </w:tc>
        <w:tc>
          <w:tcPr>
            <w:tcW w:w="1260" w:type="dxa"/>
            <w:shd w:val="clear" w:color="auto" w:fill="auto"/>
            <w:tcMar>
              <w:top w:w="100" w:type="dxa"/>
              <w:left w:w="100" w:type="dxa"/>
              <w:bottom w:w="100" w:type="dxa"/>
              <w:right w:w="100" w:type="dxa"/>
            </w:tcMar>
          </w:tcPr>
          <w:p w14:paraId="7453C11D"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4C246EC5"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2CBA515C" w14:textId="77777777" w:rsidR="009B2AC6" w:rsidRDefault="00000000">
            <w:pPr>
              <w:widowControl w:val="0"/>
              <w:spacing w:line="240" w:lineRule="auto"/>
            </w:pPr>
            <w:r>
              <w:t>N/A</w:t>
            </w:r>
          </w:p>
        </w:tc>
      </w:tr>
      <w:tr w:rsidR="009B2AC6" w14:paraId="6F9D62E6" w14:textId="77777777">
        <w:tc>
          <w:tcPr>
            <w:tcW w:w="1485" w:type="dxa"/>
            <w:shd w:val="clear" w:color="auto" w:fill="auto"/>
            <w:tcMar>
              <w:top w:w="100" w:type="dxa"/>
              <w:left w:w="100" w:type="dxa"/>
              <w:bottom w:w="100" w:type="dxa"/>
              <w:right w:w="100" w:type="dxa"/>
            </w:tcMar>
          </w:tcPr>
          <w:p w14:paraId="02ED0D70" w14:textId="77777777" w:rsidR="009B2AC6" w:rsidRDefault="00000000">
            <w:pPr>
              <w:widowControl w:val="0"/>
              <w:spacing w:line="240" w:lineRule="auto"/>
            </w:pPr>
            <w:r>
              <w:t>Biological</w:t>
            </w:r>
          </w:p>
        </w:tc>
        <w:tc>
          <w:tcPr>
            <w:tcW w:w="1260" w:type="dxa"/>
            <w:shd w:val="clear" w:color="auto" w:fill="auto"/>
            <w:tcMar>
              <w:top w:w="100" w:type="dxa"/>
              <w:left w:w="100" w:type="dxa"/>
              <w:bottom w:w="100" w:type="dxa"/>
              <w:right w:w="100" w:type="dxa"/>
            </w:tcMar>
          </w:tcPr>
          <w:p w14:paraId="5B293BAF"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57E389AD"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4F2593A1" w14:textId="77777777" w:rsidR="009B2AC6" w:rsidRDefault="00000000">
            <w:pPr>
              <w:widowControl w:val="0"/>
              <w:spacing w:line="240" w:lineRule="auto"/>
            </w:pPr>
            <w:r>
              <w:t>N/A</w:t>
            </w:r>
          </w:p>
        </w:tc>
      </w:tr>
      <w:tr w:rsidR="009B2AC6" w14:paraId="34508D02" w14:textId="77777777">
        <w:tc>
          <w:tcPr>
            <w:tcW w:w="1485" w:type="dxa"/>
            <w:shd w:val="clear" w:color="auto" w:fill="auto"/>
            <w:tcMar>
              <w:top w:w="100" w:type="dxa"/>
              <w:left w:w="100" w:type="dxa"/>
              <w:bottom w:w="100" w:type="dxa"/>
              <w:right w:w="100" w:type="dxa"/>
            </w:tcMar>
          </w:tcPr>
          <w:p w14:paraId="03E8027A" w14:textId="77777777" w:rsidR="009B2AC6" w:rsidRDefault="00000000">
            <w:pPr>
              <w:widowControl w:val="0"/>
              <w:spacing w:line="240" w:lineRule="auto"/>
            </w:pPr>
            <w:r>
              <w:t>Terrorist</w:t>
            </w:r>
          </w:p>
        </w:tc>
        <w:tc>
          <w:tcPr>
            <w:tcW w:w="1260" w:type="dxa"/>
            <w:shd w:val="clear" w:color="auto" w:fill="auto"/>
            <w:tcMar>
              <w:top w:w="100" w:type="dxa"/>
              <w:left w:w="100" w:type="dxa"/>
              <w:bottom w:w="100" w:type="dxa"/>
              <w:right w:w="100" w:type="dxa"/>
            </w:tcMar>
          </w:tcPr>
          <w:p w14:paraId="76B3AB9A"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65CB365E"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3FF1A4EA" w14:textId="77777777" w:rsidR="009B2AC6" w:rsidRDefault="00000000">
            <w:pPr>
              <w:widowControl w:val="0"/>
              <w:spacing w:line="240" w:lineRule="auto"/>
            </w:pPr>
            <w:r>
              <w:t>N/A</w:t>
            </w:r>
          </w:p>
        </w:tc>
      </w:tr>
      <w:tr w:rsidR="009B2AC6" w14:paraId="2D062538" w14:textId="77777777">
        <w:tc>
          <w:tcPr>
            <w:tcW w:w="1485" w:type="dxa"/>
            <w:shd w:val="clear" w:color="auto" w:fill="auto"/>
            <w:tcMar>
              <w:top w:w="100" w:type="dxa"/>
              <w:left w:w="100" w:type="dxa"/>
              <w:bottom w:w="100" w:type="dxa"/>
              <w:right w:w="100" w:type="dxa"/>
            </w:tcMar>
          </w:tcPr>
          <w:p w14:paraId="113E6411" w14:textId="77777777" w:rsidR="009B2AC6" w:rsidRDefault="00000000">
            <w:pPr>
              <w:widowControl w:val="0"/>
              <w:spacing w:line="240" w:lineRule="auto"/>
            </w:pPr>
            <w:r>
              <w:t>Tornado</w:t>
            </w:r>
          </w:p>
        </w:tc>
        <w:tc>
          <w:tcPr>
            <w:tcW w:w="1260" w:type="dxa"/>
            <w:shd w:val="clear" w:color="auto" w:fill="auto"/>
            <w:tcMar>
              <w:top w:w="100" w:type="dxa"/>
              <w:left w:w="100" w:type="dxa"/>
              <w:bottom w:w="100" w:type="dxa"/>
              <w:right w:w="100" w:type="dxa"/>
            </w:tcMar>
          </w:tcPr>
          <w:p w14:paraId="21918797"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670B7429"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3D742D99" w14:textId="77777777" w:rsidR="009B2AC6" w:rsidRDefault="00000000">
            <w:pPr>
              <w:widowControl w:val="0"/>
              <w:spacing w:line="240" w:lineRule="auto"/>
            </w:pPr>
            <w:r>
              <w:t>N/A</w:t>
            </w:r>
          </w:p>
        </w:tc>
      </w:tr>
      <w:tr w:rsidR="009B2AC6" w14:paraId="1AD00301" w14:textId="77777777">
        <w:tc>
          <w:tcPr>
            <w:tcW w:w="1485" w:type="dxa"/>
            <w:shd w:val="clear" w:color="auto" w:fill="auto"/>
            <w:tcMar>
              <w:top w:w="100" w:type="dxa"/>
              <w:left w:w="100" w:type="dxa"/>
              <w:bottom w:w="100" w:type="dxa"/>
              <w:right w:w="100" w:type="dxa"/>
            </w:tcMar>
          </w:tcPr>
          <w:p w14:paraId="5FCE98A1" w14:textId="77777777" w:rsidR="009B2AC6" w:rsidRDefault="00000000">
            <w:pPr>
              <w:widowControl w:val="0"/>
              <w:spacing w:line="240" w:lineRule="auto"/>
            </w:pPr>
            <w:r>
              <w:t xml:space="preserve">Toxic </w:t>
            </w:r>
            <w:r>
              <w:lastRenderedPageBreak/>
              <w:t>Substances</w:t>
            </w:r>
          </w:p>
        </w:tc>
        <w:tc>
          <w:tcPr>
            <w:tcW w:w="1260" w:type="dxa"/>
            <w:shd w:val="clear" w:color="auto" w:fill="auto"/>
            <w:tcMar>
              <w:top w:w="100" w:type="dxa"/>
              <w:left w:w="100" w:type="dxa"/>
              <w:bottom w:w="100" w:type="dxa"/>
              <w:right w:w="100" w:type="dxa"/>
            </w:tcMar>
          </w:tcPr>
          <w:p w14:paraId="13C236AD" w14:textId="77777777" w:rsidR="009B2AC6" w:rsidRDefault="00000000">
            <w:pPr>
              <w:widowControl w:val="0"/>
              <w:spacing w:line="240" w:lineRule="auto"/>
            </w:pPr>
            <w:r>
              <w:lastRenderedPageBreak/>
              <w:t>No</w:t>
            </w:r>
          </w:p>
        </w:tc>
        <w:tc>
          <w:tcPr>
            <w:tcW w:w="5040" w:type="dxa"/>
            <w:shd w:val="clear" w:color="auto" w:fill="auto"/>
            <w:tcMar>
              <w:top w:w="100" w:type="dxa"/>
              <w:left w:w="100" w:type="dxa"/>
              <w:bottom w:w="100" w:type="dxa"/>
              <w:right w:w="100" w:type="dxa"/>
            </w:tcMar>
          </w:tcPr>
          <w:p w14:paraId="1CB84AB0"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6516127C" w14:textId="77777777" w:rsidR="009B2AC6" w:rsidRDefault="00000000">
            <w:pPr>
              <w:widowControl w:val="0"/>
              <w:spacing w:line="240" w:lineRule="auto"/>
            </w:pPr>
            <w:r>
              <w:t>N/A</w:t>
            </w:r>
          </w:p>
        </w:tc>
      </w:tr>
      <w:tr w:rsidR="009B2AC6" w14:paraId="65E35B86" w14:textId="77777777">
        <w:tc>
          <w:tcPr>
            <w:tcW w:w="1485" w:type="dxa"/>
            <w:shd w:val="clear" w:color="auto" w:fill="auto"/>
            <w:tcMar>
              <w:top w:w="100" w:type="dxa"/>
              <w:left w:w="100" w:type="dxa"/>
              <w:bottom w:w="100" w:type="dxa"/>
              <w:right w:w="100" w:type="dxa"/>
            </w:tcMar>
          </w:tcPr>
          <w:p w14:paraId="390FFCAE" w14:textId="77777777" w:rsidR="009B2AC6" w:rsidRDefault="00000000">
            <w:pPr>
              <w:widowControl w:val="0"/>
              <w:spacing w:line="240" w:lineRule="auto"/>
            </w:pPr>
            <w:r>
              <w:t>Volcanic Eruption</w:t>
            </w:r>
          </w:p>
        </w:tc>
        <w:tc>
          <w:tcPr>
            <w:tcW w:w="1260" w:type="dxa"/>
            <w:shd w:val="clear" w:color="auto" w:fill="auto"/>
            <w:tcMar>
              <w:top w:w="100" w:type="dxa"/>
              <w:left w:w="100" w:type="dxa"/>
              <w:bottom w:w="100" w:type="dxa"/>
              <w:right w:w="100" w:type="dxa"/>
            </w:tcMar>
          </w:tcPr>
          <w:p w14:paraId="355D6558" w14:textId="77777777" w:rsidR="009B2AC6" w:rsidRDefault="00000000">
            <w:pPr>
              <w:widowControl w:val="0"/>
              <w:spacing w:line="240" w:lineRule="auto"/>
            </w:pPr>
            <w:r>
              <w:t>No</w:t>
            </w:r>
          </w:p>
        </w:tc>
        <w:tc>
          <w:tcPr>
            <w:tcW w:w="5040" w:type="dxa"/>
            <w:shd w:val="clear" w:color="auto" w:fill="auto"/>
            <w:tcMar>
              <w:top w:w="100" w:type="dxa"/>
              <w:left w:w="100" w:type="dxa"/>
              <w:bottom w:w="100" w:type="dxa"/>
              <w:right w:w="100" w:type="dxa"/>
            </w:tcMar>
          </w:tcPr>
          <w:p w14:paraId="5B05BB68" w14:textId="77777777" w:rsidR="009B2AC6" w:rsidRDefault="00000000">
            <w:pPr>
              <w:widowControl w:val="0"/>
              <w:spacing w:line="240" w:lineRule="auto"/>
            </w:pPr>
            <w:r>
              <w:t>-</w:t>
            </w:r>
          </w:p>
        </w:tc>
        <w:tc>
          <w:tcPr>
            <w:tcW w:w="2100" w:type="dxa"/>
            <w:shd w:val="clear" w:color="auto" w:fill="auto"/>
            <w:tcMar>
              <w:top w:w="100" w:type="dxa"/>
              <w:left w:w="100" w:type="dxa"/>
              <w:bottom w:w="100" w:type="dxa"/>
              <w:right w:w="100" w:type="dxa"/>
            </w:tcMar>
          </w:tcPr>
          <w:p w14:paraId="05F367D7" w14:textId="77777777" w:rsidR="009B2AC6" w:rsidRDefault="00000000">
            <w:pPr>
              <w:widowControl w:val="0"/>
              <w:spacing w:line="240" w:lineRule="auto"/>
            </w:pPr>
            <w:r>
              <w:t>N/A</w:t>
            </w:r>
          </w:p>
        </w:tc>
      </w:tr>
    </w:tbl>
    <w:p w14:paraId="5E3B1B44" w14:textId="77777777" w:rsidR="009B2AC6" w:rsidRDefault="00000000">
      <w:pPr>
        <w:rPr>
          <w:sz w:val="20"/>
          <w:szCs w:val="20"/>
        </w:rPr>
      </w:pPr>
      <w:r>
        <w:rPr>
          <w:i/>
          <w:sz w:val="20"/>
          <w:szCs w:val="20"/>
        </w:rPr>
        <w:t>Caption:</w:t>
      </w:r>
      <w:r>
        <w:rPr>
          <w:sz w:val="20"/>
          <w:szCs w:val="20"/>
        </w:rPr>
        <w:t xml:space="preserve"> Flood related Presidential disaster declaration categories and descriptions provided by </w:t>
      </w:r>
      <w:hyperlink r:id="rId7">
        <w:r>
          <w:rPr>
            <w:color w:val="1155CC"/>
            <w:sz w:val="20"/>
            <w:szCs w:val="20"/>
            <w:u w:val="single"/>
          </w:rPr>
          <w:t>NOAA NWS</w:t>
        </w:r>
      </w:hyperlink>
      <w:r>
        <w:rPr>
          <w:sz w:val="20"/>
          <w:szCs w:val="20"/>
        </w:rPr>
        <w:t xml:space="preserve"> </w:t>
      </w:r>
      <w:hyperlink r:id="rId8">
        <w:r>
          <w:rPr>
            <w:color w:val="000000"/>
            <w:sz w:val="20"/>
            <w:szCs w:val="20"/>
          </w:rPr>
          <w:t xml:space="preserve">(National Weather Service 2024; Moss, </w:t>
        </w:r>
        <w:proofErr w:type="spellStart"/>
        <w:r>
          <w:rPr>
            <w:color w:val="000000"/>
            <w:sz w:val="20"/>
            <w:szCs w:val="20"/>
          </w:rPr>
          <w:t>Schellhamer</w:t>
        </w:r>
        <w:proofErr w:type="spellEnd"/>
        <w:r>
          <w:rPr>
            <w:color w:val="000000"/>
            <w:sz w:val="20"/>
            <w:szCs w:val="20"/>
          </w:rPr>
          <w:t>, and Berman 2009)</w:t>
        </w:r>
      </w:hyperlink>
      <w:r>
        <w:rPr>
          <w:sz w:val="20"/>
          <w:szCs w:val="20"/>
        </w:rPr>
        <w:t>.</w:t>
      </w:r>
    </w:p>
    <w:p w14:paraId="1C91D5A6" w14:textId="77777777" w:rsidR="009B2AC6" w:rsidRDefault="00000000">
      <w:pPr>
        <w:pStyle w:val="Heading1"/>
      </w:pPr>
      <w:bookmarkStart w:id="7" w:name="_iqbfut6fz8xu" w:colFirst="0" w:colLast="0"/>
      <w:bookmarkEnd w:id="7"/>
      <w:r>
        <w:t>3) Urban-Rural Classification</w:t>
      </w:r>
    </w:p>
    <w:p w14:paraId="21BE01E5" w14:textId="77777777" w:rsidR="009B2AC6" w:rsidRDefault="00000000">
      <w:r>
        <w:t>Here we provide the definitions provided by CDC NCHS for their urban-rural classification scheme. This provides context for our groupings found in Figure 2 in the main text.</w:t>
      </w:r>
    </w:p>
    <w:p w14:paraId="115B77B3" w14:textId="77777777" w:rsidR="009B2AC6" w:rsidRDefault="00000000">
      <w:pPr>
        <w:pStyle w:val="Heading3"/>
      </w:pPr>
      <w:bookmarkStart w:id="8" w:name="_ae65rise55gv" w:colFirst="0" w:colLast="0"/>
      <w:bookmarkEnd w:id="8"/>
      <w:r>
        <w:t>Table S3: CDC NCHS Urban-Rural Classification Scheme</w:t>
      </w:r>
    </w:p>
    <w:tbl>
      <w:tblPr>
        <w:tblStyle w:val="a1"/>
        <w:tblpPr w:leftFromText="180" w:rightFromText="180" w:topFromText="180" w:bottomFromText="180" w:vertAnchor="text"/>
        <w:tblW w:w="93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0"/>
        <w:gridCol w:w="5880"/>
        <w:gridCol w:w="1605"/>
      </w:tblGrid>
      <w:tr w:rsidR="009B2AC6" w14:paraId="3FD50EA9" w14:textId="77777777">
        <w:tc>
          <w:tcPr>
            <w:tcW w:w="1860" w:type="dxa"/>
          </w:tcPr>
          <w:p w14:paraId="7D0BC8C5" w14:textId="77777777" w:rsidR="009B2AC6" w:rsidRDefault="00000000">
            <w:pPr>
              <w:widowControl w:val="0"/>
              <w:spacing w:line="240" w:lineRule="auto"/>
              <w:rPr>
                <w:b/>
              </w:rPr>
            </w:pPr>
            <w:r>
              <w:rPr>
                <w:b/>
              </w:rPr>
              <w:t>Classification</w:t>
            </w:r>
          </w:p>
        </w:tc>
        <w:tc>
          <w:tcPr>
            <w:tcW w:w="5880" w:type="dxa"/>
          </w:tcPr>
          <w:p w14:paraId="482216FE" w14:textId="77777777" w:rsidR="009B2AC6" w:rsidRDefault="00000000">
            <w:pPr>
              <w:widowControl w:val="0"/>
              <w:spacing w:line="240" w:lineRule="auto"/>
              <w:rPr>
                <w:b/>
              </w:rPr>
            </w:pPr>
            <w:r>
              <w:rPr>
                <w:b/>
              </w:rPr>
              <w:t>Description</w:t>
            </w:r>
          </w:p>
        </w:tc>
        <w:tc>
          <w:tcPr>
            <w:tcW w:w="1605" w:type="dxa"/>
          </w:tcPr>
          <w:p w14:paraId="5ED8D7A0" w14:textId="77777777" w:rsidR="009B2AC6" w:rsidRDefault="00000000">
            <w:pPr>
              <w:widowControl w:val="0"/>
              <w:spacing w:line="240" w:lineRule="auto"/>
              <w:rPr>
                <w:b/>
              </w:rPr>
            </w:pPr>
            <w:r>
              <w:rPr>
                <w:b/>
              </w:rPr>
              <w:t>Simplified</w:t>
            </w:r>
          </w:p>
        </w:tc>
      </w:tr>
      <w:tr w:rsidR="009B2AC6" w14:paraId="5F74A482" w14:textId="77777777">
        <w:tc>
          <w:tcPr>
            <w:tcW w:w="1860" w:type="dxa"/>
          </w:tcPr>
          <w:p w14:paraId="6BA034B2" w14:textId="77777777" w:rsidR="009B2AC6" w:rsidRDefault="00000000">
            <w:pPr>
              <w:widowControl w:val="0"/>
              <w:spacing w:line="240" w:lineRule="auto"/>
            </w:pPr>
            <w:r>
              <w:t>Large Central Metro</w:t>
            </w:r>
          </w:p>
        </w:tc>
        <w:tc>
          <w:tcPr>
            <w:tcW w:w="5880" w:type="dxa"/>
          </w:tcPr>
          <w:p w14:paraId="7C127F8E" w14:textId="77777777" w:rsidR="009B2AC6" w:rsidRDefault="00000000">
            <w:pPr>
              <w:widowControl w:val="0"/>
              <w:spacing w:line="240" w:lineRule="auto"/>
            </w:pPr>
            <w:r>
              <w:t>County that is within a metropolitan statistical area (MSA) of 1 million or more population that either 1) contains at least 250,000 residents of any principal city of the MSA, 2) is completely contained in the largest principal city of the MSA, or 3) contains the entire population of the largest principal city of the MSA</w:t>
            </w:r>
          </w:p>
        </w:tc>
        <w:tc>
          <w:tcPr>
            <w:tcW w:w="1605" w:type="dxa"/>
          </w:tcPr>
          <w:p w14:paraId="6CB46431" w14:textId="77777777" w:rsidR="009B2AC6" w:rsidRDefault="00000000">
            <w:pPr>
              <w:widowControl w:val="0"/>
              <w:spacing w:line="240" w:lineRule="auto"/>
            </w:pPr>
            <w:r>
              <w:t>Urban</w:t>
            </w:r>
          </w:p>
        </w:tc>
      </w:tr>
      <w:tr w:rsidR="009B2AC6" w14:paraId="04E151D2" w14:textId="77777777">
        <w:tc>
          <w:tcPr>
            <w:tcW w:w="1860" w:type="dxa"/>
          </w:tcPr>
          <w:p w14:paraId="18D8010C" w14:textId="77777777" w:rsidR="009B2AC6" w:rsidRDefault="00000000">
            <w:pPr>
              <w:widowControl w:val="0"/>
              <w:spacing w:line="240" w:lineRule="auto"/>
            </w:pPr>
            <w:r>
              <w:t>Large Fringe Metro</w:t>
            </w:r>
          </w:p>
        </w:tc>
        <w:tc>
          <w:tcPr>
            <w:tcW w:w="5880" w:type="dxa"/>
          </w:tcPr>
          <w:p w14:paraId="31ACD977" w14:textId="77777777" w:rsidR="009B2AC6" w:rsidRDefault="00000000">
            <w:pPr>
              <w:widowControl w:val="0"/>
              <w:spacing w:line="240" w:lineRule="auto"/>
            </w:pPr>
            <w:r>
              <w:t>“Suburban” county in MSA of 1 million or more population that does not qualify as large central</w:t>
            </w:r>
          </w:p>
        </w:tc>
        <w:tc>
          <w:tcPr>
            <w:tcW w:w="1605" w:type="dxa"/>
          </w:tcPr>
          <w:p w14:paraId="4F1F753C" w14:textId="77777777" w:rsidR="009B2AC6" w:rsidRDefault="00000000">
            <w:pPr>
              <w:widowControl w:val="0"/>
              <w:spacing w:line="240" w:lineRule="auto"/>
            </w:pPr>
            <w:r>
              <w:t>Suburban</w:t>
            </w:r>
          </w:p>
        </w:tc>
      </w:tr>
      <w:tr w:rsidR="009B2AC6" w14:paraId="19AAB232" w14:textId="77777777">
        <w:tc>
          <w:tcPr>
            <w:tcW w:w="1860" w:type="dxa"/>
          </w:tcPr>
          <w:p w14:paraId="530CA2A8" w14:textId="77777777" w:rsidR="009B2AC6" w:rsidRDefault="00000000">
            <w:pPr>
              <w:widowControl w:val="0"/>
              <w:spacing w:line="240" w:lineRule="auto"/>
            </w:pPr>
            <w:r>
              <w:t>Medium Metro</w:t>
            </w:r>
          </w:p>
        </w:tc>
        <w:tc>
          <w:tcPr>
            <w:tcW w:w="5880" w:type="dxa"/>
          </w:tcPr>
          <w:p w14:paraId="26C8D7CE" w14:textId="77777777" w:rsidR="009B2AC6" w:rsidRDefault="00000000">
            <w:pPr>
              <w:widowControl w:val="0"/>
              <w:spacing w:line="240" w:lineRule="auto"/>
            </w:pPr>
            <w:r>
              <w:t>County within MSA of 250,000 to 999,999 population</w:t>
            </w:r>
          </w:p>
        </w:tc>
        <w:tc>
          <w:tcPr>
            <w:tcW w:w="1605" w:type="dxa"/>
          </w:tcPr>
          <w:p w14:paraId="020BCC56" w14:textId="77777777" w:rsidR="009B2AC6" w:rsidRDefault="00000000">
            <w:pPr>
              <w:widowControl w:val="0"/>
              <w:spacing w:line="240" w:lineRule="auto"/>
            </w:pPr>
            <w:r>
              <w:t>Suburban</w:t>
            </w:r>
          </w:p>
        </w:tc>
      </w:tr>
      <w:tr w:rsidR="009B2AC6" w14:paraId="45A357C4" w14:textId="77777777">
        <w:tc>
          <w:tcPr>
            <w:tcW w:w="1860" w:type="dxa"/>
          </w:tcPr>
          <w:p w14:paraId="4482EF6C" w14:textId="77777777" w:rsidR="009B2AC6" w:rsidRDefault="00000000">
            <w:pPr>
              <w:widowControl w:val="0"/>
              <w:spacing w:line="240" w:lineRule="auto"/>
            </w:pPr>
            <w:r>
              <w:t>Small Metro</w:t>
            </w:r>
          </w:p>
        </w:tc>
        <w:tc>
          <w:tcPr>
            <w:tcW w:w="5880" w:type="dxa"/>
          </w:tcPr>
          <w:p w14:paraId="6E27E91C" w14:textId="77777777" w:rsidR="009B2AC6" w:rsidRDefault="00000000">
            <w:pPr>
              <w:widowControl w:val="0"/>
              <w:spacing w:line="240" w:lineRule="auto"/>
            </w:pPr>
            <w:r>
              <w:t>County within MSA of less than 250,000 population</w:t>
            </w:r>
          </w:p>
        </w:tc>
        <w:tc>
          <w:tcPr>
            <w:tcW w:w="1605" w:type="dxa"/>
          </w:tcPr>
          <w:p w14:paraId="0C26C013" w14:textId="77777777" w:rsidR="009B2AC6" w:rsidRDefault="00000000">
            <w:pPr>
              <w:widowControl w:val="0"/>
              <w:spacing w:line="240" w:lineRule="auto"/>
            </w:pPr>
            <w:r>
              <w:t>Suburban</w:t>
            </w:r>
          </w:p>
        </w:tc>
      </w:tr>
      <w:tr w:rsidR="009B2AC6" w14:paraId="728090F9" w14:textId="77777777">
        <w:tc>
          <w:tcPr>
            <w:tcW w:w="1860" w:type="dxa"/>
          </w:tcPr>
          <w:p w14:paraId="266AE341" w14:textId="77777777" w:rsidR="009B2AC6" w:rsidRDefault="00000000">
            <w:pPr>
              <w:widowControl w:val="0"/>
              <w:spacing w:line="240" w:lineRule="auto"/>
            </w:pPr>
            <w:r>
              <w:t>Micropolitan</w:t>
            </w:r>
          </w:p>
        </w:tc>
        <w:tc>
          <w:tcPr>
            <w:tcW w:w="5880" w:type="dxa"/>
          </w:tcPr>
          <w:p w14:paraId="6D9D016A" w14:textId="77777777" w:rsidR="009B2AC6" w:rsidRDefault="00000000">
            <w:pPr>
              <w:widowControl w:val="0"/>
              <w:spacing w:line="240" w:lineRule="auto"/>
            </w:pPr>
            <w:r>
              <w:t>Micropolitan statistical areas are associated with at least one urban cluster of at least 10,000 but less than 50,000 population</w:t>
            </w:r>
          </w:p>
        </w:tc>
        <w:tc>
          <w:tcPr>
            <w:tcW w:w="1605" w:type="dxa"/>
          </w:tcPr>
          <w:p w14:paraId="3B4C2051" w14:textId="77777777" w:rsidR="009B2AC6" w:rsidRDefault="00000000">
            <w:pPr>
              <w:widowControl w:val="0"/>
              <w:spacing w:line="240" w:lineRule="auto"/>
            </w:pPr>
            <w:r>
              <w:t>Rural</w:t>
            </w:r>
          </w:p>
        </w:tc>
      </w:tr>
      <w:tr w:rsidR="009B2AC6" w14:paraId="461116B3" w14:textId="77777777">
        <w:tc>
          <w:tcPr>
            <w:tcW w:w="1860" w:type="dxa"/>
          </w:tcPr>
          <w:p w14:paraId="4946A096" w14:textId="77777777" w:rsidR="009B2AC6" w:rsidRDefault="00000000">
            <w:pPr>
              <w:widowControl w:val="0"/>
              <w:spacing w:line="240" w:lineRule="auto"/>
            </w:pPr>
            <w:r>
              <w:t>Non-Core</w:t>
            </w:r>
          </w:p>
        </w:tc>
        <w:tc>
          <w:tcPr>
            <w:tcW w:w="5880" w:type="dxa"/>
          </w:tcPr>
          <w:p w14:paraId="358B6532" w14:textId="77777777" w:rsidR="009B2AC6" w:rsidRDefault="00000000">
            <w:pPr>
              <w:widowControl w:val="0"/>
              <w:spacing w:line="240" w:lineRule="auto"/>
            </w:pPr>
            <w:r>
              <w:t>“Rural” county not in micropolitan statistical areas</w:t>
            </w:r>
          </w:p>
        </w:tc>
        <w:tc>
          <w:tcPr>
            <w:tcW w:w="1605" w:type="dxa"/>
          </w:tcPr>
          <w:p w14:paraId="3FB60CAD" w14:textId="77777777" w:rsidR="009B2AC6" w:rsidRDefault="00000000">
            <w:pPr>
              <w:widowControl w:val="0"/>
              <w:spacing w:line="240" w:lineRule="auto"/>
            </w:pPr>
            <w:r>
              <w:t>Rural</w:t>
            </w:r>
          </w:p>
        </w:tc>
      </w:tr>
    </w:tbl>
    <w:p w14:paraId="18A0A04E" w14:textId="77777777" w:rsidR="009B2AC6" w:rsidRDefault="00000000">
      <w:pPr>
        <w:rPr>
          <w:sz w:val="20"/>
          <w:szCs w:val="20"/>
        </w:rPr>
      </w:pPr>
      <w:r>
        <w:rPr>
          <w:i/>
          <w:sz w:val="20"/>
          <w:szCs w:val="20"/>
        </w:rPr>
        <w:t xml:space="preserve">Caption: </w:t>
      </w:r>
      <w:r>
        <w:rPr>
          <w:sz w:val="20"/>
          <w:szCs w:val="20"/>
        </w:rPr>
        <w:t xml:space="preserve">Urban-rural classification scheme provided by the CDC NCHS </w:t>
      </w:r>
      <w:hyperlink r:id="rId9">
        <w:r>
          <w:rPr>
            <w:color w:val="000000"/>
            <w:sz w:val="20"/>
            <w:szCs w:val="20"/>
          </w:rPr>
          <w:t>(CDC 2024)</w:t>
        </w:r>
      </w:hyperlink>
      <w:r>
        <w:rPr>
          <w:sz w:val="20"/>
          <w:szCs w:val="20"/>
        </w:rPr>
        <w:t xml:space="preserve">. Sourced from </w:t>
      </w:r>
      <w:hyperlink r:id="rId10" w:anchor=":~:text=Large%20fringe%20metro%20counties%20are,of%20less%20than%20250%2C000%20population">
        <w:r>
          <w:rPr>
            <w:color w:val="1155CC"/>
            <w:sz w:val="20"/>
            <w:szCs w:val="20"/>
            <w:u w:val="single"/>
          </w:rPr>
          <w:t>CDC</w:t>
        </w:r>
      </w:hyperlink>
      <w:r>
        <w:rPr>
          <w:sz w:val="20"/>
          <w:szCs w:val="20"/>
        </w:rPr>
        <w:t>.</w:t>
      </w:r>
    </w:p>
    <w:p w14:paraId="65328A8E" w14:textId="77777777" w:rsidR="009B2AC6" w:rsidRDefault="00000000">
      <w:pPr>
        <w:pStyle w:val="Heading1"/>
      </w:pPr>
      <w:bookmarkStart w:id="9" w:name="_xdmjwix1ake4" w:colFirst="0" w:colLast="0"/>
      <w:bookmarkEnd w:id="9"/>
      <w:r>
        <w:t>4) ERA5: Max Daily Intercomparison</w:t>
      </w:r>
    </w:p>
    <w:p w14:paraId="5EFA4898" w14:textId="39DFDA6D" w:rsidR="009B2AC6" w:rsidRDefault="00000000">
      <w:r>
        <w:t xml:space="preserve">In the following section, we provide identical plots to main text Figures 1-5 and Figure 7 using ERA5 data for the maximum </w:t>
      </w:r>
      <w:r w:rsidR="007D2131">
        <w:t>daily event</w:t>
      </w:r>
      <w:r>
        <w:t xml:space="preserve"> within 30 days preceding a given </w:t>
      </w:r>
      <w:r w:rsidR="007D2131">
        <w:t>loss</w:t>
      </w:r>
      <w:r>
        <w:t xml:space="preserve"> (Figures E1-E5, E7). We note that ERA5 estimates consistently show lower return periods across most </w:t>
      </w:r>
      <w:r>
        <w:lastRenderedPageBreak/>
        <w:t xml:space="preserve">assessments other than disaster aid. All median estimates are also under 20-year return periods across financial loss types (Figure E1). With ERA5, return periods associated with disaster aid are the highest in comparison with insurance claims and buyouts, which are both much lower than the MSWEP estimates. </w:t>
      </w:r>
      <w:r w:rsidR="007D2131">
        <w:t>We note that rural-urban divide characteristics vary with</w:t>
      </w:r>
      <w:r>
        <w:t xml:space="preserve"> ERA5 estimates</w:t>
      </w:r>
      <w:r w:rsidR="007D2131">
        <w:t xml:space="preserve"> in relation to MSWEP</w:t>
      </w:r>
      <w:r>
        <w:t xml:space="preserve"> (Figure E2). Disaster type return period estimates are also </w:t>
      </w:r>
      <w:r w:rsidR="007D2131">
        <w:t xml:space="preserve">largely </w:t>
      </w:r>
      <w:r>
        <w:t>lower</w:t>
      </w:r>
      <w:r w:rsidR="007D2131">
        <w:t xml:space="preserve">, particularly for all event types other than hurricanes/tropical storms, which are slightly heightened </w:t>
      </w:r>
      <w:r>
        <w:t>(Figure E3).</w:t>
      </w:r>
    </w:p>
    <w:p w14:paraId="42BFD559" w14:textId="77777777" w:rsidR="009B2AC6" w:rsidRDefault="00000000">
      <w:pPr>
        <w:pStyle w:val="Heading3"/>
      </w:pPr>
      <w:bookmarkStart w:id="10" w:name="_lp5jk1g3qnve" w:colFirst="0" w:colLast="0"/>
      <w:bookmarkEnd w:id="10"/>
      <w:r>
        <w:lastRenderedPageBreak/>
        <w:t>Figure E1: ERA5 Return Period Sensitivity to Event Duration</w:t>
      </w:r>
    </w:p>
    <w:p w14:paraId="546880E9" w14:textId="77777777" w:rsidR="009B2AC6" w:rsidRDefault="00000000">
      <w:pPr>
        <w:jc w:val="center"/>
      </w:pPr>
      <w:r>
        <w:rPr>
          <w:noProof/>
        </w:rPr>
        <w:drawing>
          <wp:inline distT="114300" distB="114300" distL="114300" distR="114300" wp14:anchorId="378EAA56" wp14:editId="7729817A">
            <wp:extent cx="5126454" cy="6506653"/>
            <wp:effectExtent l="0" t="0" r="0" b="0"/>
            <wp:docPr id="42"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11"/>
                    <a:srcRect/>
                    <a:stretch>
                      <a:fillRect/>
                    </a:stretch>
                  </pic:blipFill>
                  <pic:spPr>
                    <a:xfrm>
                      <a:off x="0" y="0"/>
                      <a:ext cx="5126454" cy="6506653"/>
                    </a:xfrm>
                    <a:prstGeom prst="rect">
                      <a:avLst/>
                    </a:prstGeom>
                    <a:ln/>
                  </pic:spPr>
                </pic:pic>
              </a:graphicData>
            </a:graphic>
          </wp:inline>
        </w:drawing>
      </w:r>
    </w:p>
    <w:p w14:paraId="482652B8" w14:textId="77777777" w:rsidR="009B2AC6" w:rsidRDefault="00000000">
      <w:pPr>
        <w:rPr>
          <w:sz w:val="20"/>
          <w:szCs w:val="20"/>
        </w:rPr>
      </w:pPr>
      <w:r>
        <w:rPr>
          <w:i/>
          <w:sz w:val="20"/>
          <w:szCs w:val="20"/>
        </w:rPr>
        <w:t xml:space="preserve">Caption: </w:t>
      </w:r>
      <w:r>
        <w:rPr>
          <w:sz w:val="20"/>
          <w:szCs w:val="20"/>
        </w:rPr>
        <w:t>Sensitivity of return period distribution calculations for financial loss data under varying precipitation event durations (maximum daily, three-day, weekly, and 30-day precipitation event within 30 days of declaration for the county) across the ERA5 dataset.</w:t>
      </w:r>
    </w:p>
    <w:p w14:paraId="01404227" w14:textId="77777777" w:rsidR="009B2AC6" w:rsidRDefault="009B2AC6">
      <w:pPr>
        <w:rPr>
          <w:sz w:val="20"/>
          <w:szCs w:val="20"/>
        </w:rPr>
      </w:pPr>
    </w:p>
    <w:p w14:paraId="19367576" w14:textId="77777777" w:rsidR="009B2AC6" w:rsidRDefault="00000000">
      <w:pPr>
        <w:pStyle w:val="Heading3"/>
      </w:pPr>
      <w:bookmarkStart w:id="11" w:name="_bd5kvfkfyznd" w:colFirst="0" w:colLast="0"/>
      <w:bookmarkEnd w:id="11"/>
      <w:r>
        <w:lastRenderedPageBreak/>
        <w:t>Figure E2: ERA5 Spatial Distribution of Return Periods by Financing Type</w:t>
      </w:r>
    </w:p>
    <w:p w14:paraId="5944F88C" w14:textId="77777777" w:rsidR="009B2AC6" w:rsidRDefault="00000000">
      <w:pPr>
        <w:jc w:val="center"/>
      </w:pPr>
      <w:r>
        <w:rPr>
          <w:noProof/>
        </w:rPr>
        <w:drawing>
          <wp:inline distT="114300" distB="114300" distL="114300" distR="114300" wp14:anchorId="0E59162A" wp14:editId="0AB411DE">
            <wp:extent cx="4100513" cy="6062775"/>
            <wp:effectExtent l="0" t="0" r="0" b="0"/>
            <wp:docPr id="25"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2"/>
                    <a:srcRect/>
                    <a:stretch>
                      <a:fillRect/>
                    </a:stretch>
                  </pic:blipFill>
                  <pic:spPr>
                    <a:xfrm>
                      <a:off x="0" y="0"/>
                      <a:ext cx="4100513" cy="6062775"/>
                    </a:xfrm>
                    <a:prstGeom prst="rect">
                      <a:avLst/>
                    </a:prstGeom>
                    <a:ln/>
                  </pic:spPr>
                </pic:pic>
              </a:graphicData>
            </a:graphic>
          </wp:inline>
        </w:drawing>
      </w:r>
    </w:p>
    <w:p w14:paraId="45FFFF8B" w14:textId="77777777" w:rsidR="009B2AC6" w:rsidRDefault="00000000">
      <w:r>
        <w:rPr>
          <w:i/>
          <w:sz w:val="20"/>
          <w:szCs w:val="20"/>
        </w:rPr>
        <w:t xml:space="preserve">Caption: </w:t>
      </w:r>
      <w:r>
        <w:rPr>
          <w:sz w:val="20"/>
          <w:szCs w:val="20"/>
        </w:rPr>
        <w:t>Spatial distribution and rural-urban classification of mean county-level precipitation return periods associated with varying modes of federal flood loss financing: insurance claims (panel a, b), disaster aid (panel c, d), property buyouts (panel e, f). Rural-urban classifications are derived from the US CDC National Center for Health Statistics’ Urban-Rural Classification Scheme. Return periods (in years) reflect the maximum daily precipitation event within 30 days preceding declaration or date of loss modeled by county-fitted stationary GEV distribution using ERA5 daily precipitation data. One-way ANOVA tests across all three forms of financial support statistically significant differences between rural, suburban, and urban return periods (p&lt;0.001).</w:t>
      </w:r>
    </w:p>
    <w:p w14:paraId="08FB5037" w14:textId="77777777" w:rsidR="009B2AC6" w:rsidRDefault="00000000">
      <w:pPr>
        <w:pStyle w:val="Heading3"/>
      </w:pPr>
      <w:bookmarkStart w:id="12" w:name="_g3hadpok7zrj" w:colFirst="0" w:colLast="0"/>
      <w:bookmarkEnd w:id="12"/>
      <w:r>
        <w:lastRenderedPageBreak/>
        <w:t>Figure E3: ERA5 Types of Flood-Related Presidential Declarations</w:t>
      </w:r>
    </w:p>
    <w:p w14:paraId="2C4103DB" w14:textId="77777777" w:rsidR="009B2AC6" w:rsidRDefault="00000000">
      <w:r>
        <w:rPr>
          <w:noProof/>
        </w:rPr>
        <w:drawing>
          <wp:inline distT="114300" distB="114300" distL="114300" distR="114300" wp14:anchorId="391E2580" wp14:editId="54916DA6">
            <wp:extent cx="5943600" cy="2971800"/>
            <wp:effectExtent l="0" t="0" r="0" b="0"/>
            <wp:docPr id="2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3"/>
                    <a:srcRect/>
                    <a:stretch>
                      <a:fillRect/>
                    </a:stretch>
                  </pic:blipFill>
                  <pic:spPr>
                    <a:xfrm>
                      <a:off x="0" y="0"/>
                      <a:ext cx="5943600" cy="2971800"/>
                    </a:xfrm>
                    <a:prstGeom prst="rect">
                      <a:avLst/>
                    </a:prstGeom>
                    <a:ln/>
                  </pic:spPr>
                </pic:pic>
              </a:graphicData>
            </a:graphic>
          </wp:inline>
        </w:drawing>
      </w:r>
    </w:p>
    <w:p w14:paraId="553DB309" w14:textId="77777777" w:rsidR="009B2AC6" w:rsidRDefault="00000000">
      <w:pPr>
        <w:rPr>
          <w:sz w:val="20"/>
          <w:szCs w:val="20"/>
        </w:rPr>
      </w:pPr>
      <w:r>
        <w:rPr>
          <w:i/>
          <w:sz w:val="20"/>
          <w:szCs w:val="20"/>
        </w:rPr>
        <w:t xml:space="preserve">Caption: </w:t>
      </w:r>
      <w:r>
        <w:rPr>
          <w:sz w:val="20"/>
          <w:szCs w:val="20"/>
        </w:rPr>
        <w:t xml:space="preserve">Overview of flood-related presidentially declared disasters by type. Panel a) reflects the mode of most </w:t>
      </w:r>
      <w:proofErr w:type="gramStart"/>
      <w:r>
        <w:rPr>
          <w:sz w:val="20"/>
          <w:szCs w:val="20"/>
        </w:rPr>
        <w:t>commonly-declared</w:t>
      </w:r>
      <w:proofErr w:type="gramEnd"/>
      <w:r>
        <w:rPr>
          <w:sz w:val="20"/>
          <w:szCs w:val="20"/>
        </w:rPr>
        <w:t xml:space="preserve"> event by CONUS county. Panel b) reflects the raw counts by event type per county of declaration. Panel c) shows the distribution of the return period of the maximum daily precipitation event within 30 days of declaration for the county with the maximum return for each given disaster declaration in years modeled by county-fitted stationary GEV distribution using ERA5 daily precipitation data.</w:t>
      </w:r>
    </w:p>
    <w:p w14:paraId="3B0A4F3D" w14:textId="77777777" w:rsidR="009B2AC6" w:rsidRDefault="009B2AC6">
      <w:pPr>
        <w:rPr>
          <w:sz w:val="20"/>
          <w:szCs w:val="20"/>
        </w:rPr>
      </w:pPr>
    </w:p>
    <w:p w14:paraId="158EB160" w14:textId="77777777" w:rsidR="009B2AC6" w:rsidRDefault="00000000">
      <w:pPr>
        <w:pStyle w:val="Heading3"/>
      </w:pPr>
      <w:bookmarkStart w:id="13" w:name="_c9r4a8vntj7o" w:colFirst="0" w:colLast="0"/>
      <w:bookmarkEnd w:id="13"/>
      <w:r>
        <w:lastRenderedPageBreak/>
        <w:t>Figure E4: ERA5 Spatiotemporal Storm Clustering</w:t>
      </w:r>
    </w:p>
    <w:p w14:paraId="1E377E07" w14:textId="77777777" w:rsidR="009B2AC6" w:rsidRDefault="00000000">
      <w:pPr>
        <w:jc w:val="center"/>
      </w:pPr>
      <w:r>
        <w:rPr>
          <w:noProof/>
        </w:rPr>
        <w:drawing>
          <wp:inline distT="114300" distB="114300" distL="114300" distR="114300" wp14:anchorId="6A286473" wp14:editId="2AA2863E">
            <wp:extent cx="3581400" cy="6720965"/>
            <wp:effectExtent l="0" t="0" r="0" b="0"/>
            <wp:docPr id="10"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4"/>
                    <a:srcRect t="8472" b="3057"/>
                    <a:stretch>
                      <a:fillRect/>
                    </a:stretch>
                  </pic:blipFill>
                  <pic:spPr>
                    <a:xfrm>
                      <a:off x="0" y="0"/>
                      <a:ext cx="3581400" cy="6720965"/>
                    </a:xfrm>
                    <a:prstGeom prst="rect">
                      <a:avLst/>
                    </a:prstGeom>
                    <a:ln/>
                  </pic:spPr>
                </pic:pic>
              </a:graphicData>
            </a:graphic>
          </wp:inline>
        </w:drawing>
      </w:r>
    </w:p>
    <w:p w14:paraId="51EA9754" w14:textId="5BCB62EF" w:rsidR="009B2AC6" w:rsidRDefault="00000000">
      <w:r>
        <w:rPr>
          <w:i/>
          <w:sz w:val="20"/>
          <w:szCs w:val="20"/>
        </w:rPr>
        <w:t xml:space="preserve">Caption: </w:t>
      </w:r>
      <w:r>
        <w:rPr>
          <w:sz w:val="20"/>
          <w:szCs w:val="20"/>
        </w:rPr>
        <w:t xml:space="preserve">Visualization of spatiotemporal clustering for Hurricane Katrina and Hurricane Ike. Figure progresses from disaster declaration event types (panels a, b), their associated county-level precipitation </w:t>
      </w:r>
      <w:proofErr w:type="gramStart"/>
      <w:r>
        <w:rPr>
          <w:sz w:val="20"/>
          <w:szCs w:val="20"/>
        </w:rPr>
        <w:t>return</w:t>
      </w:r>
      <w:proofErr w:type="gramEnd"/>
      <w:r>
        <w:rPr>
          <w:sz w:val="20"/>
          <w:szCs w:val="20"/>
        </w:rPr>
        <w:t xml:space="preserve"> periods (panels c, d) to associated total counts of insurance claims (panels e, f), disaster aid (panels g, h), and property buyouts (panels </w:t>
      </w:r>
      <w:proofErr w:type="spellStart"/>
      <w:r>
        <w:rPr>
          <w:sz w:val="20"/>
          <w:szCs w:val="20"/>
        </w:rPr>
        <w:t>i</w:t>
      </w:r>
      <w:proofErr w:type="spellEnd"/>
      <w:r>
        <w:rPr>
          <w:sz w:val="20"/>
          <w:szCs w:val="20"/>
        </w:rPr>
        <w:t xml:space="preserve">, j) with total damage costs in the lower right of each panel (CPI-adjusted). Clustering is conducted using ST-DBSCAN with a </w:t>
      </w:r>
      <w:proofErr w:type="gramStart"/>
      <w:r>
        <w:rPr>
          <w:sz w:val="20"/>
          <w:szCs w:val="20"/>
        </w:rPr>
        <w:t>3 degree</w:t>
      </w:r>
      <w:proofErr w:type="gramEnd"/>
      <w:r>
        <w:rPr>
          <w:sz w:val="20"/>
          <w:szCs w:val="20"/>
        </w:rPr>
        <w:t xml:space="preserve"> latitude/longitude space </w:t>
      </w:r>
      <w:r>
        <w:rPr>
          <w:sz w:val="20"/>
          <w:szCs w:val="20"/>
        </w:rPr>
        <w:lastRenderedPageBreak/>
        <w:t>threshold, a time threshold of 5 days, and number threshold of 7 datapoints. Return periods reflect ERA5 daily maximum preceding precipitation within 30 days of the reported loss.</w:t>
      </w:r>
    </w:p>
    <w:p w14:paraId="2FBC419E" w14:textId="77777777" w:rsidR="009B2AC6" w:rsidRDefault="009B2AC6"/>
    <w:p w14:paraId="642E048A" w14:textId="77777777" w:rsidR="009B2AC6" w:rsidRDefault="00000000">
      <w:pPr>
        <w:pStyle w:val="Heading3"/>
      </w:pPr>
      <w:bookmarkStart w:id="14" w:name="_cdykeu8k5biz" w:colFirst="0" w:colLast="0"/>
      <w:bookmarkEnd w:id="14"/>
      <w:r>
        <w:t>Figure E5: ERA5 Return Period Sensitivity to Spatiotemporal Clustering</w:t>
      </w:r>
    </w:p>
    <w:p w14:paraId="54712089" w14:textId="77777777" w:rsidR="009B2AC6" w:rsidRDefault="00000000">
      <w:r>
        <w:rPr>
          <w:noProof/>
        </w:rPr>
        <w:drawing>
          <wp:inline distT="114300" distB="114300" distL="114300" distR="114300" wp14:anchorId="3804B2AB" wp14:editId="2747222A">
            <wp:extent cx="5943600" cy="5194300"/>
            <wp:effectExtent l="0" t="0" r="0" b="0"/>
            <wp:docPr id="26"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15"/>
                    <a:srcRect/>
                    <a:stretch>
                      <a:fillRect/>
                    </a:stretch>
                  </pic:blipFill>
                  <pic:spPr>
                    <a:xfrm>
                      <a:off x="0" y="0"/>
                      <a:ext cx="5943600" cy="5194300"/>
                    </a:xfrm>
                    <a:prstGeom prst="rect">
                      <a:avLst/>
                    </a:prstGeom>
                    <a:ln/>
                  </pic:spPr>
                </pic:pic>
              </a:graphicData>
            </a:graphic>
          </wp:inline>
        </w:drawing>
      </w:r>
    </w:p>
    <w:p w14:paraId="12FA1205" w14:textId="77777777" w:rsidR="009B2AC6" w:rsidRDefault="00000000">
      <w:r>
        <w:rPr>
          <w:i/>
          <w:sz w:val="20"/>
          <w:szCs w:val="20"/>
        </w:rPr>
        <w:t xml:space="preserve">Caption: </w:t>
      </w:r>
      <w:r>
        <w:rPr>
          <w:sz w:val="20"/>
          <w:szCs w:val="20"/>
        </w:rPr>
        <w:t xml:space="preserve">Spatiotemporally clustered financial losses across insurance claims (panels a, b, c, d), as well as disaster aid and buyouts (panels b and d). Clusters in panels a) and c) vary in size </w:t>
      </w:r>
      <w:proofErr w:type="gramStart"/>
      <w:r>
        <w:rPr>
          <w:sz w:val="20"/>
          <w:szCs w:val="20"/>
        </w:rPr>
        <w:t>on the basis of</w:t>
      </w:r>
      <w:proofErr w:type="gramEnd"/>
      <w:r>
        <w:rPr>
          <w:sz w:val="20"/>
          <w:szCs w:val="20"/>
        </w:rPr>
        <w:t xml:space="preserve"> the median cluster size (15) and 90th percentile cluster size (170). Clusters are extracted using ST-DBSCAN with threshold parameters a space threshold of 3 degrees latitude/longitude, time threshold of 5 days, and a minimum cluster size of 7 as optimized under validation and sensitivity, as detailed in Section 9 of the SI. Return periods are in years and reflect the maximum daily precipitation event within 30 days preceding declaration for each given loss modeled by county-fitted stationary GEV distribution using ERA5 daily precipitation data.</w:t>
      </w:r>
    </w:p>
    <w:p w14:paraId="1E921306" w14:textId="77777777" w:rsidR="009B2AC6" w:rsidRDefault="00000000">
      <w:pPr>
        <w:pStyle w:val="Heading3"/>
      </w:pPr>
      <w:bookmarkStart w:id="15" w:name="_p4pkcknutvco" w:colFirst="0" w:colLast="0"/>
      <w:bookmarkEnd w:id="15"/>
      <w:r>
        <w:lastRenderedPageBreak/>
        <w:t>Figure E7: ERA5 Summary of Costs and Return Periods by Financing Type</w:t>
      </w:r>
    </w:p>
    <w:p w14:paraId="64F09269" w14:textId="77777777" w:rsidR="009B2AC6" w:rsidRDefault="00000000">
      <w:pPr>
        <w:jc w:val="center"/>
      </w:pPr>
      <w:r>
        <w:rPr>
          <w:noProof/>
        </w:rPr>
        <w:drawing>
          <wp:inline distT="114300" distB="114300" distL="114300" distR="114300" wp14:anchorId="6EF66924" wp14:editId="7E2C79A5">
            <wp:extent cx="4719638" cy="5990309"/>
            <wp:effectExtent l="0" t="0" r="0" b="0"/>
            <wp:docPr id="52"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16"/>
                    <a:srcRect/>
                    <a:stretch>
                      <a:fillRect/>
                    </a:stretch>
                  </pic:blipFill>
                  <pic:spPr>
                    <a:xfrm>
                      <a:off x="0" y="0"/>
                      <a:ext cx="4719638" cy="5990309"/>
                    </a:xfrm>
                    <a:prstGeom prst="rect">
                      <a:avLst/>
                    </a:prstGeom>
                    <a:ln/>
                  </pic:spPr>
                </pic:pic>
              </a:graphicData>
            </a:graphic>
          </wp:inline>
        </w:drawing>
      </w:r>
    </w:p>
    <w:p w14:paraId="7C2DC00D" w14:textId="77777777" w:rsidR="009B2AC6" w:rsidRDefault="00000000">
      <w:r>
        <w:rPr>
          <w:i/>
          <w:sz w:val="20"/>
          <w:szCs w:val="20"/>
        </w:rPr>
        <w:t xml:space="preserve">Caption: </w:t>
      </w:r>
      <w:r>
        <w:rPr>
          <w:sz w:val="20"/>
          <w:szCs w:val="20"/>
        </w:rPr>
        <w:t xml:space="preserve">Summary of return periods, aggregate national annualized costs, and costs per household across various forms of federal financial flood support: insurance claims, disaster aid, and property buyouts. Panel a) shows the distribution of the return period in years of the maximum daily precipitation event within 30 days preceding declaration for each given loss modeled by county-fitted stationary GEV distribution using ERA5 daily precipitation data. Costs in panels b) and c) are inflation-adjusted using CPI-U values the US Bureau of Labor Statistics based upon the reported event date. All records are obtained from </w:t>
      </w:r>
      <w:proofErr w:type="spellStart"/>
      <w:r>
        <w:rPr>
          <w:sz w:val="20"/>
          <w:szCs w:val="20"/>
        </w:rPr>
        <w:t>OpenFEMA</w:t>
      </w:r>
      <w:proofErr w:type="spellEnd"/>
      <w:r>
        <w:rPr>
          <w:sz w:val="20"/>
          <w:szCs w:val="20"/>
        </w:rPr>
        <w:t>.</w:t>
      </w:r>
    </w:p>
    <w:p w14:paraId="022DA0DF" w14:textId="77777777" w:rsidR="009B2AC6" w:rsidRDefault="00000000">
      <w:pPr>
        <w:pStyle w:val="Heading1"/>
      </w:pPr>
      <w:bookmarkStart w:id="16" w:name="_8fl8ct20ay2y" w:colFirst="0" w:colLast="0"/>
      <w:bookmarkEnd w:id="16"/>
      <w:r>
        <w:lastRenderedPageBreak/>
        <w:t>5) MSWEP: Sensitivity to Event Duration</w:t>
      </w:r>
    </w:p>
    <w:p w14:paraId="2B813EF0" w14:textId="6DE4736A" w:rsidR="009B2AC6" w:rsidRDefault="00000000">
      <w:r>
        <w:t xml:space="preserve">In the following section, we provide identical plots to main text Figures 1-5 and Figure 7 using different precipitation event duration metrics including </w:t>
      </w:r>
      <w:r w:rsidR="007D2131">
        <w:t xml:space="preserve">maximum </w:t>
      </w:r>
      <w:r>
        <w:t>3-day (Figures D2-D5, D7), 7-day (Figures W2-W5, W7), and 30-day</w:t>
      </w:r>
      <w:r w:rsidR="007D2131">
        <w:t xml:space="preserve"> running</w:t>
      </w:r>
      <w:r>
        <w:t xml:space="preserve"> sums (Figures M2-M5, M7)</w:t>
      </w:r>
      <w:r w:rsidR="007D2131">
        <w:t xml:space="preserve"> </w:t>
      </w:r>
      <w:r w:rsidR="007D2131">
        <w:t>within 30 days prior to the event</w:t>
      </w:r>
      <w:r>
        <w:t>. Sensitivity reveals consistently low return period estimates. Return periods are largely lower on average across estimates than those reported across the main text.</w:t>
      </w:r>
    </w:p>
    <w:p w14:paraId="18585250" w14:textId="77777777" w:rsidR="009B2AC6" w:rsidRDefault="009B2AC6">
      <w:pPr>
        <w:pStyle w:val="Heading2"/>
      </w:pPr>
      <w:bookmarkStart w:id="17" w:name="_sd9k0r7lbd0f" w:colFirst="0" w:colLast="0"/>
      <w:bookmarkEnd w:id="17"/>
    </w:p>
    <w:p w14:paraId="0F5A785E" w14:textId="77777777" w:rsidR="009B2AC6" w:rsidRDefault="00000000">
      <w:pPr>
        <w:pStyle w:val="Heading2"/>
      </w:pPr>
      <w:bookmarkStart w:id="18" w:name="_ltej98z155du" w:colFirst="0" w:colLast="0"/>
      <w:bookmarkEnd w:id="18"/>
      <w:r>
        <w:t>A) Three-Day</w:t>
      </w:r>
    </w:p>
    <w:p w14:paraId="1CC8758F" w14:textId="77777777" w:rsidR="009B2AC6" w:rsidRDefault="00000000">
      <w:pPr>
        <w:pStyle w:val="Heading3"/>
      </w:pPr>
      <w:bookmarkStart w:id="19" w:name="_3tat7ut0yxvu" w:colFirst="0" w:colLast="0"/>
      <w:bookmarkEnd w:id="19"/>
      <w:r>
        <w:t>Figure D2: Max 3-</w:t>
      </w:r>
      <w:proofErr w:type="gramStart"/>
      <w:r>
        <w:t>Day  Spatial</w:t>
      </w:r>
      <w:proofErr w:type="gramEnd"/>
      <w:r>
        <w:t xml:space="preserve"> Distribution of Return Periods by Financing Type</w:t>
      </w:r>
    </w:p>
    <w:p w14:paraId="5152A665" w14:textId="77777777" w:rsidR="009B2AC6" w:rsidRDefault="00000000">
      <w:pPr>
        <w:jc w:val="center"/>
      </w:pPr>
      <w:r>
        <w:rPr>
          <w:noProof/>
        </w:rPr>
        <w:drawing>
          <wp:inline distT="114300" distB="114300" distL="114300" distR="114300" wp14:anchorId="0B439A9E" wp14:editId="3B8F53A0">
            <wp:extent cx="3976688" cy="5888556"/>
            <wp:effectExtent l="0" t="0" r="0" b="0"/>
            <wp:docPr id="29"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7"/>
                    <a:srcRect/>
                    <a:stretch>
                      <a:fillRect/>
                    </a:stretch>
                  </pic:blipFill>
                  <pic:spPr>
                    <a:xfrm>
                      <a:off x="0" y="0"/>
                      <a:ext cx="3976688" cy="5888556"/>
                    </a:xfrm>
                    <a:prstGeom prst="rect">
                      <a:avLst/>
                    </a:prstGeom>
                    <a:ln/>
                  </pic:spPr>
                </pic:pic>
              </a:graphicData>
            </a:graphic>
          </wp:inline>
        </w:drawing>
      </w:r>
    </w:p>
    <w:p w14:paraId="6AC65A6A" w14:textId="77777777" w:rsidR="009B2AC6" w:rsidRDefault="00000000">
      <w:r>
        <w:rPr>
          <w:i/>
          <w:sz w:val="20"/>
          <w:szCs w:val="20"/>
        </w:rPr>
        <w:t xml:space="preserve">Caption: </w:t>
      </w:r>
      <w:r>
        <w:rPr>
          <w:sz w:val="20"/>
          <w:szCs w:val="20"/>
        </w:rPr>
        <w:t xml:space="preserve">Spatial distribution and rural-urban classification of mean county-level precipitation return periods associated with varying modes of federal flood loss financing: insurance claims (panel a, b), disaster aid (panel c, d), property buyouts (panel e, f). Rural-urban classifications are derived from the US CDC National Center for Health Statistics’ Urban-Rural Classification Scheme. Return periods (in years) reflect the maximum daily precipitation event within 30 days preceding declaration or date of loss </w:t>
      </w:r>
      <w:r>
        <w:rPr>
          <w:sz w:val="20"/>
          <w:szCs w:val="20"/>
        </w:rPr>
        <w:lastRenderedPageBreak/>
        <w:t>modeled by county-fitted stationary GEV distribution using MSWEP 3-day precipitation data. One-way ANOVA tests across all three forms of financial support statistically significant differences between rural, suburban, and urban return periods (p&lt;0.001).</w:t>
      </w:r>
    </w:p>
    <w:p w14:paraId="568779A9" w14:textId="77777777" w:rsidR="009B2AC6" w:rsidRDefault="00000000">
      <w:pPr>
        <w:pStyle w:val="Heading3"/>
      </w:pPr>
      <w:bookmarkStart w:id="20" w:name="_w0ym8wfnsf2m" w:colFirst="0" w:colLast="0"/>
      <w:bookmarkEnd w:id="20"/>
      <w:r>
        <w:t>Figure D3: Max 3-Day Types of Flood-Related Presidential Declarations</w:t>
      </w:r>
    </w:p>
    <w:p w14:paraId="26532A7A" w14:textId="77777777" w:rsidR="009B2AC6" w:rsidRDefault="00000000">
      <w:r>
        <w:rPr>
          <w:noProof/>
        </w:rPr>
        <w:drawing>
          <wp:inline distT="114300" distB="114300" distL="114300" distR="114300" wp14:anchorId="0487EBC2" wp14:editId="6D6C21A7">
            <wp:extent cx="5943600" cy="2971800"/>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8"/>
                    <a:srcRect/>
                    <a:stretch>
                      <a:fillRect/>
                    </a:stretch>
                  </pic:blipFill>
                  <pic:spPr>
                    <a:xfrm>
                      <a:off x="0" y="0"/>
                      <a:ext cx="5943600" cy="2971800"/>
                    </a:xfrm>
                    <a:prstGeom prst="rect">
                      <a:avLst/>
                    </a:prstGeom>
                    <a:ln/>
                  </pic:spPr>
                </pic:pic>
              </a:graphicData>
            </a:graphic>
          </wp:inline>
        </w:drawing>
      </w:r>
    </w:p>
    <w:p w14:paraId="5F915B3E" w14:textId="77777777" w:rsidR="009B2AC6" w:rsidRDefault="00000000">
      <w:pPr>
        <w:rPr>
          <w:sz w:val="20"/>
          <w:szCs w:val="20"/>
        </w:rPr>
      </w:pPr>
      <w:r>
        <w:rPr>
          <w:i/>
          <w:sz w:val="20"/>
          <w:szCs w:val="20"/>
        </w:rPr>
        <w:t xml:space="preserve">Caption: </w:t>
      </w:r>
      <w:r>
        <w:rPr>
          <w:sz w:val="20"/>
          <w:szCs w:val="20"/>
        </w:rPr>
        <w:t xml:space="preserve">Overview of flood-related presidentially declared disasters by type. Panel a) reflects the mode of most </w:t>
      </w:r>
      <w:proofErr w:type="gramStart"/>
      <w:r>
        <w:rPr>
          <w:sz w:val="20"/>
          <w:szCs w:val="20"/>
        </w:rPr>
        <w:t>commonly-declared</w:t>
      </w:r>
      <w:proofErr w:type="gramEnd"/>
      <w:r>
        <w:rPr>
          <w:sz w:val="20"/>
          <w:szCs w:val="20"/>
        </w:rPr>
        <w:t xml:space="preserve"> event by CONUS county. Panel b) reflects the raw counts by event type per county of declaration. Panel c) shows the distribution of the return period of the max daily precipitation event within 30 days preceding declaration for the county with the maximum return for each given disaster declaration in years modeled by county-fitted stationary GEV distribution using MSWEP daily precipitation data.</w:t>
      </w:r>
    </w:p>
    <w:p w14:paraId="666639F4" w14:textId="77777777" w:rsidR="009B2AC6" w:rsidRDefault="00000000">
      <w:pPr>
        <w:pStyle w:val="Heading3"/>
      </w:pPr>
      <w:bookmarkStart w:id="21" w:name="_jcg3uir3h7xv" w:colFirst="0" w:colLast="0"/>
      <w:bookmarkEnd w:id="21"/>
      <w:r>
        <w:lastRenderedPageBreak/>
        <w:t>Figure D4: Max 3-Day Spatiotemporal Storm Clustering</w:t>
      </w:r>
    </w:p>
    <w:p w14:paraId="7ACA3D13" w14:textId="77777777" w:rsidR="009B2AC6" w:rsidRDefault="00000000">
      <w:pPr>
        <w:jc w:val="center"/>
      </w:pPr>
      <w:r>
        <w:rPr>
          <w:noProof/>
        </w:rPr>
        <w:drawing>
          <wp:inline distT="114300" distB="114300" distL="114300" distR="114300" wp14:anchorId="6853FC00" wp14:editId="78F78142">
            <wp:extent cx="3924300" cy="7406765"/>
            <wp:effectExtent l="0" t="0" r="0" b="0"/>
            <wp:docPr id="2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9"/>
                    <a:srcRect t="7692" b="3029"/>
                    <a:stretch>
                      <a:fillRect/>
                    </a:stretch>
                  </pic:blipFill>
                  <pic:spPr>
                    <a:xfrm>
                      <a:off x="0" y="0"/>
                      <a:ext cx="3924300" cy="7406765"/>
                    </a:xfrm>
                    <a:prstGeom prst="rect">
                      <a:avLst/>
                    </a:prstGeom>
                    <a:ln/>
                  </pic:spPr>
                </pic:pic>
              </a:graphicData>
            </a:graphic>
          </wp:inline>
        </w:drawing>
      </w:r>
    </w:p>
    <w:p w14:paraId="3B95F046" w14:textId="77777777" w:rsidR="009B2AC6" w:rsidRDefault="00000000">
      <w:r>
        <w:rPr>
          <w:i/>
          <w:sz w:val="20"/>
          <w:szCs w:val="20"/>
        </w:rPr>
        <w:t xml:space="preserve">Caption: </w:t>
      </w:r>
      <w:r>
        <w:rPr>
          <w:sz w:val="20"/>
          <w:szCs w:val="20"/>
        </w:rPr>
        <w:t xml:space="preserve">Visualization of </w:t>
      </w:r>
      <w:proofErr w:type="spellStart"/>
      <w:r>
        <w:rPr>
          <w:sz w:val="20"/>
          <w:szCs w:val="20"/>
        </w:rPr>
        <w:t>spatio</w:t>
      </w:r>
      <w:proofErr w:type="spellEnd"/>
      <w:r>
        <w:rPr>
          <w:sz w:val="20"/>
          <w:szCs w:val="20"/>
        </w:rPr>
        <w:t xml:space="preserve">-temporal clustering for Hurricane Katrina and Hurricane Ike. Figure progresses from disaster declaration event types (panels a, b), their associated county-level precipitation </w:t>
      </w:r>
      <w:proofErr w:type="gramStart"/>
      <w:r>
        <w:rPr>
          <w:sz w:val="20"/>
          <w:szCs w:val="20"/>
        </w:rPr>
        <w:t>return</w:t>
      </w:r>
      <w:proofErr w:type="gramEnd"/>
      <w:r>
        <w:rPr>
          <w:sz w:val="20"/>
          <w:szCs w:val="20"/>
        </w:rPr>
        <w:t xml:space="preserve"> periods (panels c, d) to associated total counts of insurance claims (panels e, f), disaster aid </w:t>
      </w:r>
      <w:r>
        <w:rPr>
          <w:sz w:val="20"/>
          <w:szCs w:val="20"/>
        </w:rPr>
        <w:lastRenderedPageBreak/>
        <w:t xml:space="preserve">(panels g, h), and property buyouts (panels </w:t>
      </w:r>
      <w:proofErr w:type="spellStart"/>
      <w:r>
        <w:rPr>
          <w:sz w:val="20"/>
          <w:szCs w:val="20"/>
        </w:rPr>
        <w:t>i</w:t>
      </w:r>
      <w:proofErr w:type="spellEnd"/>
      <w:r>
        <w:rPr>
          <w:sz w:val="20"/>
          <w:szCs w:val="20"/>
        </w:rPr>
        <w:t xml:space="preserve">, j) with total damage costs in the lower right of each panel (CPI-adjusted). Clustering is conducted using ST-DBSCAN with a </w:t>
      </w:r>
      <w:proofErr w:type="gramStart"/>
      <w:r>
        <w:rPr>
          <w:sz w:val="20"/>
          <w:szCs w:val="20"/>
        </w:rPr>
        <w:t>3 degree</w:t>
      </w:r>
      <w:proofErr w:type="gramEnd"/>
      <w:r>
        <w:rPr>
          <w:sz w:val="20"/>
          <w:szCs w:val="20"/>
        </w:rPr>
        <w:t xml:space="preserve"> latitude/longitude space threshold, a time threshold of 5 days, and number threshold of 7 datapoints. Return periods reflect MSWEP 3-day maximum preceding precipitation within 30 days of the reported loss.</w:t>
      </w:r>
    </w:p>
    <w:p w14:paraId="022F7657" w14:textId="77777777" w:rsidR="009B2AC6" w:rsidRDefault="009B2AC6"/>
    <w:p w14:paraId="71DB90F7" w14:textId="77777777" w:rsidR="009B2AC6" w:rsidRDefault="009B2AC6"/>
    <w:p w14:paraId="0F5537C4" w14:textId="77777777" w:rsidR="009B2AC6" w:rsidRDefault="00000000">
      <w:pPr>
        <w:pStyle w:val="Heading3"/>
      </w:pPr>
      <w:bookmarkStart w:id="22" w:name="_yxryaze3f0mj" w:colFirst="0" w:colLast="0"/>
      <w:bookmarkEnd w:id="22"/>
      <w:r>
        <w:t>Figure D5: Max 3-Day Return Period Sensitivity to Spatiotemporal Clustering</w:t>
      </w:r>
    </w:p>
    <w:p w14:paraId="53491120" w14:textId="77777777" w:rsidR="009B2AC6" w:rsidRDefault="00000000">
      <w:r>
        <w:rPr>
          <w:noProof/>
        </w:rPr>
        <w:drawing>
          <wp:inline distT="114300" distB="114300" distL="114300" distR="114300" wp14:anchorId="4A26CB72" wp14:editId="4D57A1AA">
            <wp:extent cx="5943600" cy="5194300"/>
            <wp:effectExtent l="0" t="0" r="0" b="0"/>
            <wp:docPr id="1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0"/>
                    <a:srcRect/>
                    <a:stretch>
                      <a:fillRect/>
                    </a:stretch>
                  </pic:blipFill>
                  <pic:spPr>
                    <a:xfrm>
                      <a:off x="0" y="0"/>
                      <a:ext cx="5943600" cy="5194300"/>
                    </a:xfrm>
                    <a:prstGeom prst="rect">
                      <a:avLst/>
                    </a:prstGeom>
                    <a:ln/>
                  </pic:spPr>
                </pic:pic>
              </a:graphicData>
            </a:graphic>
          </wp:inline>
        </w:drawing>
      </w:r>
    </w:p>
    <w:p w14:paraId="3522D7EF" w14:textId="77777777" w:rsidR="009B2AC6" w:rsidRDefault="00000000">
      <w:r>
        <w:rPr>
          <w:i/>
          <w:sz w:val="20"/>
          <w:szCs w:val="20"/>
        </w:rPr>
        <w:t xml:space="preserve">Caption: </w:t>
      </w:r>
      <w:r>
        <w:rPr>
          <w:sz w:val="20"/>
          <w:szCs w:val="20"/>
        </w:rPr>
        <w:t xml:space="preserve">Spatiotemporally clustered financial losses across insurance claims (panels a, b, c, d), as well as disaster aid and buyouts (panels b and d). Clusters in panels a) and c) vary in size </w:t>
      </w:r>
      <w:proofErr w:type="gramStart"/>
      <w:r>
        <w:rPr>
          <w:sz w:val="20"/>
          <w:szCs w:val="20"/>
        </w:rPr>
        <w:t>on the basis of</w:t>
      </w:r>
      <w:proofErr w:type="gramEnd"/>
      <w:r>
        <w:rPr>
          <w:sz w:val="20"/>
          <w:szCs w:val="20"/>
        </w:rPr>
        <w:t xml:space="preserve"> the median cluster size (15) and 90th percentile cluster size (170). Clusters are extracted using ST-DBSCAN with threshold parameters a space threshold of 3 degrees latitude/longitude, time threshold of 5 days, and a minimum cluster size of 7 as optimized under validation and sensitivity, as detailed in Section 9 of the SI. Return periods are in years and reflect the maximum 3-day precipitation event within 30 days </w:t>
      </w:r>
      <w:r>
        <w:rPr>
          <w:sz w:val="20"/>
          <w:szCs w:val="20"/>
        </w:rPr>
        <w:lastRenderedPageBreak/>
        <w:t>preceding declaration for each given loss modeled by county-fitted stationary GEV distribution using MSWEP daily precipitation data.</w:t>
      </w:r>
    </w:p>
    <w:p w14:paraId="14C2C777" w14:textId="77777777" w:rsidR="009B2AC6" w:rsidRDefault="00000000">
      <w:pPr>
        <w:pStyle w:val="Heading3"/>
      </w:pPr>
      <w:bookmarkStart w:id="23" w:name="_pe8c5c5rmt4x" w:colFirst="0" w:colLast="0"/>
      <w:bookmarkEnd w:id="23"/>
      <w:r>
        <w:t>Figure D7: Max 3-Day Summary of Costs and Return Periods by Financing Type</w:t>
      </w:r>
    </w:p>
    <w:p w14:paraId="0F6AD954" w14:textId="77777777" w:rsidR="009B2AC6" w:rsidRDefault="00000000">
      <w:pPr>
        <w:jc w:val="center"/>
      </w:pPr>
      <w:r>
        <w:rPr>
          <w:noProof/>
        </w:rPr>
        <w:drawing>
          <wp:inline distT="114300" distB="114300" distL="114300" distR="114300" wp14:anchorId="35E1DB03" wp14:editId="349BDD47">
            <wp:extent cx="4836680" cy="6138863"/>
            <wp:effectExtent l="0" t="0" r="0" b="0"/>
            <wp:docPr id="45"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21"/>
                    <a:srcRect/>
                    <a:stretch>
                      <a:fillRect/>
                    </a:stretch>
                  </pic:blipFill>
                  <pic:spPr>
                    <a:xfrm>
                      <a:off x="0" y="0"/>
                      <a:ext cx="4836680" cy="6138863"/>
                    </a:xfrm>
                    <a:prstGeom prst="rect">
                      <a:avLst/>
                    </a:prstGeom>
                    <a:ln/>
                  </pic:spPr>
                </pic:pic>
              </a:graphicData>
            </a:graphic>
          </wp:inline>
        </w:drawing>
      </w:r>
    </w:p>
    <w:p w14:paraId="11202EBB" w14:textId="77777777" w:rsidR="009B2AC6" w:rsidRDefault="00000000">
      <w:pPr>
        <w:rPr>
          <w:sz w:val="20"/>
          <w:szCs w:val="20"/>
        </w:rPr>
      </w:pPr>
      <w:r>
        <w:rPr>
          <w:i/>
          <w:sz w:val="20"/>
          <w:szCs w:val="20"/>
        </w:rPr>
        <w:t xml:space="preserve">Caption: </w:t>
      </w:r>
      <w:r>
        <w:rPr>
          <w:sz w:val="20"/>
          <w:szCs w:val="20"/>
        </w:rPr>
        <w:t xml:space="preserve">Summary of return periods, aggregate national annualized costs, and costs per household across various forms of federal financial flood support: insurance claims, disaster aid, and property buyouts. Panel a) shows the distribution of the return period in years of the maximum 1-day precipitation event within 30 days preceding declaration for each given loss modeled by county-fitted stationary GEV distribution using MSWEP daily precipitation data. Costs in panels b) and c) are inflation-adjusted using </w:t>
      </w:r>
      <w:r>
        <w:rPr>
          <w:sz w:val="20"/>
          <w:szCs w:val="20"/>
        </w:rPr>
        <w:lastRenderedPageBreak/>
        <w:t xml:space="preserve">CPI-U values the US Bureau of Labor Statistics based upon the reported event date. All records are obtained from </w:t>
      </w:r>
      <w:proofErr w:type="spellStart"/>
      <w:r>
        <w:rPr>
          <w:sz w:val="20"/>
          <w:szCs w:val="20"/>
        </w:rPr>
        <w:t>OpenFEMA</w:t>
      </w:r>
      <w:proofErr w:type="spellEnd"/>
      <w:r>
        <w:rPr>
          <w:sz w:val="20"/>
          <w:szCs w:val="20"/>
        </w:rPr>
        <w:t>.</w:t>
      </w:r>
    </w:p>
    <w:p w14:paraId="1AAD6CCA" w14:textId="77777777" w:rsidR="009B2AC6" w:rsidRDefault="009B2AC6">
      <w:pPr>
        <w:rPr>
          <w:sz w:val="20"/>
          <w:szCs w:val="20"/>
        </w:rPr>
      </w:pPr>
    </w:p>
    <w:p w14:paraId="0A334559" w14:textId="77777777" w:rsidR="009B2AC6" w:rsidRDefault="00000000">
      <w:pPr>
        <w:pStyle w:val="Heading2"/>
      </w:pPr>
      <w:bookmarkStart w:id="24" w:name="_2imq9wt0c62f" w:colFirst="0" w:colLast="0"/>
      <w:bookmarkEnd w:id="24"/>
      <w:r>
        <w:t>B) Weekly</w:t>
      </w:r>
    </w:p>
    <w:p w14:paraId="6BF81124" w14:textId="77777777" w:rsidR="009B2AC6" w:rsidRDefault="00000000">
      <w:pPr>
        <w:pStyle w:val="Heading3"/>
      </w:pPr>
      <w:bookmarkStart w:id="25" w:name="_8egp4ups60m7" w:colFirst="0" w:colLast="0"/>
      <w:bookmarkEnd w:id="25"/>
      <w:r>
        <w:t>Figure W2: Weekly Spatial Distribution of Return Periods by Financing Type</w:t>
      </w:r>
    </w:p>
    <w:p w14:paraId="26B6798E" w14:textId="77777777" w:rsidR="009B2AC6" w:rsidRDefault="00000000">
      <w:pPr>
        <w:jc w:val="center"/>
      </w:pPr>
      <w:r>
        <w:rPr>
          <w:noProof/>
        </w:rPr>
        <w:drawing>
          <wp:inline distT="114300" distB="114300" distL="114300" distR="114300" wp14:anchorId="5A84C8CE" wp14:editId="331862C6">
            <wp:extent cx="3995738" cy="5916765"/>
            <wp:effectExtent l="0" t="0" r="0" b="0"/>
            <wp:docPr id="2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2"/>
                    <a:srcRect/>
                    <a:stretch>
                      <a:fillRect/>
                    </a:stretch>
                  </pic:blipFill>
                  <pic:spPr>
                    <a:xfrm>
                      <a:off x="0" y="0"/>
                      <a:ext cx="3995738" cy="5916765"/>
                    </a:xfrm>
                    <a:prstGeom prst="rect">
                      <a:avLst/>
                    </a:prstGeom>
                    <a:ln/>
                  </pic:spPr>
                </pic:pic>
              </a:graphicData>
            </a:graphic>
          </wp:inline>
        </w:drawing>
      </w:r>
    </w:p>
    <w:p w14:paraId="41621095" w14:textId="77777777" w:rsidR="009B2AC6" w:rsidRDefault="00000000">
      <w:r>
        <w:rPr>
          <w:i/>
          <w:sz w:val="20"/>
          <w:szCs w:val="20"/>
        </w:rPr>
        <w:t xml:space="preserve">Caption: </w:t>
      </w:r>
      <w:r>
        <w:rPr>
          <w:sz w:val="20"/>
          <w:szCs w:val="20"/>
        </w:rPr>
        <w:t xml:space="preserve">Spatial distribution and rural-urban classification of mean county-level precipitation return periods associated with varying modes of federal flood loss financing: insurance claims (panel a, b), disaster aid (panel c, d), property buyouts (panel e, f). Rural-urban classifications are derived from the US CDC National Center for Health Statistics’ Urban-Rural Classification Scheme. Return periods (in </w:t>
      </w:r>
      <w:r>
        <w:rPr>
          <w:sz w:val="20"/>
          <w:szCs w:val="20"/>
        </w:rPr>
        <w:lastRenderedPageBreak/>
        <w:t>years) reflect the maximum daily precipitation event within 30 days preceding declaration or date of loss modeled by county-fitted stationary GEV distribution using MSWEP weekly precipitation data. One-way ANOVA tests across all three forms of financial support statistically significant differences between rural, suburban, and urban return periods (p&lt;0.001).</w:t>
      </w:r>
    </w:p>
    <w:p w14:paraId="6A22EF5B" w14:textId="77777777" w:rsidR="009B2AC6" w:rsidRDefault="00000000">
      <w:pPr>
        <w:pStyle w:val="Heading3"/>
      </w:pPr>
      <w:bookmarkStart w:id="26" w:name="_bhnwdlawh0b7" w:colFirst="0" w:colLast="0"/>
      <w:bookmarkEnd w:id="26"/>
      <w:r>
        <w:t>Figure W3: Weekly Types of Flood-Related Presidential Declarations</w:t>
      </w:r>
    </w:p>
    <w:p w14:paraId="59455DFC" w14:textId="77777777" w:rsidR="009B2AC6" w:rsidRDefault="00000000">
      <w:r>
        <w:rPr>
          <w:noProof/>
        </w:rPr>
        <w:drawing>
          <wp:inline distT="114300" distB="114300" distL="114300" distR="114300" wp14:anchorId="49921AE6" wp14:editId="051EC2A6">
            <wp:extent cx="5943600" cy="2971800"/>
            <wp:effectExtent l="0" t="0" r="0" b="0"/>
            <wp:docPr id="1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3"/>
                    <a:srcRect/>
                    <a:stretch>
                      <a:fillRect/>
                    </a:stretch>
                  </pic:blipFill>
                  <pic:spPr>
                    <a:xfrm>
                      <a:off x="0" y="0"/>
                      <a:ext cx="5943600" cy="2971800"/>
                    </a:xfrm>
                    <a:prstGeom prst="rect">
                      <a:avLst/>
                    </a:prstGeom>
                    <a:ln/>
                  </pic:spPr>
                </pic:pic>
              </a:graphicData>
            </a:graphic>
          </wp:inline>
        </w:drawing>
      </w:r>
    </w:p>
    <w:p w14:paraId="553363EA" w14:textId="77777777" w:rsidR="009B2AC6" w:rsidRDefault="00000000">
      <w:pPr>
        <w:rPr>
          <w:sz w:val="20"/>
          <w:szCs w:val="20"/>
        </w:rPr>
      </w:pPr>
      <w:r>
        <w:rPr>
          <w:i/>
          <w:sz w:val="20"/>
          <w:szCs w:val="20"/>
        </w:rPr>
        <w:t xml:space="preserve">Caption: </w:t>
      </w:r>
      <w:r>
        <w:rPr>
          <w:sz w:val="20"/>
          <w:szCs w:val="20"/>
        </w:rPr>
        <w:t xml:space="preserve">Overview of flood-related presidentially declared disasters by type. Panel a) reflects the mode of most </w:t>
      </w:r>
      <w:proofErr w:type="gramStart"/>
      <w:r>
        <w:rPr>
          <w:sz w:val="20"/>
          <w:szCs w:val="20"/>
        </w:rPr>
        <w:t>commonly-declared</w:t>
      </w:r>
      <w:proofErr w:type="gramEnd"/>
      <w:r>
        <w:rPr>
          <w:sz w:val="20"/>
          <w:szCs w:val="20"/>
        </w:rPr>
        <w:t xml:space="preserve"> event by CONUS county. Panel b) reflects the raw counts by event type per county of declaration. Panel c) shows the distribution of the return period of the 7-day precipitation event preceding declaration for the county with the maximum return for each given disaster declaration in years modeled by county-fitted stationary GEV distribution using MSWEP daily precipitation data.</w:t>
      </w:r>
    </w:p>
    <w:p w14:paraId="2F8CD9E8" w14:textId="77777777" w:rsidR="009B2AC6" w:rsidRDefault="00000000">
      <w:pPr>
        <w:pStyle w:val="Heading3"/>
      </w:pPr>
      <w:bookmarkStart w:id="27" w:name="_6czr77pqafva" w:colFirst="0" w:colLast="0"/>
      <w:bookmarkEnd w:id="27"/>
      <w:r>
        <w:lastRenderedPageBreak/>
        <w:t>Figure W4: Weekly Spatiotemporal Storm Clustering</w:t>
      </w:r>
    </w:p>
    <w:p w14:paraId="49906136" w14:textId="77777777" w:rsidR="009B2AC6" w:rsidRDefault="00000000">
      <w:pPr>
        <w:jc w:val="center"/>
      </w:pPr>
      <w:r>
        <w:rPr>
          <w:noProof/>
        </w:rPr>
        <w:drawing>
          <wp:inline distT="114300" distB="114300" distL="114300" distR="114300" wp14:anchorId="081E0CA9" wp14:editId="03D86546">
            <wp:extent cx="3705225" cy="6920990"/>
            <wp:effectExtent l="0" t="0" r="0" b="0"/>
            <wp:docPr id="41"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24"/>
                    <a:srcRect t="9528" b="2351"/>
                    <a:stretch>
                      <a:fillRect/>
                    </a:stretch>
                  </pic:blipFill>
                  <pic:spPr>
                    <a:xfrm>
                      <a:off x="0" y="0"/>
                      <a:ext cx="3705225" cy="6920990"/>
                    </a:xfrm>
                    <a:prstGeom prst="rect">
                      <a:avLst/>
                    </a:prstGeom>
                    <a:ln/>
                  </pic:spPr>
                </pic:pic>
              </a:graphicData>
            </a:graphic>
          </wp:inline>
        </w:drawing>
      </w:r>
    </w:p>
    <w:p w14:paraId="42EE3CD8" w14:textId="77777777" w:rsidR="009B2AC6" w:rsidRDefault="00000000">
      <w:r>
        <w:rPr>
          <w:i/>
          <w:sz w:val="20"/>
          <w:szCs w:val="20"/>
        </w:rPr>
        <w:t xml:space="preserve">Caption: </w:t>
      </w:r>
      <w:r>
        <w:rPr>
          <w:sz w:val="20"/>
          <w:szCs w:val="20"/>
        </w:rPr>
        <w:t xml:space="preserve">Visualization of </w:t>
      </w:r>
      <w:proofErr w:type="spellStart"/>
      <w:r>
        <w:rPr>
          <w:sz w:val="20"/>
          <w:szCs w:val="20"/>
        </w:rPr>
        <w:t>spatio</w:t>
      </w:r>
      <w:proofErr w:type="spellEnd"/>
      <w:r>
        <w:rPr>
          <w:sz w:val="20"/>
          <w:szCs w:val="20"/>
        </w:rPr>
        <w:t xml:space="preserve">-temporal clustering for Hurricane Katrina and Hurricane Ike. Figure progresses from disaster declaration event types (panels a, b), their associated county-level precipitation </w:t>
      </w:r>
      <w:proofErr w:type="gramStart"/>
      <w:r>
        <w:rPr>
          <w:sz w:val="20"/>
          <w:szCs w:val="20"/>
        </w:rPr>
        <w:t>return</w:t>
      </w:r>
      <w:proofErr w:type="gramEnd"/>
      <w:r>
        <w:rPr>
          <w:sz w:val="20"/>
          <w:szCs w:val="20"/>
        </w:rPr>
        <w:t xml:space="preserve"> periods (panels c, d) to associated total counts of insurance claims (panels e, f), disaster aid (panels g, h), and property buyouts (panels </w:t>
      </w:r>
      <w:proofErr w:type="spellStart"/>
      <w:r>
        <w:rPr>
          <w:sz w:val="20"/>
          <w:szCs w:val="20"/>
        </w:rPr>
        <w:t>i</w:t>
      </w:r>
      <w:proofErr w:type="spellEnd"/>
      <w:r>
        <w:rPr>
          <w:sz w:val="20"/>
          <w:szCs w:val="20"/>
        </w:rPr>
        <w:t xml:space="preserve">, j) with total damage costs in the lower right of each panel (CPI-adjusted). Clustering is conducted using ST-DBSCAN with a </w:t>
      </w:r>
      <w:proofErr w:type="gramStart"/>
      <w:r>
        <w:rPr>
          <w:sz w:val="20"/>
          <w:szCs w:val="20"/>
        </w:rPr>
        <w:t>3 degree</w:t>
      </w:r>
      <w:proofErr w:type="gramEnd"/>
      <w:r>
        <w:rPr>
          <w:sz w:val="20"/>
          <w:szCs w:val="20"/>
        </w:rPr>
        <w:t xml:space="preserve"> latitude/longitude space </w:t>
      </w:r>
      <w:r>
        <w:rPr>
          <w:sz w:val="20"/>
          <w:szCs w:val="20"/>
        </w:rPr>
        <w:lastRenderedPageBreak/>
        <w:t>threshold, a time threshold of 5 days, and number threshold of 7 datapoints. Return periods reflect MSWEP weekly maximum preceding precipitation within 30 days of the reported loss.</w:t>
      </w:r>
    </w:p>
    <w:p w14:paraId="48A0F758" w14:textId="77777777" w:rsidR="009B2AC6" w:rsidRDefault="00000000">
      <w:pPr>
        <w:pStyle w:val="Heading3"/>
      </w:pPr>
      <w:bookmarkStart w:id="28" w:name="_y6kvvnc4c9w" w:colFirst="0" w:colLast="0"/>
      <w:bookmarkEnd w:id="28"/>
      <w:r>
        <w:t>Figure W5: Weekly Return Period Sensitivity to Spatiotemporal Clustering</w:t>
      </w:r>
    </w:p>
    <w:p w14:paraId="623DD2BE" w14:textId="77777777" w:rsidR="009B2AC6" w:rsidRDefault="00000000">
      <w:r>
        <w:rPr>
          <w:noProof/>
        </w:rPr>
        <w:drawing>
          <wp:inline distT="114300" distB="114300" distL="114300" distR="114300" wp14:anchorId="1FB1D28C" wp14:editId="03E70D78">
            <wp:extent cx="5943600" cy="5194300"/>
            <wp:effectExtent l="0" t="0" r="0" b="0"/>
            <wp:docPr id="53"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25"/>
                    <a:srcRect/>
                    <a:stretch>
                      <a:fillRect/>
                    </a:stretch>
                  </pic:blipFill>
                  <pic:spPr>
                    <a:xfrm>
                      <a:off x="0" y="0"/>
                      <a:ext cx="5943600" cy="5194300"/>
                    </a:xfrm>
                    <a:prstGeom prst="rect">
                      <a:avLst/>
                    </a:prstGeom>
                    <a:ln/>
                  </pic:spPr>
                </pic:pic>
              </a:graphicData>
            </a:graphic>
          </wp:inline>
        </w:drawing>
      </w:r>
    </w:p>
    <w:p w14:paraId="78CAB2D0" w14:textId="77777777" w:rsidR="009B2AC6" w:rsidRDefault="00000000">
      <w:r>
        <w:rPr>
          <w:i/>
          <w:sz w:val="20"/>
          <w:szCs w:val="20"/>
        </w:rPr>
        <w:t xml:space="preserve">Caption: </w:t>
      </w:r>
      <w:r>
        <w:rPr>
          <w:sz w:val="20"/>
          <w:szCs w:val="20"/>
        </w:rPr>
        <w:t xml:space="preserve">Spatiotemporally clustered financial losses across insurance claims (panels a, b, c, d), as well as disaster aid and buyouts (panels b and d). Clusters in panels a) and c) vary in size </w:t>
      </w:r>
      <w:proofErr w:type="gramStart"/>
      <w:r>
        <w:rPr>
          <w:sz w:val="20"/>
          <w:szCs w:val="20"/>
        </w:rPr>
        <w:t>on the basis of</w:t>
      </w:r>
      <w:proofErr w:type="gramEnd"/>
      <w:r>
        <w:rPr>
          <w:sz w:val="20"/>
          <w:szCs w:val="20"/>
        </w:rPr>
        <w:t xml:space="preserve"> the median cluster size (15) and 90th percentile cluster size (170). Clusters are extracted using ST-DBSCAN with threshold parameters a space threshold of 3 degrees latitude/longitude, time threshold of 5 days, and a minimum cluster size of 7 as optimized under validation and sensitivity, as detailed in Section 9 of the SI. Return periods are in years and reflect the maximum weekly precipitation event within 30 days preceding declaration for each given loss modeled by county-fitted stationary GEV distribution using MSWEP daily precipitation data.</w:t>
      </w:r>
    </w:p>
    <w:p w14:paraId="133AD611" w14:textId="77777777" w:rsidR="009B2AC6" w:rsidRDefault="00000000">
      <w:pPr>
        <w:pStyle w:val="Heading3"/>
      </w:pPr>
      <w:bookmarkStart w:id="29" w:name="_wc9q67lsjcu" w:colFirst="0" w:colLast="0"/>
      <w:bookmarkEnd w:id="29"/>
      <w:r>
        <w:lastRenderedPageBreak/>
        <w:t>Figure W7: Weekly Summary of Costs and Return Periods by Financing Type</w:t>
      </w:r>
    </w:p>
    <w:p w14:paraId="5333116F" w14:textId="77777777" w:rsidR="009B2AC6" w:rsidRDefault="00000000">
      <w:pPr>
        <w:jc w:val="center"/>
      </w:pPr>
      <w:r>
        <w:rPr>
          <w:noProof/>
        </w:rPr>
        <w:drawing>
          <wp:inline distT="114300" distB="114300" distL="114300" distR="114300" wp14:anchorId="51FC6872" wp14:editId="5B3FAB90">
            <wp:extent cx="4596534" cy="5834063"/>
            <wp:effectExtent l="0" t="0" r="0" b="0"/>
            <wp:docPr id="43"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26"/>
                    <a:srcRect/>
                    <a:stretch>
                      <a:fillRect/>
                    </a:stretch>
                  </pic:blipFill>
                  <pic:spPr>
                    <a:xfrm>
                      <a:off x="0" y="0"/>
                      <a:ext cx="4596534" cy="5834063"/>
                    </a:xfrm>
                    <a:prstGeom prst="rect">
                      <a:avLst/>
                    </a:prstGeom>
                    <a:ln/>
                  </pic:spPr>
                </pic:pic>
              </a:graphicData>
            </a:graphic>
          </wp:inline>
        </w:drawing>
      </w:r>
    </w:p>
    <w:p w14:paraId="69309F32" w14:textId="77777777" w:rsidR="009B2AC6" w:rsidRDefault="00000000">
      <w:r>
        <w:rPr>
          <w:i/>
          <w:sz w:val="20"/>
          <w:szCs w:val="20"/>
        </w:rPr>
        <w:t xml:space="preserve">Caption: </w:t>
      </w:r>
      <w:r>
        <w:rPr>
          <w:sz w:val="20"/>
          <w:szCs w:val="20"/>
        </w:rPr>
        <w:t xml:space="preserve">Summary of return periods, aggregate national annualized costs, and costs per household across various forms of federal financial flood support: insurance claims, disaster aid, and property buyouts. Panel a) shows the distribution of the return period in years of the 7-day precipitation event preceding declaration for each given loss modeled by county-fitted stationary GEV distribution using MSWEP daily precipitation data. Costs in panels b) and c) are inflation-adjusted using CPI-U values the US Bureau of Labor Statistics based upon the reported event date. All records are obtained from </w:t>
      </w:r>
      <w:proofErr w:type="spellStart"/>
      <w:r>
        <w:rPr>
          <w:sz w:val="20"/>
          <w:szCs w:val="20"/>
        </w:rPr>
        <w:t>OpenFEMA</w:t>
      </w:r>
      <w:proofErr w:type="spellEnd"/>
      <w:r>
        <w:rPr>
          <w:sz w:val="20"/>
          <w:szCs w:val="20"/>
        </w:rPr>
        <w:t>.</w:t>
      </w:r>
    </w:p>
    <w:p w14:paraId="09583322" w14:textId="77777777" w:rsidR="009B2AC6" w:rsidRDefault="009B2AC6"/>
    <w:p w14:paraId="17AE5D65" w14:textId="77777777" w:rsidR="009B2AC6" w:rsidRDefault="00000000">
      <w:pPr>
        <w:pStyle w:val="Heading2"/>
      </w:pPr>
      <w:bookmarkStart w:id="30" w:name="_jpljz68prqp5" w:colFirst="0" w:colLast="0"/>
      <w:bookmarkEnd w:id="30"/>
      <w:r>
        <w:lastRenderedPageBreak/>
        <w:t>C) Monthly</w:t>
      </w:r>
    </w:p>
    <w:p w14:paraId="1741AE75" w14:textId="77777777" w:rsidR="009B2AC6" w:rsidRDefault="00000000">
      <w:pPr>
        <w:pStyle w:val="Heading3"/>
      </w:pPr>
      <w:bookmarkStart w:id="31" w:name="_u6br3h4vnrwo" w:colFirst="0" w:colLast="0"/>
      <w:bookmarkEnd w:id="31"/>
      <w:r>
        <w:t>Figure M2: Monthly Spatial Distribution of Return Periods by Financing Type</w:t>
      </w:r>
    </w:p>
    <w:p w14:paraId="4DCE6BE9" w14:textId="77777777" w:rsidR="009B2AC6" w:rsidRDefault="00000000">
      <w:pPr>
        <w:jc w:val="center"/>
      </w:pPr>
      <w:r>
        <w:rPr>
          <w:noProof/>
        </w:rPr>
        <w:drawing>
          <wp:inline distT="114300" distB="114300" distL="114300" distR="114300" wp14:anchorId="34A59E76" wp14:editId="50BCE4F7">
            <wp:extent cx="4062158" cy="6006721"/>
            <wp:effectExtent l="0" t="0" r="0" b="0"/>
            <wp:docPr id="48"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27"/>
                    <a:srcRect/>
                    <a:stretch>
                      <a:fillRect/>
                    </a:stretch>
                  </pic:blipFill>
                  <pic:spPr>
                    <a:xfrm>
                      <a:off x="0" y="0"/>
                      <a:ext cx="4062158" cy="6006721"/>
                    </a:xfrm>
                    <a:prstGeom prst="rect">
                      <a:avLst/>
                    </a:prstGeom>
                    <a:ln/>
                  </pic:spPr>
                </pic:pic>
              </a:graphicData>
            </a:graphic>
          </wp:inline>
        </w:drawing>
      </w:r>
    </w:p>
    <w:p w14:paraId="030EA656" w14:textId="77777777" w:rsidR="009B2AC6" w:rsidRDefault="00000000">
      <w:r>
        <w:rPr>
          <w:i/>
          <w:sz w:val="20"/>
          <w:szCs w:val="20"/>
        </w:rPr>
        <w:t xml:space="preserve">Caption: </w:t>
      </w:r>
      <w:r>
        <w:rPr>
          <w:sz w:val="20"/>
          <w:szCs w:val="20"/>
        </w:rPr>
        <w:t xml:space="preserve">Spatial distribution and rural-urban classification of mean county-level precipitation return periods associated with varying modes of federal flood loss financing: insurance claims (panel a, b), disaster aid (panel c, d), property buyouts (panel e, f). Rural-urban classifications are derived from the US CDC National Center for Health Statistics’ Urban-Rural Classification Scheme. Return periods (in years) reflect the maximum daily precipitation event within 30 days preceding declaration or date of loss modeled by county-fitted stationary GEV distribution using MSWEP monthly precipitation data. One-way </w:t>
      </w:r>
      <w:r>
        <w:rPr>
          <w:sz w:val="20"/>
          <w:szCs w:val="20"/>
        </w:rPr>
        <w:lastRenderedPageBreak/>
        <w:t>ANOVA tests across all three forms of financial support statistically significant differences between rural, suburban, and urban return periods (p&lt;0.001).</w:t>
      </w:r>
    </w:p>
    <w:p w14:paraId="640FD8CD" w14:textId="77777777" w:rsidR="009B2AC6" w:rsidRDefault="00000000">
      <w:pPr>
        <w:pStyle w:val="Heading3"/>
      </w:pPr>
      <w:bookmarkStart w:id="32" w:name="_w9yzt5qlebzb" w:colFirst="0" w:colLast="0"/>
      <w:bookmarkEnd w:id="32"/>
      <w:r>
        <w:t>Figure M3: Monthly Types of Flood-Related Presidential Declarations</w:t>
      </w:r>
    </w:p>
    <w:p w14:paraId="4EFD2D15" w14:textId="77777777" w:rsidR="009B2AC6" w:rsidRDefault="00000000">
      <w:r>
        <w:rPr>
          <w:noProof/>
        </w:rPr>
        <w:drawing>
          <wp:inline distT="114300" distB="114300" distL="114300" distR="114300" wp14:anchorId="79A8B83C" wp14:editId="58B0D433">
            <wp:extent cx="5943600" cy="2971800"/>
            <wp:effectExtent l="0" t="0" r="0" b="0"/>
            <wp:docPr id="34"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28"/>
                    <a:srcRect/>
                    <a:stretch>
                      <a:fillRect/>
                    </a:stretch>
                  </pic:blipFill>
                  <pic:spPr>
                    <a:xfrm>
                      <a:off x="0" y="0"/>
                      <a:ext cx="5943600" cy="2971800"/>
                    </a:xfrm>
                    <a:prstGeom prst="rect">
                      <a:avLst/>
                    </a:prstGeom>
                    <a:ln/>
                  </pic:spPr>
                </pic:pic>
              </a:graphicData>
            </a:graphic>
          </wp:inline>
        </w:drawing>
      </w:r>
    </w:p>
    <w:p w14:paraId="61B74BBA" w14:textId="77777777" w:rsidR="009B2AC6" w:rsidRDefault="00000000">
      <w:pPr>
        <w:rPr>
          <w:sz w:val="20"/>
          <w:szCs w:val="20"/>
        </w:rPr>
      </w:pPr>
      <w:r>
        <w:rPr>
          <w:i/>
          <w:sz w:val="20"/>
          <w:szCs w:val="20"/>
        </w:rPr>
        <w:t xml:space="preserve">Caption: </w:t>
      </w:r>
      <w:r>
        <w:rPr>
          <w:sz w:val="20"/>
          <w:szCs w:val="20"/>
        </w:rPr>
        <w:t xml:space="preserve">Overview of flood-related presidentially declared disasters by type. Panel a) reflects the mode of most </w:t>
      </w:r>
      <w:proofErr w:type="gramStart"/>
      <w:r>
        <w:rPr>
          <w:sz w:val="20"/>
          <w:szCs w:val="20"/>
        </w:rPr>
        <w:t>commonly-declared</w:t>
      </w:r>
      <w:proofErr w:type="gramEnd"/>
      <w:r>
        <w:rPr>
          <w:sz w:val="20"/>
          <w:szCs w:val="20"/>
        </w:rPr>
        <w:t xml:space="preserve"> event by CONUS county. Panel b) reflects the raw counts by event type per county of declaration. Panel c) shows the distribution of the return period of the 30-day precipitation event preceding declaration for the county with the maximum return for each given disaster declaration in years modeled by county-fitted stationary GEV distribution using MSWEP daily precipitation data.</w:t>
      </w:r>
    </w:p>
    <w:p w14:paraId="4FE11B40" w14:textId="77777777" w:rsidR="009B2AC6" w:rsidRDefault="00000000">
      <w:pPr>
        <w:pStyle w:val="Heading3"/>
      </w:pPr>
      <w:bookmarkStart w:id="33" w:name="_plhop3vygg3r" w:colFirst="0" w:colLast="0"/>
      <w:bookmarkEnd w:id="33"/>
      <w:r>
        <w:lastRenderedPageBreak/>
        <w:t>Figure M4: Monthly Spatiotemporal Storm Clustering</w:t>
      </w:r>
    </w:p>
    <w:p w14:paraId="09DF49AF" w14:textId="77777777" w:rsidR="009B2AC6" w:rsidRDefault="00000000">
      <w:pPr>
        <w:jc w:val="center"/>
      </w:pPr>
      <w:r>
        <w:rPr>
          <w:noProof/>
        </w:rPr>
        <w:drawing>
          <wp:inline distT="114300" distB="114300" distL="114300" distR="114300" wp14:anchorId="12C992DB" wp14:editId="5A13855E">
            <wp:extent cx="3800475" cy="7054340"/>
            <wp:effectExtent l="0" t="0" r="0" b="0"/>
            <wp:docPr id="1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9"/>
                    <a:srcRect t="8983" b="3473"/>
                    <a:stretch>
                      <a:fillRect/>
                    </a:stretch>
                  </pic:blipFill>
                  <pic:spPr>
                    <a:xfrm>
                      <a:off x="0" y="0"/>
                      <a:ext cx="3800475" cy="7054340"/>
                    </a:xfrm>
                    <a:prstGeom prst="rect">
                      <a:avLst/>
                    </a:prstGeom>
                    <a:ln/>
                  </pic:spPr>
                </pic:pic>
              </a:graphicData>
            </a:graphic>
          </wp:inline>
        </w:drawing>
      </w:r>
    </w:p>
    <w:p w14:paraId="561A7379" w14:textId="77777777" w:rsidR="009B2AC6" w:rsidRDefault="00000000">
      <w:r>
        <w:rPr>
          <w:i/>
          <w:sz w:val="20"/>
          <w:szCs w:val="20"/>
        </w:rPr>
        <w:t xml:space="preserve">Caption: </w:t>
      </w:r>
      <w:r>
        <w:rPr>
          <w:sz w:val="20"/>
          <w:szCs w:val="20"/>
        </w:rPr>
        <w:t xml:space="preserve">Visualization of </w:t>
      </w:r>
      <w:proofErr w:type="spellStart"/>
      <w:r>
        <w:rPr>
          <w:sz w:val="20"/>
          <w:szCs w:val="20"/>
        </w:rPr>
        <w:t>spatio</w:t>
      </w:r>
      <w:proofErr w:type="spellEnd"/>
      <w:r>
        <w:rPr>
          <w:sz w:val="20"/>
          <w:szCs w:val="20"/>
        </w:rPr>
        <w:t xml:space="preserve">-temporal clustering for Hurricane Katrina and Hurricane Ike. Figure progresses from disaster declaration event types (panels a, b), their associated county-level precipitation </w:t>
      </w:r>
      <w:proofErr w:type="gramStart"/>
      <w:r>
        <w:rPr>
          <w:sz w:val="20"/>
          <w:szCs w:val="20"/>
        </w:rPr>
        <w:t>return</w:t>
      </w:r>
      <w:proofErr w:type="gramEnd"/>
      <w:r>
        <w:rPr>
          <w:sz w:val="20"/>
          <w:szCs w:val="20"/>
        </w:rPr>
        <w:t xml:space="preserve"> periods (panels c, d) to associated total counts of insurance claims (panels e, f), disaster aid (panels g, h), and property buyouts (panels </w:t>
      </w:r>
      <w:proofErr w:type="spellStart"/>
      <w:r>
        <w:rPr>
          <w:sz w:val="20"/>
          <w:szCs w:val="20"/>
        </w:rPr>
        <w:t>i</w:t>
      </w:r>
      <w:proofErr w:type="spellEnd"/>
      <w:r>
        <w:rPr>
          <w:sz w:val="20"/>
          <w:szCs w:val="20"/>
        </w:rPr>
        <w:t xml:space="preserve">, j) with total damage costs in the lower right of each panel (CPI-adjusted). Clustering is conducted using ST-DBSCAN with a </w:t>
      </w:r>
      <w:proofErr w:type="gramStart"/>
      <w:r>
        <w:rPr>
          <w:sz w:val="20"/>
          <w:szCs w:val="20"/>
        </w:rPr>
        <w:t>3 degree</w:t>
      </w:r>
      <w:proofErr w:type="gramEnd"/>
      <w:r>
        <w:rPr>
          <w:sz w:val="20"/>
          <w:szCs w:val="20"/>
        </w:rPr>
        <w:t xml:space="preserve"> latitude/longitude space </w:t>
      </w:r>
      <w:r>
        <w:rPr>
          <w:sz w:val="20"/>
          <w:szCs w:val="20"/>
        </w:rPr>
        <w:lastRenderedPageBreak/>
        <w:t>threshold, a time threshold of 5 days, and number threshold of 7 datapoints. Return periods reflect MSWEP monthly maximum preceding precipitation within 30 days of the reported loss.</w:t>
      </w:r>
    </w:p>
    <w:p w14:paraId="4FCCCBF0" w14:textId="77777777" w:rsidR="009B2AC6" w:rsidRDefault="00000000">
      <w:pPr>
        <w:pStyle w:val="Heading3"/>
      </w:pPr>
      <w:bookmarkStart w:id="34" w:name="_3t5nxfesxymn" w:colFirst="0" w:colLast="0"/>
      <w:bookmarkEnd w:id="34"/>
      <w:r>
        <w:t>Figure M5: Monthly Return Period Sensitivity to Spatiotemporal Clustering</w:t>
      </w:r>
    </w:p>
    <w:p w14:paraId="7EB88E00" w14:textId="77777777" w:rsidR="009B2AC6" w:rsidRDefault="00000000">
      <w:r>
        <w:rPr>
          <w:noProof/>
        </w:rPr>
        <w:drawing>
          <wp:inline distT="114300" distB="114300" distL="114300" distR="114300" wp14:anchorId="39F04EA0" wp14:editId="5305240B">
            <wp:extent cx="5943600" cy="5194300"/>
            <wp:effectExtent l="0" t="0" r="0" b="0"/>
            <wp:docPr id="2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0"/>
                    <a:srcRect/>
                    <a:stretch>
                      <a:fillRect/>
                    </a:stretch>
                  </pic:blipFill>
                  <pic:spPr>
                    <a:xfrm>
                      <a:off x="0" y="0"/>
                      <a:ext cx="5943600" cy="5194300"/>
                    </a:xfrm>
                    <a:prstGeom prst="rect">
                      <a:avLst/>
                    </a:prstGeom>
                    <a:ln/>
                  </pic:spPr>
                </pic:pic>
              </a:graphicData>
            </a:graphic>
          </wp:inline>
        </w:drawing>
      </w:r>
    </w:p>
    <w:p w14:paraId="092C91B6" w14:textId="77777777" w:rsidR="009B2AC6" w:rsidRDefault="00000000">
      <w:pPr>
        <w:rPr>
          <w:sz w:val="20"/>
          <w:szCs w:val="20"/>
        </w:rPr>
      </w:pPr>
      <w:r>
        <w:rPr>
          <w:i/>
          <w:sz w:val="20"/>
          <w:szCs w:val="20"/>
        </w:rPr>
        <w:t xml:space="preserve">Caption: </w:t>
      </w:r>
      <w:r>
        <w:rPr>
          <w:sz w:val="20"/>
          <w:szCs w:val="20"/>
        </w:rPr>
        <w:t xml:space="preserve">Spatiotemporally clustered financial losses across insurance claims (panels a, b, c, d), as well as disaster aid and buyouts (panels b and d). Clusters in panels a) and c) vary in size </w:t>
      </w:r>
      <w:proofErr w:type="gramStart"/>
      <w:r>
        <w:rPr>
          <w:sz w:val="20"/>
          <w:szCs w:val="20"/>
        </w:rPr>
        <w:t>on the basis of</w:t>
      </w:r>
      <w:proofErr w:type="gramEnd"/>
      <w:r>
        <w:rPr>
          <w:sz w:val="20"/>
          <w:szCs w:val="20"/>
        </w:rPr>
        <w:t xml:space="preserve"> the median cluster size (15) and 90th percentile cluster size (170). Clusters are extracted using ST-DBSCAN with threshold parameters a space threshold of 3 degrees latitude/longitude, time threshold of 5 days, and a minimum cluster size of 7 as optimized under validation and sensitivity, as detailed in Section 9 of the SI. Return periods are in years and reflect the maximum monthly precipitation event within 30 days preceding declaration for each given loss modeled by county-fitted stationary GEV distribution using MSWEP daily precipitation data.</w:t>
      </w:r>
    </w:p>
    <w:p w14:paraId="0DDEA266" w14:textId="77777777" w:rsidR="009B2AC6" w:rsidRDefault="00000000">
      <w:pPr>
        <w:pStyle w:val="Heading3"/>
      </w:pPr>
      <w:bookmarkStart w:id="35" w:name="_4fzu39yvokje" w:colFirst="0" w:colLast="0"/>
      <w:bookmarkEnd w:id="35"/>
      <w:r>
        <w:lastRenderedPageBreak/>
        <w:t>Figure M7: Monthly Summary of Costs and Return Periods by Financing Type</w:t>
      </w:r>
    </w:p>
    <w:p w14:paraId="3108EE22" w14:textId="77777777" w:rsidR="009B2AC6" w:rsidRDefault="00000000">
      <w:pPr>
        <w:jc w:val="center"/>
      </w:pPr>
      <w:r>
        <w:rPr>
          <w:noProof/>
        </w:rPr>
        <w:drawing>
          <wp:inline distT="114300" distB="114300" distL="114300" distR="114300" wp14:anchorId="0744A49F" wp14:editId="6F6C2D71">
            <wp:extent cx="4303857" cy="546258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1"/>
                    <a:srcRect/>
                    <a:stretch>
                      <a:fillRect/>
                    </a:stretch>
                  </pic:blipFill>
                  <pic:spPr>
                    <a:xfrm>
                      <a:off x="0" y="0"/>
                      <a:ext cx="4303857" cy="5462588"/>
                    </a:xfrm>
                    <a:prstGeom prst="rect">
                      <a:avLst/>
                    </a:prstGeom>
                    <a:ln/>
                  </pic:spPr>
                </pic:pic>
              </a:graphicData>
            </a:graphic>
          </wp:inline>
        </w:drawing>
      </w:r>
    </w:p>
    <w:p w14:paraId="3EA46857" w14:textId="77777777" w:rsidR="009B2AC6" w:rsidRDefault="00000000">
      <w:pPr>
        <w:rPr>
          <w:sz w:val="20"/>
          <w:szCs w:val="20"/>
        </w:rPr>
      </w:pPr>
      <w:r>
        <w:rPr>
          <w:i/>
          <w:sz w:val="20"/>
          <w:szCs w:val="20"/>
        </w:rPr>
        <w:t xml:space="preserve">Caption: </w:t>
      </w:r>
      <w:r>
        <w:rPr>
          <w:sz w:val="20"/>
          <w:szCs w:val="20"/>
        </w:rPr>
        <w:t xml:space="preserve">Summary of return periods, aggregate national annualized costs, and costs per household across various forms of federal financial flood support: insurance claims, disaster aid, and property buyouts. Panel a) shows the distribution of the return period in years of the 30-day precipitation event preceding declaration for each given loss modeled by county-fitted stationary GEV distribution using MSWEP daily precipitation data. Costs in panels b) and c) are inflation-adjusted using CPI-U values the US Bureau of Labor Statistics based upon the reported event date. All records are obtained from </w:t>
      </w:r>
      <w:proofErr w:type="spellStart"/>
      <w:r>
        <w:rPr>
          <w:sz w:val="20"/>
          <w:szCs w:val="20"/>
        </w:rPr>
        <w:t>OpenFEMA</w:t>
      </w:r>
      <w:proofErr w:type="spellEnd"/>
      <w:r>
        <w:rPr>
          <w:sz w:val="20"/>
          <w:szCs w:val="20"/>
        </w:rPr>
        <w:t>.</w:t>
      </w:r>
    </w:p>
    <w:p w14:paraId="4443B137" w14:textId="77777777" w:rsidR="009B2AC6" w:rsidRDefault="00000000">
      <w:pPr>
        <w:pStyle w:val="Heading1"/>
      </w:pPr>
      <w:bookmarkStart w:id="36" w:name="_1w1fxunuzk11" w:colFirst="0" w:colLast="0"/>
      <w:bookmarkEnd w:id="36"/>
      <w:r>
        <w:lastRenderedPageBreak/>
        <w:t>6) PRISM: Monthly Percentile and Return Period Intercomparison</w:t>
      </w:r>
    </w:p>
    <w:p w14:paraId="73F25C20" w14:textId="517256EE" w:rsidR="009B2AC6" w:rsidRDefault="00000000">
      <w:r>
        <w:t>We also provide below a detailing of the percentiles, associated return periods and the spatial distributions of such percentiles and return periods across all three datasets for monthly precipitation</w:t>
      </w:r>
      <w:r w:rsidR="00D70FC4">
        <w:t xml:space="preserve"> associated with insurance claims</w:t>
      </w:r>
      <w:r>
        <w:t>. We see that PRISM again provides the highest estimate, and ERA5 the lowest. We underscore that since PRISM data is only monthly and cannot capture the exact preceding 30 days to the event this estimate is likely an overestimate and inaccurate. Despite this, we are seeing consistently low return periods under 10 years for monthly precipitation across all three datasets. Here we filter all 0th percentile data for each dataset, to compare across non-zero values.</w:t>
      </w:r>
    </w:p>
    <w:p w14:paraId="33C52CF7" w14:textId="77777777" w:rsidR="009B2AC6" w:rsidRDefault="00000000">
      <w:pPr>
        <w:pStyle w:val="Heading3"/>
      </w:pPr>
      <w:bookmarkStart w:id="37" w:name="_5ezlfvtvvyf0" w:colFirst="0" w:colLast="0"/>
      <w:bookmarkEnd w:id="37"/>
      <w:r>
        <w:t>Figure P1: Intercomparison of Percentiles/Return Periods Across Datasets</w:t>
      </w:r>
    </w:p>
    <w:p w14:paraId="2E5AC471" w14:textId="77777777" w:rsidR="009B2AC6" w:rsidRDefault="00000000">
      <w:pPr>
        <w:jc w:val="center"/>
      </w:pPr>
      <w:r>
        <w:rPr>
          <w:noProof/>
        </w:rPr>
        <w:drawing>
          <wp:inline distT="114300" distB="114300" distL="114300" distR="114300" wp14:anchorId="24184568" wp14:editId="522B7C46">
            <wp:extent cx="5224463" cy="3349014"/>
            <wp:effectExtent l="0" t="0" r="0" b="0"/>
            <wp:docPr id="40"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2"/>
                    <a:srcRect/>
                    <a:stretch>
                      <a:fillRect/>
                    </a:stretch>
                  </pic:blipFill>
                  <pic:spPr>
                    <a:xfrm>
                      <a:off x="0" y="0"/>
                      <a:ext cx="5224463" cy="3349014"/>
                    </a:xfrm>
                    <a:prstGeom prst="rect">
                      <a:avLst/>
                    </a:prstGeom>
                    <a:ln/>
                  </pic:spPr>
                </pic:pic>
              </a:graphicData>
            </a:graphic>
          </wp:inline>
        </w:drawing>
      </w:r>
    </w:p>
    <w:p w14:paraId="6B2EEC2E" w14:textId="77777777" w:rsidR="009B2AC6" w:rsidRDefault="00000000">
      <w:pPr>
        <w:jc w:val="center"/>
      </w:pPr>
      <w:r>
        <w:rPr>
          <w:noProof/>
        </w:rPr>
        <w:lastRenderedPageBreak/>
        <w:drawing>
          <wp:inline distT="114300" distB="114300" distL="114300" distR="114300" wp14:anchorId="694B6CEF" wp14:editId="0D9EEF0F">
            <wp:extent cx="4919663" cy="3185166"/>
            <wp:effectExtent l="0" t="0" r="0" b="0"/>
            <wp:docPr id="27"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33"/>
                    <a:srcRect/>
                    <a:stretch>
                      <a:fillRect/>
                    </a:stretch>
                  </pic:blipFill>
                  <pic:spPr>
                    <a:xfrm>
                      <a:off x="0" y="0"/>
                      <a:ext cx="4919663" cy="3185166"/>
                    </a:xfrm>
                    <a:prstGeom prst="rect">
                      <a:avLst/>
                    </a:prstGeom>
                    <a:ln/>
                  </pic:spPr>
                </pic:pic>
              </a:graphicData>
            </a:graphic>
          </wp:inline>
        </w:drawing>
      </w:r>
    </w:p>
    <w:p w14:paraId="02278558" w14:textId="77777777" w:rsidR="009B2AC6" w:rsidRDefault="00000000">
      <w:pPr>
        <w:jc w:val="center"/>
      </w:pPr>
      <w:r>
        <w:rPr>
          <w:noProof/>
        </w:rPr>
        <w:drawing>
          <wp:inline distT="114300" distB="114300" distL="114300" distR="114300" wp14:anchorId="2545CAF2" wp14:editId="01877E1C">
            <wp:extent cx="4900613" cy="3196393"/>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4"/>
                    <a:srcRect/>
                    <a:stretch>
                      <a:fillRect/>
                    </a:stretch>
                  </pic:blipFill>
                  <pic:spPr>
                    <a:xfrm>
                      <a:off x="0" y="0"/>
                      <a:ext cx="4900613" cy="3196393"/>
                    </a:xfrm>
                    <a:prstGeom prst="rect">
                      <a:avLst/>
                    </a:prstGeom>
                    <a:ln/>
                  </pic:spPr>
                </pic:pic>
              </a:graphicData>
            </a:graphic>
          </wp:inline>
        </w:drawing>
      </w:r>
    </w:p>
    <w:p w14:paraId="41333259" w14:textId="77777777" w:rsidR="009B2AC6" w:rsidRDefault="00000000">
      <w:r>
        <w:rPr>
          <w:i/>
          <w:sz w:val="20"/>
          <w:szCs w:val="20"/>
        </w:rPr>
        <w:t xml:space="preserve">Caption: </w:t>
      </w:r>
      <w:r>
        <w:rPr>
          <w:sz w:val="20"/>
          <w:szCs w:val="20"/>
        </w:rPr>
        <w:t>Associated monthly percentiles and return periods for precipitation associated with flood insurance claims across PRISM, ERA5, and MSWEP datasets. ERA5 and MSWEP datasets include the 30 days prior to the event, while PRISM denotes the monthly precipitation value of the month of the event.</w:t>
      </w:r>
    </w:p>
    <w:p w14:paraId="641F4EB5" w14:textId="77777777" w:rsidR="009B2AC6" w:rsidRDefault="00000000">
      <w:pPr>
        <w:pStyle w:val="Heading1"/>
      </w:pPr>
      <w:bookmarkStart w:id="38" w:name="_sfbvt4hvnoky" w:colFirst="0" w:colLast="0"/>
      <w:bookmarkEnd w:id="38"/>
      <w:r>
        <w:lastRenderedPageBreak/>
        <w:t>7) ST-DBSCAN Parameterization Sensitivity Analysis</w:t>
      </w:r>
    </w:p>
    <w:p w14:paraId="201B6673" w14:textId="77777777" w:rsidR="009B2AC6" w:rsidRDefault="009B2AC6"/>
    <w:p w14:paraId="56360472" w14:textId="77777777" w:rsidR="009B2AC6" w:rsidRDefault="00000000">
      <w:pPr>
        <w:pStyle w:val="Heading2"/>
      </w:pPr>
      <w:bookmarkStart w:id="39" w:name="_qnzomyyz2tcp" w:colFirst="0" w:colLast="0"/>
      <w:bookmarkEnd w:id="39"/>
      <w:r>
        <w:t>A) Cluster Claim Value and Return Period</w:t>
      </w:r>
    </w:p>
    <w:p w14:paraId="71556BDE" w14:textId="0B150A51" w:rsidR="009B2AC6" w:rsidRDefault="00000000">
      <w:r>
        <w:t xml:space="preserve">Interestingly, we do find a significant correlation between damage and precipitation return period across clusters of claims for both the mean and maximum return periods within clusters for insurance claims. </w:t>
      </w:r>
      <w:r w:rsidR="007D2131">
        <w:t xml:space="preserve">We also find no correlation between insurance claim damage and return period across unclustered claims. </w:t>
      </w:r>
      <w:r>
        <w:t>We report the result below in Figure S5.</w:t>
      </w:r>
    </w:p>
    <w:p w14:paraId="75181769" w14:textId="77777777" w:rsidR="009B2AC6" w:rsidRDefault="00000000">
      <w:pPr>
        <w:pStyle w:val="Heading3"/>
      </w:pPr>
      <w:bookmarkStart w:id="40" w:name="_36tx6uec6s90" w:colFirst="0" w:colLast="0"/>
      <w:bookmarkEnd w:id="40"/>
      <w:r>
        <w:t>Figure S1: Correlation Between Damage and Return Period</w:t>
      </w:r>
    </w:p>
    <w:p w14:paraId="38470969" w14:textId="77777777" w:rsidR="009B2AC6" w:rsidRDefault="00000000">
      <w:pPr>
        <w:jc w:val="center"/>
      </w:pPr>
      <w:r>
        <w:rPr>
          <w:noProof/>
        </w:rPr>
        <w:drawing>
          <wp:inline distT="114300" distB="114300" distL="114300" distR="114300" wp14:anchorId="45FDA3A1" wp14:editId="2E7B3ED1">
            <wp:extent cx="3981018" cy="4982653"/>
            <wp:effectExtent l="0" t="0" r="0" b="0"/>
            <wp:docPr id="30"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35"/>
                    <a:srcRect/>
                    <a:stretch>
                      <a:fillRect/>
                    </a:stretch>
                  </pic:blipFill>
                  <pic:spPr>
                    <a:xfrm>
                      <a:off x="0" y="0"/>
                      <a:ext cx="3981018" cy="4982653"/>
                    </a:xfrm>
                    <a:prstGeom prst="rect">
                      <a:avLst/>
                    </a:prstGeom>
                    <a:ln/>
                  </pic:spPr>
                </pic:pic>
              </a:graphicData>
            </a:graphic>
          </wp:inline>
        </w:drawing>
      </w:r>
    </w:p>
    <w:p w14:paraId="1840DB23" w14:textId="77777777" w:rsidR="009B2AC6" w:rsidRDefault="00000000">
      <w:r>
        <w:rPr>
          <w:i/>
        </w:rPr>
        <w:t>Caption:</w:t>
      </w:r>
      <w:r>
        <w:t xml:space="preserve"> Correlation between sum of claims and the return period for associated precipitation events across clusters for both mean and max within clusters. We find no significant correlation using MSWEP daily maximum precipitation and CPI-adjusted claim sums.</w:t>
      </w:r>
    </w:p>
    <w:p w14:paraId="0B2386F7" w14:textId="77777777" w:rsidR="009B2AC6" w:rsidRDefault="009B2AC6"/>
    <w:p w14:paraId="6CFD5C83" w14:textId="77777777" w:rsidR="009B2AC6" w:rsidRDefault="00000000">
      <w:pPr>
        <w:pStyle w:val="Heading2"/>
      </w:pPr>
      <w:bookmarkStart w:id="41" w:name="_qshk3jiaul3t" w:colFirst="0" w:colLast="0"/>
      <w:bookmarkEnd w:id="41"/>
      <w:r>
        <w:lastRenderedPageBreak/>
        <w:t>B) Sensitivity Analysis: Cluster Attributes</w:t>
      </w:r>
    </w:p>
    <w:p w14:paraId="4ED302ED" w14:textId="77777777" w:rsidR="009B2AC6" w:rsidRDefault="00000000">
      <w:r>
        <w:t xml:space="preserve">Here we provide a thorough sensitivity analysis of the space, time, and number thresholds selected in the implementation of ST-DBSCAN. We provide </w:t>
      </w:r>
      <w:proofErr w:type="spellStart"/>
      <w:r>
        <w:t>pairplots</w:t>
      </w:r>
      <w:proofErr w:type="spellEnd"/>
      <w:r>
        <w:t xml:space="preserve"> across varying thresholds for all three parameters on the duration, latitude span, and longitudinal span focusing on averages, variance, and maximums across clusters. We also examine the number of clusters produced and the percent of data that is clustered. We chose cluster parameters using our validation metric of “</w:t>
      </w:r>
      <w:proofErr w:type="spellStart"/>
      <w:r>
        <w:t>disasterNumber</w:t>
      </w:r>
      <w:proofErr w:type="spellEnd"/>
      <w:r>
        <w:t>” across the Presidential disaster dataset which allowed us to choose the minimum space, time, and number threshold parameters that also minimized the number of presidential disaster declaration numbers split between multiple clusters. This is shown in the top two pair plots in Figure S2. A time threshold of 5 days, a space threshold of 3 degrees (</w:t>
      </w:r>
      <w:proofErr w:type="spellStart"/>
      <w:r>
        <w:t>lat</w:t>
      </w:r>
      <w:proofErr w:type="spellEnd"/>
      <w:r>
        <w:t xml:space="preserve">/long) and a number threshold of 7 data points allowed us to have no disasters split across clusters. The full table of combinations for cluster sensitivity can be found in our </w:t>
      </w:r>
      <w:hyperlink r:id="rId36">
        <w:r>
          <w:rPr>
            <w:color w:val="1155CC"/>
            <w:u w:val="single"/>
          </w:rPr>
          <w:t>GitHub</w:t>
        </w:r>
      </w:hyperlink>
      <w:r>
        <w:t>.</w:t>
      </w:r>
    </w:p>
    <w:p w14:paraId="1024292C" w14:textId="77777777" w:rsidR="009B2AC6" w:rsidRDefault="00000000">
      <w:pPr>
        <w:pStyle w:val="Heading3"/>
      </w:pPr>
      <w:bookmarkStart w:id="42" w:name="_r68jniaizphn" w:colFirst="0" w:colLast="0"/>
      <w:bookmarkEnd w:id="42"/>
      <w:r>
        <w:t>Figure S3: Sensitivity Analysis for Cluster Parameterization</w:t>
      </w:r>
    </w:p>
    <w:p w14:paraId="564C461D" w14:textId="77777777" w:rsidR="009B2AC6" w:rsidRDefault="00000000">
      <w:pPr>
        <w:pStyle w:val="Heading4"/>
        <w:jc w:val="center"/>
      </w:pPr>
      <w:bookmarkStart w:id="43" w:name="_nagmvheg7fyi" w:colFirst="0" w:colLast="0"/>
      <w:bookmarkEnd w:id="43"/>
      <w:r>
        <w:t xml:space="preserve">Number of Split Cases between </w:t>
      </w:r>
      <w:proofErr w:type="spellStart"/>
      <w:r>
        <w:t>DisasterNumber</w:t>
      </w:r>
      <w:proofErr w:type="spellEnd"/>
    </w:p>
    <w:p w14:paraId="472AAB2A" w14:textId="77777777" w:rsidR="009B2AC6" w:rsidRDefault="00000000">
      <w:r>
        <w:rPr>
          <w:noProof/>
        </w:rPr>
        <w:drawing>
          <wp:inline distT="19050" distB="19050" distL="19050" distR="19050" wp14:anchorId="4925A95F" wp14:editId="44DF8C5C">
            <wp:extent cx="2926359" cy="2170219"/>
            <wp:effectExtent l="0" t="0" r="0" b="0"/>
            <wp:docPr id="36"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37"/>
                    <a:srcRect/>
                    <a:stretch>
                      <a:fillRect/>
                    </a:stretch>
                  </pic:blipFill>
                  <pic:spPr>
                    <a:xfrm>
                      <a:off x="0" y="0"/>
                      <a:ext cx="2926359" cy="2170219"/>
                    </a:xfrm>
                    <a:prstGeom prst="rect">
                      <a:avLst/>
                    </a:prstGeom>
                    <a:ln/>
                  </pic:spPr>
                </pic:pic>
              </a:graphicData>
            </a:graphic>
          </wp:inline>
        </w:drawing>
      </w:r>
      <w:r>
        <w:rPr>
          <w:noProof/>
        </w:rPr>
        <w:drawing>
          <wp:inline distT="19050" distB="19050" distL="19050" distR="19050" wp14:anchorId="4F188002" wp14:editId="79F3BDB7">
            <wp:extent cx="2908986" cy="2160694"/>
            <wp:effectExtent l="0" t="0" r="0" b="0"/>
            <wp:docPr id="35"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38"/>
                    <a:srcRect/>
                    <a:stretch>
                      <a:fillRect/>
                    </a:stretch>
                  </pic:blipFill>
                  <pic:spPr>
                    <a:xfrm>
                      <a:off x="0" y="0"/>
                      <a:ext cx="2908986" cy="2160694"/>
                    </a:xfrm>
                    <a:prstGeom prst="rect">
                      <a:avLst/>
                    </a:prstGeom>
                    <a:ln/>
                  </pic:spPr>
                </pic:pic>
              </a:graphicData>
            </a:graphic>
          </wp:inline>
        </w:drawing>
      </w:r>
    </w:p>
    <w:p w14:paraId="4AF541EC" w14:textId="77777777" w:rsidR="009B2AC6" w:rsidRDefault="00000000">
      <w:pPr>
        <w:pStyle w:val="Heading4"/>
        <w:jc w:val="center"/>
      </w:pPr>
      <w:bookmarkStart w:id="44" w:name="_l8uev30mlu9" w:colFirst="0" w:colLast="0"/>
      <w:bookmarkEnd w:id="44"/>
      <w:r>
        <w:lastRenderedPageBreak/>
        <w:t>Percent Clustered</w:t>
      </w:r>
    </w:p>
    <w:p w14:paraId="3DEEE881" w14:textId="77777777" w:rsidR="009B2AC6" w:rsidRDefault="00000000">
      <w:r>
        <w:rPr>
          <w:noProof/>
        </w:rPr>
        <w:drawing>
          <wp:inline distT="19050" distB="19050" distL="19050" distR="19050" wp14:anchorId="16C21264" wp14:editId="2E483203">
            <wp:extent cx="2890838" cy="2140996"/>
            <wp:effectExtent l="0" t="0" r="0" b="0"/>
            <wp:docPr id="4"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9"/>
                    <a:srcRect/>
                    <a:stretch>
                      <a:fillRect/>
                    </a:stretch>
                  </pic:blipFill>
                  <pic:spPr>
                    <a:xfrm>
                      <a:off x="0" y="0"/>
                      <a:ext cx="2890838" cy="2140996"/>
                    </a:xfrm>
                    <a:prstGeom prst="rect">
                      <a:avLst/>
                    </a:prstGeom>
                    <a:ln/>
                  </pic:spPr>
                </pic:pic>
              </a:graphicData>
            </a:graphic>
          </wp:inline>
        </w:drawing>
      </w:r>
      <w:r>
        <w:rPr>
          <w:noProof/>
        </w:rPr>
        <w:drawing>
          <wp:inline distT="19050" distB="19050" distL="19050" distR="19050" wp14:anchorId="22B372F6" wp14:editId="594E00FC">
            <wp:extent cx="2942679" cy="2171753"/>
            <wp:effectExtent l="0" t="0" r="0" b="0"/>
            <wp:docPr id="49"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40"/>
                    <a:srcRect/>
                    <a:stretch>
                      <a:fillRect/>
                    </a:stretch>
                  </pic:blipFill>
                  <pic:spPr>
                    <a:xfrm>
                      <a:off x="0" y="0"/>
                      <a:ext cx="2942679" cy="2171753"/>
                    </a:xfrm>
                    <a:prstGeom prst="rect">
                      <a:avLst/>
                    </a:prstGeom>
                    <a:ln/>
                  </pic:spPr>
                </pic:pic>
              </a:graphicData>
            </a:graphic>
          </wp:inline>
        </w:drawing>
      </w:r>
    </w:p>
    <w:p w14:paraId="115A7AAD" w14:textId="77777777" w:rsidR="009B2AC6" w:rsidRDefault="009B2AC6"/>
    <w:p w14:paraId="57210235" w14:textId="77777777" w:rsidR="009B2AC6" w:rsidRDefault="00000000">
      <w:pPr>
        <w:pStyle w:val="Heading4"/>
        <w:jc w:val="center"/>
      </w:pPr>
      <w:bookmarkStart w:id="45" w:name="_yp7rb6m2k10f" w:colFirst="0" w:colLast="0"/>
      <w:bookmarkEnd w:id="45"/>
      <w:r>
        <w:lastRenderedPageBreak/>
        <w:t>Average Cluster Duration</w:t>
      </w:r>
    </w:p>
    <w:p w14:paraId="285E9069" w14:textId="77777777" w:rsidR="009B2AC6" w:rsidRDefault="00000000">
      <w:pPr>
        <w:pStyle w:val="Heading4"/>
      </w:pPr>
      <w:bookmarkStart w:id="46" w:name="_p99f3n1jmo6h" w:colFirst="0" w:colLast="0"/>
      <w:bookmarkEnd w:id="46"/>
      <w:r>
        <w:rPr>
          <w:noProof/>
        </w:rPr>
        <w:drawing>
          <wp:inline distT="19050" distB="19050" distL="19050" distR="19050" wp14:anchorId="2088B78A" wp14:editId="37F5E381">
            <wp:extent cx="2928938" cy="2161835"/>
            <wp:effectExtent l="0" t="0" r="0" b="0"/>
            <wp:docPr id="18"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41"/>
                    <a:srcRect/>
                    <a:stretch>
                      <a:fillRect/>
                    </a:stretch>
                  </pic:blipFill>
                  <pic:spPr>
                    <a:xfrm>
                      <a:off x="0" y="0"/>
                      <a:ext cx="2928938" cy="2161835"/>
                    </a:xfrm>
                    <a:prstGeom prst="rect">
                      <a:avLst/>
                    </a:prstGeom>
                    <a:ln/>
                  </pic:spPr>
                </pic:pic>
              </a:graphicData>
            </a:graphic>
          </wp:inline>
        </w:drawing>
      </w:r>
      <w:r>
        <w:rPr>
          <w:noProof/>
        </w:rPr>
        <w:drawing>
          <wp:inline distT="19050" distB="19050" distL="19050" distR="19050" wp14:anchorId="6F259271" wp14:editId="0F6FFD4D">
            <wp:extent cx="2890838" cy="2139041"/>
            <wp:effectExtent l="0" t="0" r="0" b="0"/>
            <wp:docPr id="8"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2"/>
                    <a:srcRect/>
                    <a:stretch>
                      <a:fillRect/>
                    </a:stretch>
                  </pic:blipFill>
                  <pic:spPr>
                    <a:xfrm>
                      <a:off x="0" y="0"/>
                      <a:ext cx="2890838" cy="2139041"/>
                    </a:xfrm>
                    <a:prstGeom prst="rect">
                      <a:avLst/>
                    </a:prstGeom>
                    <a:ln/>
                  </pic:spPr>
                </pic:pic>
              </a:graphicData>
            </a:graphic>
          </wp:inline>
        </w:drawing>
      </w:r>
    </w:p>
    <w:p w14:paraId="4ED6C7DD" w14:textId="77777777" w:rsidR="009B2AC6" w:rsidRDefault="00000000">
      <w:pPr>
        <w:pStyle w:val="Heading4"/>
        <w:jc w:val="center"/>
      </w:pPr>
      <w:bookmarkStart w:id="47" w:name="_w9vlu4ule9uh" w:colFirst="0" w:colLast="0"/>
      <w:bookmarkEnd w:id="47"/>
      <w:r>
        <w:t>Average Longitudinal Span</w:t>
      </w:r>
    </w:p>
    <w:p w14:paraId="20BE3A36" w14:textId="77777777" w:rsidR="009B2AC6" w:rsidRDefault="00000000">
      <w:pPr>
        <w:pStyle w:val="Heading4"/>
      </w:pPr>
      <w:bookmarkStart w:id="48" w:name="_auj7rjtnz1rm" w:colFirst="0" w:colLast="0"/>
      <w:bookmarkEnd w:id="48"/>
      <w:r>
        <w:rPr>
          <w:noProof/>
          <w:color w:val="000000"/>
          <w:sz w:val="22"/>
          <w:szCs w:val="22"/>
        </w:rPr>
        <w:drawing>
          <wp:inline distT="19050" distB="19050" distL="19050" distR="19050" wp14:anchorId="56553D60" wp14:editId="1F2073E1">
            <wp:extent cx="2824163" cy="2085392"/>
            <wp:effectExtent l="0" t="0" r="0" b="0"/>
            <wp:docPr id="1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3"/>
                    <a:srcRect/>
                    <a:stretch>
                      <a:fillRect/>
                    </a:stretch>
                  </pic:blipFill>
                  <pic:spPr>
                    <a:xfrm>
                      <a:off x="0" y="0"/>
                      <a:ext cx="2824163" cy="2085392"/>
                    </a:xfrm>
                    <a:prstGeom prst="rect">
                      <a:avLst/>
                    </a:prstGeom>
                    <a:ln/>
                  </pic:spPr>
                </pic:pic>
              </a:graphicData>
            </a:graphic>
          </wp:inline>
        </w:drawing>
      </w:r>
      <w:r>
        <w:rPr>
          <w:noProof/>
          <w:color w:val="000000"/>
          <w:sz w:val="22"/>
          <w:szCs w:val="22"/>
        </w:rPr>
        <w:drawing>
          <wp:inline distT="19050" distB="19050" distL="19050" distR="19050" wp14:anchorId="3B0A36B6" wp14:editId="11E1B1E5">
            <wp:extent cx="2814638" cy="2085847"/>
            <wp:effectExtent l="0" t="0" r="0" b="0"/>
            <wp:docPr id="38"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44"/>
                    <a:srcRect/>
                    <a:stretch>
                      <a:fillRect/>
                    </a:stretch>
                  </pic:blipFill>
                  <pic:spPr>
                    <a:xfrm>
                      <a:off x="0" y="0"/>
                      <a:ext cx="2814638" cy="2085847"/>
                    </a:xfrm>
                    <a:prstGeom prst="rect">
                      <a:avLst/>
                    </a:prstGeom>
                    <a:ln/>
                  </pic:spPr>
                </pic:pic>
              </a:graphicData>
            </a:graphic>
          </wp:inline>
        </w:drawing>
      </w:r>
    </w:p>
    <w:p w14:paraId="3CCBE3B0" w14:textId="77777777" w:rsidR="009B2AC6" w:rsidRDefault="00000000">
      <w:pPr>
        <w:pStyle w:val="Heading4"/>
        <w:jc w:val="center"/>
      </w:pPr>
      <w:bookmarkStart w:id="49" w:name="_tnwkkwsdou98" w:colFirst="0" w:colLast="0"/>
      <w:bookmarkEnd w:id="49"/>
      <w:r>
        <w:t>Average Latitudinal Span</w:t>
      </w:r>
    </w:p>
    <w:p w14:paraId="74EAA802" w14:textId="77777777" w:rsidR="009B2AC6" w:rsidRDefault="00000000">
      <w:pPr>
        <w:pStyle w:val="Heading4"/>
      </w:pPr>
      <w:bookmarkStart w:id="50" w:name="_3ruv71in4ova" w:colFirst="0" w:colLast="0"/>
      <w:bookmarkEnd w:id="50"/>
      <w:r>
        <w:rPr>
          <w:noProof/>
        </w:rPr>
        <w:drawing>
          <wp:inline distT="19050" distB="19050" distL="19050" distR="19050" wp14:anchorId="1A726680" wp14:editId="31D2FAD7">
            <wp:extent cx="2786063" cy="2063036"/>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5"/>
                    <a:srcRect/>
                    <a:stretch>
                      <a:fillRect/>
                    </a:stretch>
                  </pic:blipFill>
                  <pic:spPr>
                    <a:xfrm>
                      <a:off x="0" y="0"/>
                      <a:ext cx="2786063" cy="2063036"/>
                    </a:xfrm>
                    <a:prstGeom prst="rect">
                      <a:avLst/>
                    </a:prstGeom>
                    <a:ln/>
                  </pic:spPr>
                </pic:pic>
              </a:graphicData>
            </a:graphic>
          </wp:inline>
        </w:drawing>
      </w:r>
      <w:r>
        <w:rPr>
          <w:noProof/>
        </w:rPr>
        <w:drawing>
          <wp:inline distT="19050" distB="19050" distL="19050" distR="19050" wp14:anchorId="05EDE8BE" wp14:editId="13068450">
            <wp:extent cx="2909888" cy="2162965"/>
            <wp:effectExtent l="0" t="0" r="0" b="0"/>
            <wp:docPr id="39"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46"/>
                    <a:srcRect/>
                    <a:stretch>
                      <a:fillRect/>
                    </a:stretch>
                  </pic:blipFill>
                  <pic:spPr>
                    <a:xfrm>
                      <a:off x="0" y="0"/>
                      <a:ext cx="2909888" cy="2162965"/>
                    </a:xfrm>
                    <a:prstGeom prst="rect">
                      <a:avLst/>
                    </a:prstGeom>
                    <a:ln/>
                  </pic:spPr>
                </pic:pic>
              </a:graphicData>
            </a:graphic>
          </wp:inline>
        </w:drawing>
      </w:r>
    </w:p>
    <w:p w14:paraId="693C4318" w14:textId="77777777" w:rsidR="009B2AC6" w:rsidRDefault="00000000">
      <w:pPr>
        <w:pStyle w:val="Heading4"/>
        <w:jc w:val="center"/>
      </w:pPr>
      <w:bookmarkStart w:id="51" w:name="_2bjo6nbub8xc" w:colFirst="0" w:colLast="0"/>
      <w:bookmarkEnd w:id="51"/>
      <w:r>
        <w:lastRenderedPageBreak/>
        <w:t>Maximum Cluster Duration</w:t>
      </w:r>
    </w:p>
    <w:p w14:paraId="47E6DEFD" w14:textId="77777777" w:rsidR="009B2AC6" w:rsidRDefault="00000000">
      <w:r>
        <w:rPr>
          <w:noProof/>
        </w:rPr>
        <w:drawing>
          <wp:inline distT="19050" distB="19050" distL="19050" distR="19050" wp14:anchorId="7C0EA8E1" wp14:editId="5971CC4D">
            <wp:extent cx="2814638" cy="2074456"/>
            <wp:effectExtent l="0" t="0" r="0" b="0"/>
            <wp:docPr id="28"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47"/>
                    <a:srcRect r="4999"/>
                    <a:stretch>
                      <a:fillRect/>
                    </a:stretch>
                  </pic:blipFill>
                  <pic:spPr>
                    <a:xfrm>
                      <a:off x="0" y="0"/>
                      <a:ext cx="2814638" cy="2074456"/>
                    </a:xfrm>
                    <a:prstGeom prst="rect">
                      <a:avLst/>
                    </a:prstGeom>
                    <a:ln/>
                  </pic:spPr>
                </pic:pic>
              </a:graphicData>
            </a:graphic>
          </wp:inline>
        </w:drawing>
      </w:r>
      <w:r>
        <w:rPr>
          <w:noProof/>
        </w:rPr>
        <w:drawing>
          <wp:inline distT="19050" distB="19050" distL="19050" distR="19050" wp14:anchorId="7DB79CE1" wp14:editId="080A6E0F">
            <wp:extent cx="2848259" cy="2105235"/>
            <wp:effectExtent l="0" t="0" r="0" b="0"/>
            <wp:docPr id="47"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48"/>
                    <a:srcRect/>
                    <a:stretch>
                      <a:fillRect/>
                    </a:stretch>
                  </pic:blipFill>
                  <pic:spPr>
                    <a:xfrm>
                      <a:off x="0" y="0"/>
                      <a:ext cx="2848259" cy="2105235"/>
                    </a:xfrm>
                    <a:prstGeom prst="rect">
                      <a:avLst/>
                    </a:prstGeom>
                    <a:ln/>
                  </pic:spPr>
                </pic:pic>
              </a:graphicData>
            </a:graphic>
          </wp:inline>
        </w:drawing>
      </w:r>
    </w:p>
    <w:p w14:paraId="7F055FA1" w14:textId="77777777" w:rsidR="009B2AC6" w:rsidRDefault="00000000">
      <w:pPr>
        <w:pStyle w:val="Heading4"/>
        <w:jc w:val="center"/>
      </w:pPr>
      <w:bookmarkStart w:id="52" w:name="_p989nzyhbsau" w:colFirst="0" w:colLast="0"/>
      <w:bookmarkEnd w:id="52"/>
      <w:r>
        <w:t>Maximum Longitudinal Span</w:t>
      </w:r>
    </w:p>
    <w:p w14:paraId="0C32ADE2" w14:textId="77777777" w:rsidR="009B2AC6" w:rsidRDefault="00000000">
      <w:r>
        <w:rPr>
          <w:noProof/>
        </w:rPr>
        <w:drawing>
          <wp:inline distT="19050" distB="19050" distL="19050" distR="19050" wp14:anchorId="132CF4C4" wp14:editId="3EB6C956">
            <wp:extent cx="2890838" cy="2181225"/>
            <wp:effectExtent l="0" t="0" r="0" b="0"/>
            <wp:docPr id="44"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49"/>
                    <a:srcRect l="5295"/>
                    <a:stretch>
                      <a:fillRect/>
                    </a:stretch>
                  </pic:blipFill>
                  <pic:spPr>
                    <a:xfrm>
                      <a:off x="0" y="0"/>
                      <a:ext cx="2890838" cy="2181225"/>
                    </a:xfrm>
                    <a:prstGeom prst="rect">
                      <a:avLst/>
                    </a:prstGeom>
                    <a:ln/>
                  </pic:spPr>
                </pic:pic>
              </a:graphicData>
            </a:graphic>
          </wp:inline>
        </w:drawing>
      </w:r>
      <w:r>
        <w:rPr>
          <w:noProof/>
        </w:rPr>
        <w:drawing>
          <wp:inline distT="19050" distB="19050" distL="19050" distR="19050" wp14:anchorId="0556C2AF" wp14:editId="6C777044">
            <wp:extent cx="2909583" cy="2154501"/>
            <wp:effectExtent l="0" t="0" r="0" b="0"/>
            <wp:docPr id="31"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50"/>
                    <a:srcRect/>
                    <a:stretch>
                      <a:fillRect/>
                    </a:stretch>
                  </pic:blipFill>
                  <pic:spPr>
                    <a:xfrm>
                      <a:off x="0" y="0"/>
                      <a:ext cx="2909583" cy="2154501"/>
                    </a:xfrm>
                    <a:prstGeom prst="rect">
                      <a:avLst/>
                    </a:prstGeom>
                    <a:ln/>
                  </pic:spPr>
                </pic:pic>
              </a:graphicData>
            </a:graphic>
          </wp:inline>
        </w:drawing>
      </w:r>
    </w:p>
    <w:p w14:paraId="0F457D76" w14:textId="77777777" w:rsidR="009B2AC6" w:rsidRDefault="00000000">
      <w:pPr>
        <w:pStyle w:val="Heading4"/>
        <w:jc w:val="center"/>
      </w:pPr>
      <w:bookmarkStart w:id="53" w:name="_5xuf9el99ry" w:colFirst="0" w:colLast="0"/>
      <w:bookmarkEnd w:id="53"/>
      <w:r>
        <w:t>Maximum Latitudinal Span</w:t>
      </w:r>
    </w:p>
    <w:p w14:paraId="77EAE0D8" w14:textId="77777777" w:rsidR="009B2AC6" w:rsidRDefault="00000000">
      <w:r>
        <w:rPr>
          <w:noProof/>
        </w:rPr>
        <w:drawing>
          <wp:inline distT="19050" distB="19050" distL="19050" distR="19050" wp14:anchorId="3D1ABF7D" wp14:editId="4630EFB5">
            <wp:extent cx="3029955" cy="2257215"/>
            <wp:effectExtent l="0" t="0" r="0" b="0"/>
            <wp:docPr id="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51"/>
                    <a:srcRect r="5168"/>
                    <a:stretch>
                      <a:fillRect/>
                    </a:stretch>
                  </pic:blipFill>
                  <pic:spPr>
                    <a:xfrm>
                      <a:off x="0" y="0"/>
                      <a:ext cx="3029955" cy="2257215"/>
                    </a:xfrm>
                    <a:prstGeom prst="rect">
                      <a:avLst/>
                    </a:prstGeom>
                    <a:ln/>
                  </pic:spPr>
                </pic:pic>
              </a:graphicData>
            </a:graphic>
          </wp:inline>
        </w:drawing>
      </w:r>
      <w:r>
        <w:rPr>
          <w:noProof/>
        </w:rPr>
        <w:drawing>
          <wp:inline distT="19050" distB="19050" distL="19050" distR="19050" wp14:anchorId="5E68CFAA" wp14:editId="75F38F96">
            <wp:extent cx="2805113" cy="2181225"/>
            <wp:effectExtent l="0" t="0" r="0" b="0"/>
            <wp:docPr id="46"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52"/>
                    <a:srcRect/>
                    <a:stretch>
                      <a:fillRect/>
                    </a:stretch>
                  </pic:blipFill>
                  <pic:spPr>
                    <a:xfrm>
                      <a:off x="0" y="0"/>
                      <a:ext cx="2805113" cy="2181225"/>
                    </a:xfrm>
                    <a:prstGeom prst="rect">
                      <a:avLst/>
                    </a:prstGeom>
                    <a:ln/>
                  </pic:spPr>
                </pic:pic>
              </a:graphicData>
            </a:graphic>
          </wp:inline>
        </w:drawing>
      </w:r>
    </w:p>
    <w:p w14:paraId="08C0BB87" w14:textId="77777777" w:rsidR="009B2AC6" w:rsidRDefault="00000000">
      <w:pPr>
        <w:pStyle w:val="Heading4"/>
        <w:jc w:val="center"/>
      </w:pPr>
      <w:bookmarkStart w:id="54" w:name="_vo2nk98il3au" w:colFirst="0" w:colLast="0"/>
      <w:bookmarkEnd w:id="54"/>
      <w:r>
        <w:lastRenderedPageBreak/>
        <w:t>Variance Cluster Duration</w:t>
      </w:r>
    </w:p>
    <w:p w14:paraId="64E6E3A9" w14:textId="77777777" w:rsidR="009B2AC6" w:rsidRDefault="00000000">
      <w:r>
        <w:rPr>
          <w:noProof/>
        </w:rPr>
        <w:drawing>
          <wp:inline distT="19050" distB="19050" distL="19050" distR="19050" wp14:anchorId="1BD85DBD" wp14:editId="5690D2E2">
            <wp:extent cx="3033713" cy="2293783"/>
            <wp:effectExtent l="0" t="0" r="0" b="0"/>
            <wp:docPr id="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53"/>
                    <a:srcRect/>
                    <a:stretch>
                      <a:fillRect/>
                    </a:stretch>
                  </pic:blipFill>
                  <pic:spPr>
                    <a:xfrm>
                      <a:off x="0" y="0"/>
                      <a:ext cx="3033713" cy="2293783"/>
                    </a:xfrm>
                    <a:prstGeom prst="rect">
                      <a:avLst/>
                    </a:prstGeom>
                    <a:ln/>
                  </pic:spPr>
                </pic:pic>
              </a:graphicData>
            </a:graphic>
          </wp:inline>
        </w:drawing>
      </w:r>
      <w:r>
        <w:rPr>
          <w:noProof/>
        </w:rPr>
        <w:drawing>
          <wp:inline distT="19050" distB="19050" distL="19050" distR="19050" wp14:anchorId="0CF6FCED" wp14:editId="7A51B4E2">
            <wp:extent cx="2776943" cy="2276685"/>
            <wp:effectExtent l="0" t="0" r="0" b="0"/>
            <wp:docPr id="21"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54"/>
                    <a:srcRect/>
                    <a:stretch>
                      <a:fillRect/>
                    </a:stretch>
                  </pic:blipFill>
                  <pic:spPr>
                    <a:xfrm>
                      <a:off x="0" y="0"/>
                      <a:ext cx="2776943" cy="2276685"/>
                    </a:xfrm>
                    <a:prstGeom prst="rect">
                      <a:avLst/>
                    </a:prstGeom>
                    <a:ln/>
                  </pic:spPr>
                </pic:pic>
              </a:graphicData>
            </a:graphic>
          </wp:inline>
        </w:drawing>
      </w:r>
    </w:p>
    <w:p w14:paraId="08B8BE63" w14:textId="77777777" w:rsidR="009B2AC6" w:rsidRDefault="00000000">
      <w:pPr>
        <w:pStyle w:val="Heading4"/>
        <w:jc w:val="center"/>
      </w:pPr>
      <w:bookmarkStart w:id="55" w:name="_y3jh7jsfcp6t" w:colFirst="0" w:colLast="0"/>
      <w:bookmarkEnd w:id="55"/>
      <w:r>
        <w:t>Variance Longitudinal Span</w:t>
      </w:r>
    </w:p>
    <w:p w14:paraId="326C9656" w14:textId="77777777" w:rsidR="009B2AC6" w:rsidRDefault="00000000">
      <w:r>
        <w:rPr>
          <w:noProof/>
        </w:rPr>
        <w:drawing>
          <wp:inline distT="19050" distB="19050" distL="19050" distR="19050" wp14:anchorId="2B95496C" wp14:editId="192E8FB9">
            <wp:extent cx="2909888" cy="2162175"/>
            <wp:effectExtent l="0" t="0" r="0" b="0"/>
            <wp:docPr id="37"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55"/>
                    <a:srcRect/>
                    <a:stretch>
                      <a:fillRect/>
                    </a:stretch>
                  </pic:blipFill>
                  <pic:spPr>
                    <a:xfrm>
                      <a:off x="0" y="0"/>
                      <a:ext cx="2909888" cy="2162175"/>
                    </a:xfrm>
                    <a:prstGeom prst="rect">
                      <a:avLst/>
                    </a:prstGeom>
                    <a:ln/>
                  </pic:spPr>
                </pic:pic>
              </a:graphicData>
            </a:graphic>
          </wp:inline>
        </w:drawing>
      </w:r>
      <w:r>
        <w:rPr>
          <w:noProof/>
        </w:rPr>
        <w:drawing>
          <wp:inline distT="19050" distB="19050" distL="19050" distR="19050" wp14:anchorId="2A4C7DBB" wp14:editId="53803A63">
            <wp:extent cx="2941273" cy="2173551"/>
            <wp:effectExtent l="0" t="0" r="0" b="0"/>
            <wp:docPr id="1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56"/>
                    <a:srcRect/>
                    <a:stretch>
                      <a:fillRect/>
                    </a:stretch>
                  </pic:blipFill>
                  <pic:spPr>
                    <a:xfrm>
                      <a:off x="0" y="0"/>
                      <a:ext cx="2941273" cy="2173551"/>
                    </a:xfrm>
                    <a:prstGeom prst="rect">
                      <a:avLst/>
                    </a:prstGeom>
                    <a:ln/>
                  </pic:spPr>
                </pic:pic>
              </a:graphicData>
            </a:graphic>
          </wp:inline>
        </w:drawing>
      </w:r>
    </w:p>
    <w:p w14:paraId="0AD027D4" w14:textId="77777777" w:rsidR="009B2AC6" w:rsidRDefault="00000000">
      <w:pPr>
        <w:pStyle w:val="Heading4"/>
        <w:jc w:val="center"/>
      </w:pPr>
      <w:bookmarkStart w:id="56" w:name="_xosgmw2ysxbg" w:colFirst="0" w:colLast="0"/>
      <w:bookmarkEnd w:id="56"/>
      <w:r>
        <w:t>Variance Latitudinal Span</w:t>
      </w:r>
    </w:p>
    <w:p w14:paraId="6E94A789" w14:textId="77777777" w:rsidR="009B2AC6" w:rsidRDefault="00000000">
      <w:r>
        <w:rPr>
          <w:noProof/>
        </w:rPr>
        <w:drawing>
          <wp:inline distT="19050" distB="19050" distL="19050" distR="19050" wp14:anchorId="794CBE6E" wp14:editId="10327355">
            <wp:extent cx="2908409" cy="2047665"/>
            <wp:effectExtent l="0" t="0" r="0" b="0"/>
            <wp:docPr id="17"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57"/>
                    <a:srcRect/>
                    <a:stretch>
                      <a:fillRect/>
                    </a:stretch>
                  </pic:blipFill>
                  <pic:spPr>
                    <a:xfrm>
                      <a:off x="0" y="0"/>
                      <a:ext cx="2908409" cy="2047665"/>
                    </a:xfrm>
                    <a:prstGeom prst="rect">
                      <a:avLst/>
                    </a:prstGeom>
                    <a:ln/>
                  </pic:spPr>
                </pic:pic>
              </a:graphicData>
            </a:graphic>
          </wp:inline>
        </w:drawing>
      </w:r>
      <w:r>
        <w:rPr>
          <w:noProof/>
        </w:rPr>
        <w:drawing>
          <wp:inline distT="19050" distB="19050" distL="19050" distR="19050" wp14:anchorId="7A7F309C" wp14:editId="7C78BB5E">
            <wp:extent cx="2847389" cy="2104972"/>
            <wp:effectExtent l="0" t="0" r="0" b="0"/>
            <wp:docPr id="32"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58"/>
                    <a:srcRect/>
                    <a:stretch>
                      <a:fillRect/>
                    </a:stretch>
                  </pic:blipFill>
                  <pic:spPr>
                    <a:xfrm>
                      <a:off x="0" y="0"/>
                      <a:ext cx="2847389" cy="2104972"/>
                    </a:xfrm>
                    <a:prstGeom prst="rect">
                      <a:avLst/>
                    </a:prstGeom>
                    <a:ln/>
                  </pic:spPr>
                </pic:pic>
              </a:graphicData>
            </a:graphic>
          </wp:inline>
        </w:drawing>
      </w:r>
    </w:p>
    <w:p w14:paraId="57EC2376" w14:textId="77777777" w:rsidR="009B2AC6" w:rsidRDefault="009B2AC6"/>
    <w:p w14:paraId="191946E7" w14:textId="77777777" w:rsidR="009B2AC6" w:rsidRDefault="00000000">
      <w:r>
        <w:rPr>
          <w:i/>
        </w:rPr>
        <w:lastRenderedPageBreak/>
        <w:t xml:space="preserve">Caption: </w:t>
      </w:r>
      <w:r>
        <w:t>Here we provide detailed pair plots comparing duration, latitude span, and longitudinal span focusing on averages, variance, and maximums across clusters.</w:t>
      </w:r>
    </w:p>
    <w:p w14:paraId="79C1C802" w14:textId="77777777" w:rsidR="009B2AC6" w:rsidRDefault="00000000">
      <w:pPr>
        <w:pStyle w:val="Heading1"/>
      </w:pPr>
      <w:bookmarkStart w:id="57" w:name="_2zasfetex67p" w:colFirst="0" w:colLast="0"/>
      <w:bookmarkEnd w:id="57"/>
      <w:r>
        <w:t>8) Nonstationary GEV Duration Sensitivity</w:t>
      </w:r>
    </w:p>
    <w:p w14:paraId="1A22E87E" w14:textId="77777777" w:rsidR="009B2AC6" w:rsidRDefault="009B2AC6"/>
    <w:p w14:paraId="483DF5AD" w14:textId="77777777" w:rsidR="009B2AC6" w:rsidRDefault="00000000">
      <w:pPr>
        <w:pStyle w:val="Heading2"/>
      </w:pPr>
      <w:bookmarkStart w:id="58" w:name="_amvldafw4mk0" w:colFirst="0" w:colLast="0"/>
      <w:bookmarkEnd w:id="58"/>
      <w:r>
        <w:t>A) Mann-Kendall Test for Nonstationary Clusters</w:t>
      </w:r>
    </w:p>
    <w:p w14:paraId="0C06C7C4" w14:textId="77777777" w:rsidR="009B2AC6" w:rsidRDefault="00000000">
      <w:r>
        <w:t>We report below the p-value and Sen’s slope for the Mann Kendall test for return periods across clusters. We find a statistically significant trend with a very low slope value for trends across clusters as reported below:</w:t>
      </w:r>
    </w:p>
    <w:p w14:paraId="7B2A5C7A" w14:textId="77777777" w:rsidR="009B2AC6" w:rsidRDefault="00000000">
      <w:pPr>
        <w:ind w:firstLine="720"/>
      </w:pPr>
      <w:r>
        <w:rPr>
          <w:noProof/>
        </w:rPr>
        <w:drawing>
          <wp:inline distT="114300" distB="114300" distL="114300" distR="114300" wp14:anchorId="3EB8F82A" wp14:editId="59153634">
            <wp:extent cx="3862388" cy="792285"/>
            <wp:effectExtent l="0" t="0" r="0" b="0"/>
            <wp:docPr id="33"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59"/>
                    <a:srcRect/>
                    <a:stretch>
                      <a:fillRect/>
                    </a:stretch>
                  </pic:blipFill>
                  <pic:spPr>
                    <a:xfrm>
                      <a:off x="0" y="0"/>
                      <a:ext cx="3862388" cy="792285"/>
                    </a:xfrm>
                    <a:prstGeom prst="rect">
                      <a:avLst/>
                    </a:prstGeom>
                    <a:ln/>
                  </pic:spPr>
                </pic:pic>
              </a:graphicData>
            </a:graphic>
          </wp:inline>
        </w:drawing>
      </w:r>
    </w:p>
    <w:p w14:paraId="232AAFF4" w14:textId="77777777" w:rsidR="009B2AC6" w:rsidRDefault="00000000">
      <w:pPr>
        <w:pStyle w:val="Heading2"/>
      </w:pPr>
      <w:bookmarkStart w:id="59" w:name="_t70fmoyyj1um" w:colFirst="0" w:colLast="0"/>
      <w:bookmarkEnd w:id="59"/>
      <w:r>
        <w:t>B) Nonstationary Analysis for Three-Day Event Duration</w:t>
      </w:r>
    </w:p>
    <w:p w14:paraId="37ACF23E" w14:textId="77777777" w:rsidR="009B2AC6" w:rsidRDefault="00000000">
      <w:r>
        <w:t>Here we provide the identical figure to Figure 6 in the main text under 3-day maximum precipitation in lieu of maximum daily precipitation. Trends are largely similar across the two analyses, however there are some discrepancies between some counties. Particularly, we see more decreasing trends found in the nonstationary GEV return periods across both MSWEP and ERA5 datasets (Figure D6, panels a and b).</w:t>
      </w:r>
    </w:p>
    <w:p w14:paraId="00D5FCC2" w14:textId="77777777" w:rsidR="009B2AC6" w:rsidRDefault="009B2AC6"/>
    <w:p w14:paraId="2C4E55DA" w14:textId="77777777" w:rsidR="009B2AC6" w:rsidRDefault="009B2AC6"/>
    <w:p w14:paraId="54404896" w14:textId="557860BC" w:rsidR="009B2AC6" w:rsidRDefault="00000000">
      <w:pPr>
        <w:pStyle w:val="Heading3"/>
      </w:pPr>
      <w:bookmarkStart w:id="60" w:name="_mkkedqyo9wf" w:colFirst="0" w:colLast="0"/>
      <w:bookmarkEnd w:id="60"/>
      <w:r>
        <w:lastRenderedPageBreak/>
        <w:t xml:space="preserve">Figure D6: Three-Day </w:t>
      </w:r>
      <w:r w:rsidR="007D2131">
        <w:t>Nonstationary</w:t>
      </w:r>
      <w:r>
        <w:t xml:space="preserve"> Sensitivity in Intensity Distributions</w:t>
      </w:r>
    </w:p>
    <w:p w14:paraId="412D9745" w14:textId="77777777" w:rsidR="009B2AC6" w:rsidRDefault="00000000">
      <w:r>
        <w:rPr>
          <w:noProof/>
        </w:rPr>
        <w:drawing>
          <wp:inline distT="114300" distB="114300" distL="114300" distR="114300" wp14:anchorId="1DCD45A7" wp14:editId="66F5EC8F">
            <wp:extent cx="5943600" cy="4457700"/>
            <wp:effectExtent l="0" t="0" r="0" b="0"/>
            <wp:docPr id="1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0"/>
                    <a:srcRect/>
                    <a:stretch>
                      <a:fillRect/>
                    </a:stretch>
                  </pic:blipFill>
                  <pic:spPr>
                    <a:xfrm>
                      <a:off x="0" y="0"/>
                      <a:ext cx="5943600" cy="4457700"/>
                    </a:xfrm>
                    <a:prstGeom prst="rect">
                      <a:avLst/>
                    </a:prstGeom>
                    <a:ln/>
                  </pic:spPr>
                </pic:pic>
              </a:graphicData>
            </a:graphic>
          </wp:inline>
        </w:drawing>
      </w:r>
    </w:p>
    <w:p w14:paraId="0D10FC19" w14:textId="2BF2AADC" w:rsidR="009B2AC6" w:rsidRDefault="00000000">
      <w:pPr>
        <w:rPr>
          <w:sz w:val="20"/>
          <w:szCs w:val="20"/>
        </w:rPr>
      </w:pPr>
      <w:r>
        <w:rPr>
          <w:i/>
          <w:sz w:val="20"/>
          <w:szCs w:val="20"/>
        </w:rPr>
        <w:t xml:space="preserve">Caption: </w:t>
      </w:r>
      <w:r>
        <w:rPr>
          <w:sz w:val="20"/>
          <w:szCs w:val="20"/>
        </w:rPr>
        <w:t xml:space="preserve">Ratios of </w:t>
      </w:r>
      <w:r w:rsidR="007D2131">
        <w:rPr>
          <w:sz w:val="20"/>
          <w:szCs w:val="20"/>
        </w:rPr>
        <w:t>100-year</w:t>
      </w:r>
      <w:r>
        <w:rPr>
          <w:sz w:val="20"/>
          <w:szCs w:val="20"/>
        </w:rPr>
        <w:t xml:space="preserve"> precipitation events under county-level heterogeneous nonstationary GEV distributions for the maximum 3-day precipitation event, and Sen’s Slope values for statistically significant trends in 3-day maximum precipitation return periods of claims using a Mann Kendall trend analysis by county (p &lt; 0.05) for both MSWEP and ERA5 datasets. Ratios are compared between years 1979 and 2020 (the temporal record of MSWEP for standard comparison between datasets).</w:t>
      </w:r>
    </w:p>
    <w:p w14:paraId="5FA4103D" w14:textId="77777777" w:rsidR="009B2AC6" w:rsidRDefault="009B2AC6">
      <w:pPr>
        <w:rPr>
          <w:sz w:val="20"/>
          <w:szCs w:val="20"/>
        </w:rPr>
      </w:pPr>
    </w:p>
    <w:p w14:paraId="340FE71A" w14:textId="77777777" w:rsidR="009B2AC6" w:rsidRDefault="00000000">
      <w:pPr>
        <w:pStyle w:val="Heading2"/>
      </w:pPr>
      <w:bookmarkStart w:id="61" w:name="_52mrsup7jap4" w:colFirst="0" w:colLast="0"/>
      <w:bookmarkEnd w:id="61"/>
      <w:r>
        <w:t>C) Extended Nonstationary GEV</w:t>
      </w:r>
    </w:p>
    <w:p w14:paraId="61219C59" w14:textId="5AF5AF8B" w:rsidR="009B2AC6" w:rsidRDefault="00000000">
      <w:r>
        <w:t xml:space="preserve">Here we provide an extended version of Figure 6 from the main text to also show the nonstationary trends in </w:t>
      </w:r>
      <w:r w:rsidR="007D2131">
        <w:t>3</w:t>
      </w:r>
      <w:r>
        <w:t xml:space="preserve">-day maxima distributions in comparison to the </w:t>
      </w:r>
      <w:r w:rsidR="007D2131">
        <w:t xml:space="preserve">daily </w:t>
      </w:r>
      <w:r>
        <w:t>sum distributions (Figure E6). Overall, Figure E6 shows very similar results across duration metrics, but large differences between datasets, speaking to the uncertainty within trend analyses with limited data histories.</w:t>
      </w:r>
    </w:p>
    <w:p w14:paraId="6177DC3F" w14:textId="77777777" w:rsidR="009B2AC6" w:rsidRDefault="00000000">
      <w:pPr>
        <w:pStyle w:val="Heading3"/>
      </w:pPr>
      <w:bookmarkStart w:id="62" w:name="_t0k2whemwrxc" w:colFirst="0" w:colLast="0"/>
      <w:bookmarkEnd w:id="62"/>
      <w:r>
        <w:lastRenderedPageBreak/>
        <w:t xml:space="preserve">Figure E6: Extended </w:t>
      </w:r>
      <w:proofErr w:type="spellStart"/>
      <w:r>
        <w:t>Nonstationarity</w:t>
      </w:r>
      <w:proofErr w:type="spellEnd"/>
      <w:r>
        <w:t xml:space="preserve"> Sensitivity in Intensity Distributions </w:t>
      </w:r>
    </w:p>
    <w:p w14:paraId="4E493587" w14:textId="77777777" w:rsidR="009B2AC6" w:rsidRDefault="00000000">
      <w:pPr>
        <w:jc w:val="center"/>
      </w:pPr>
      <w:r>
        <w:rPr>
          <w:noProof/>
        </w:rPr>
        <w:drawing>
          <wp:inline distT="114300" distB="114300" distL="114300" distR="114300" wp14:anchorId="03812270" wp14:editId="0C12D92A">
            <wp:extent cx="4900613" cy="3392732"/>
            <wp:effectExtent l="0" t="0" r="0" b="0"/>
            <wp:docPr id="7"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61"/>
                    <a:srcRect/>
                    <a:stretch>
                      <a:fillRect/>
                    </a:stretch>
                  </pic:blipFill>
                  <pic:spPr>
                    <a:xfrm>
                      <a:off x="0" y="0"/>
                      <a:ext cx="4900613" cy="3392732"/>
                    </a:xfrm>
                    <a:prstGeom prst="rect">
                      <a:avLst/>
                    </a:prstGeom>
                    <a:ln/>
                  </pic:spPr>
                </pic:pic>
              </a:graphicData>
            </a:graphic>
          </wp:inline>
        </w:drawing>
      </w:r>
    </w:p>
    <w:p w14:paraId="6997514F" w14:textId="77777777" w:rsidR="009B2AC6" w:rsidRDefault="00000000">
      <w:pPr>
        <w:jc w:val="center"/>
      </w:pPr>
      <w:r>
        <w:rPr>
          <w:noProof/>
        </w:rPr>
        <w:drawing>
          <wp:inline distT="114300" distB="114300" distL="114300" distR="114300" wp14:anchorId="4A21D5C2" wp14:editId="0F12417B">
            <wp:extent cx="4914900" cy="3411163"/>
            <wp:effectExtent l="0" t="0" r="0" b="0"/>
            <wp:docPr id="51"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62"/>
                    <a:srcRect/>
                    <a:stretch>
                      <a:fillRect/>
                    </a:stretch>
                  </pic:blipFill>
                  <pic:spPr>
                    <a:xfrm>
                      <a:off x="0" y="0"/>
                      <a:ext cx="4914900" cy="3411163"/>
                    </a:xfrm>
                    <a:prstGeom prst="rect">
                      <a:avLst/>
                    </a:prstGeom>
                    <a:ln/>
                  </pic:spPr>
                </pic:pic>
              </a:graphicData>
            </a:graphic>
          </wp:inline>
        </w:drawing>
      </w:r>
    </w:p>
    <w:p w14:paraId="6D1738A9" w14:textId="77777777" w:rsidR="009B2AC6" w:rsidRDefault="00000000">
      <w:pPr>
        <w:rPr>
          <w:sz w:val="20"/>
          <w:szCs w:val="20"/>
        </w:rPr>
      </w:pPr>
      <w:r>
        <w:rPr>
          <w:i/>
          <w:sz w:val="20"/>
          <w:szCs w:val="20"/>
        </w:rPr>
        <w:t xml:space="preserve">Caption: </w:t>
      </w:r>
      <w:r>
        <w:rPr>
          <w:sz w:val="20"/>
          <w:szCs w:val="20"/>
        </w:rPr>
        <w:t xml:space="preserve">Ratios of 10 year and </w:t>
      </w:r>
      <w:proofErr w:type="gramStart"/>
      <w:r>
        <w:rPr>
          <w:sz w:val="20"/>
          <w:szCs w:val="20"/>
        </w:rPr>
        <w:t>100 year</w:t>
      </w:r>
      <w:proofErr w:type="gramEnd"/>
      <w:r>
        <w:rPr>
          <w:sz w:val="20"/>
          <w:szCs w:val="20"/>
        </w:rPr>
        <w:t xml:space="preserve"> precipitation events under county-level heterogeneous nonstationary GEV distributions for both MSWEP and ERA5 datasets for the maximum 3-day precipitation event and 1-day precipitation event. Ratios are compared between years 1979 and 2020 (the temporal record of MSWEP for standard comparison between datasets).</w:t>
      </w:r>
    </w:p>
    <w:p w14:paraId="2EE599FD" w14:textId="77777777" w:rsidR="009B2AC6" w:rsidRDefault="00000000">
      <w:pPr>
        <w:pStyle w:val="Heading1"/>
      </w:pPr>
      <w:bookmarkStart w:id="63" w:name="_we230yzidh1" w:colFirst="0" w:colLast="0"/>
      <w:bookmarkEnd w:id="63"/>
      <w:r>
        <w:lastRenderedPageBreak/>
        <w:t>9) Raw Precipitation: Monthly Dataset Intercomparison</w:t>
      </w:r>
    </w:p>
    <w:p w14:paraId="39515CA5" w14:textId="7C7EC354" w:rsidR="009B2AC6" w:rsidRDefault="00000000">
      <w:r>
        <w:t xml:space="preserve">In comparing the three different datasets across the same periods of time in their monthly precipitation values associated with insurance claims, we see that PRISM seems to have the highest raw estimates of precipitation, then MSWEP, and ERA5 has the lowest raw estimates across the distribution (Figure S1). The percentiles follow the same pattern, with the highest coming from PRISM. We note here that PRISM percentiles should be biased upward as the distribution of monthly values is not a rolling horizon over all </w:t>
      </w:r>
      <w:r w:rsidR="007D2131">
        <w:t>days but</w:t>
      </w:r>
      <w:r>
        <w:t xml:space="preserve"> only represents twelve values per year. Thus, this is likely an overestimate of percentiles, as we cannot consider the </w:t>
      </w:r>
      <w:r w:rsidR="007D2131">
        <w:t>30-day</w:t>
      </w:r>
      <w:r>
        <w:t xml:space="preserve"> period preceding any given event, rather only the month in which it occurs. This is another reason for why PRISM data is only used here as a validation technique and not as an estimate of return periods, as the monthly timescale is not resolute enough to capture storm-level effects.</w:t>
      </w:r>
    </w:p>
    <w:p w14:paraId="015C08B3" w14:textId="77777777" w:rsidR="009B2AC6" w:rsidRDefault="009B2AC6"/>
    <w:p w14:paraId="42C67DF0" w14:textId="77777777" w:rsidR="009B2AC6" w:rsidRDefault="00000000">
      <w:r>
        <w:t>In consideration of the spatial distribution patterns, we see similar patterns across all three datasets (Figure S2). Raw values could indicate that ERA5 has a slight bias downward, and MSWEP strikes a good balance between ERA5 and PRISM estimates. Thus, more rationale for our decision to include these values in the main text.</w:t>
      </w:r>
    </w:p>
    <w:p w14:paraId="53DA41E5" w14:textId="77777777" w:rsidR="009B2AC6" w:rsidRDefault="00000000">
      <w:pPr>
        <w:pStyle w:val="Heading3"/>
      </w:pPr>
      <w:bookmarkStart w:id="64" w:name="_h2ea0i5cpak" w:colFirst="0" w:colLast="0"/>
      <w:bookmarkEnd w:id="64"/>
      <w:r>
        <w:lastRenderedPageBreak/>
        <w:t>Figure S3: Distribution Comparison of Gridded Raw Precipitation for Claims</w:t>
      </w:r>
    </w:p>
    <w:p w14:paraId="771ECE19" w14:textId="77777777" w:rsidR="009B2AC6" w:rsidRDefault="00000000">
      <w:pPr>
        <w:jc w:val="center"/>
      </w:pPr>
      <w:r>
        <w:rPr>
          <w:noProof/>
        </w:rPr>
        <w:drawing>
          <wp:inline distT="114300" distB="114300" distL="114300" distR="114300" wp14:anchorId="4A66C288" wp14:editId="6341B3BF">
            <wp:extent cx="5028763" cy="6496618"/>
            <wp:effectExtent l="0" t="0" r="0" b="0"/>
            <wp:docPr id="50"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63"/>
                    <a:srcRect/>
                    <a:stretch>
                      <a:fillRect/>
                    </a:stretch>
                  </pic:blipFill>
                  <pic:spPr>
                    <a:xfrm>
                      <a:off x="0" y="0"/>
                      <a:ext cx="5028763" cy="6496618"/>
                    </a:xfrm>
                    <a:prstGeom prst="rect">
                      <a:avLst/>
                    </a:prstGeom>
                    <a:ln/>
                  </pic:spPr>
                </pic:pic>
              </a:graphicData>
            </a:graphic>
          </wp:inline>
        </w:drawing>
      </w:r>
    </w:p>
    <w:p w14:paraId="73D5821A" w14:textId="77777777" w:rsidR="009B2AC6" w:rsidRDefault="00000000">
      <w:pPr>
        <w:rPr>
          <w:sz w:val="20"/>
          <w:szCs w:val="20"/>
        </w:rPr>
      </w:pPr>
      <w:r>
        <w:rPr>
          <w:i/>
          <w:sz w:val="20"/>
          <w:szCs w:val="20"/>
        </w:rPr>
        <w:t xml:space="preserve">Caption: </w:t>
      </w:r>
      <w:r>
        <w:rPr>
          <w:sz w:val="20"/>
          <w:szCs w:val="20"/>
        </w:rPr>
        <w:t>Percentiles and monthly precipitation values across PRISM, ERA5, and MSWEP gridded datasets associated with insurance claims. ERA5 and MSWEP datasets include the 30 days prior to the event, while PRISM denotes the monthly precipitation value of the month of the event.</w:t>
      </w:r>
    </w:p>
    <w:p w14:paraId="60ED045F" w14:textId="77777777" w:rsidR="009B2AC6" w:rsidRDefault="00000000">
      <w:pPr>
        <w:pStyle w:val="Heading3"/>
      </w:pPr>
      <w:bookmarkStart w:id="65" w:name="_t7uoqgp310hc" w:colFirst="0" w:colLast="0"/>
      <w:bookmarkEnd w:id="65"/>
      <w:r>
        <w:lastRenderedPageBreak/>
        <w:t>Figure S4: Spatial Comparison of Gridded Raw Precipitation for Claims</w:t>
      </w:r>
    </w:p>
    <w:p w14:paraId="7FCDA41F" w14:textId="77777777" w:rsidR="009B2AC6" w:rsidRDefault="00000000">
      <w:r>
        <w:rPr>
          <w:noProof/>
        </w:rPr>
        <w:drawing>
          <wp:inline distT="114300" distB="114300" distL="114300" distR="114300" wp14:anchorId="6A998625" wp14:editId="1EBC1887">
            <wp:extent cx="5943600" cy="6324600"/>
            <wp:effectExtent l="0" t="0" r="0" b="0"/>
            <wp:docPr id="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64"/>
                    <a:srcRect/>
                    <a:stretch>
                      <a:fillRect/>
                    </a:stretch>
                  </pic:blipFill>
                  <pic:spPr>
                    <a:xfrm>
                      <a:off x="0" y="0"/>
                      <a:ext cx="5943600" cy="6324600"/>
                    </a:xfrm>
                    <a:prstGeom prst="rect">
                      <a:avLst/>
                    </a:prstGeom>
                    <a:ln/>
                  </pic:spPr>
                </pic:pic>
              </a:graphicData>
            </a:graphic>
          </wp:inline>
        </w:drawing>
      </w:r>
    </w:p>
    <w:p w14:paraId="0F1E43E2" w14:textId="77777777" w:rsidR="009B2AC6" w:rsidRDefault="00000000">
      <w:pPr>
        <w:rPr>
          <w:sz w:val="20"/>
          <w:szCs w:val="20"/>
        </w:rPr>
      </w:pPr>
      <w:r>
        <w:rPr>
          <w:i/>
          <w:sz w:val="20"/>
          <w:szCs w:val="20"/>
        </w:rPr>
        <w:t>Caption</w:t>
      </w:r>
      <w:r>
        <w:rPr>
          <w:sz w:val="20"/>
          <w:szCs w:val="20"/>
        </w:rPr>
        <w:t>: Spatial distribution of percentiles and monthly precipitation values across PRISM, ERA5, and MSWEP gridded datasets associated with insurance claims. ERA5 and MSWEP datasets include the 30 days prior to the event, while PRISM denotes the monthly precipitation value of the month of the event.</w:t>
      </w:r>
    </w:p>
    <w:p w14:paraId="171EE9EE" w14:textId="77777777" w:rsidR="009B2AC6" w:rsidRDefault="00000000">
      <w:pPr>
        <w:pStyle w:val="Heading1"/>
        <w:keepNext w:val="0"/>
        <w:keepLines w:val="0"/>
      </w:pPr>
      <w:bookmarkStart w:id="66" w:name="_o9061ionwr2a" w:colFirst="0" w:colLast="0"/>
      <w:bookmarkEnd w:id="66"/>
      <w:r>
        <w:t>10) Additional References</w:t>
      </w:r>
    </w:p>
    <w:p w14:paraId="1801051D" w14:textId="77777777" w:rsidR="009B2AC6" w:rsidRDefault="00000000">
      <w:pPr>
        <w:widowControl w:val="0"/>
        <w:pBdr>
          <w:top w:val="nil"/>
          <w:left w:val="nil"/>
          <w:bottom w:val="nil"/>
          <w:right w:val="nil"/>
          <w:between w:val="nil"/>
        </w:pBdr>
        <w:spacing w:before="240" w:line="240" w:lineRule="auto"/>
        <w:ind w:left="480" w:hanging="480"/>
      </w:pPr>
      <w:hyperlink r:id="rId65">
        <w:r>
          <w:rPr>
            <w:color w:val="000000"/>
          </w:rPr>
          <w:t xml:space="preserve">CDC. 2024. “NCHS Urban-Rural Classification Scheme for Counties.” National Center for Health Statistics. October 17, 2024. </w:t>
        </w:r>
      </w:hyperlink>
      <w:hyperlink r:id="rId66">
        <w:r>
          <w:rPr>
            <w:color w:val="000000"/>
          </w:rPr>
          <w:t>https://www.cdc.gov/nchs/data-analysis-tools/urban-</w:t>
        </w:r>
        <w:r>
          <w:rPr>
            <w:color w:val="000000"/>
          </w:rPr>
          <w:lastRenderedPageBreak/>
          <w:t>rural.html</w:t>
        </w:r>
      </w:hyperlink>
      <w:hyperlink r:id="rId67">
        <w:r>
          <w:rPr>
            <w:color w:val="000000"/>
          </w:rPr>
          <w:t>.</w:t>
        </w:r>
      </w:hyperlink>
    </w:p>
    <w:p w14:paraId="7A2DDF1B" w14:textId="77777777" w:rsidR="009B2AC6" w:rsidRDefault="00000000">
      <w:pPr>
        <w:widowControl w:val="0"/>
        <w:pBdr>
          <w:top w:val="nil"/>
          <w:left w:val="nil"/>
          <w:bottom w:val="nil"/>
          <w:right w:val="nil"/>
          <w:between w:val="nil"/>
        </w:pBdr>
        <w:spacing w:line="240" w:lineRule="auto"/>
        <w:ind w:left="480" w:hanging="480"/>
      </w:pPr>
      <w:hyperlink r:id="rId68">
        <w:r>
          <w:rPr>
            <w:color w:val="000000"/>
          </w:rPr>
          <w:t xml:space="preserve">Moss, Mitchell, Charles Schellhamer, and David A. Berman. 2009. “The Stafford Act and Priorities for Reform.” </w:t>
        </w:r>
      </w:hyperlink>
      <w:hyperlink r:id="rId69">
        <w:r>
          <w:rPr>
            <w:i/>
            <w:color w:val="000000"/>
          </w:rPr>
          <w:t>Journal of Homeland Security and Emergency Management</w:t>
        </w:r>
      </w:hyperlink>
      <w:hyperlink r:id="rId70">
        <w:r>
          <w:rPr>
            <w:color w:val="000000"/>
          </w:rPr>
          <w:t xml:space="preserve"> 6 (1). https://doi.org/</w:t>
        </w:r>
      </w:hyperlink>
      <w:hyperlink r:id="rId71">
        <w:r>
          <w:rPr>
            <w:color w:val="000000"/>
          </w:rPr>
          <w:t>10.2202/1547-7355.1538</w:t>
        </w:r>
      </w:hyperlink>
      <w:hyperlink r:id="rId72">
        <w:r>
          <w:rPr>
            <w:color w:val="000000"/>
          </w:rPr>
          <w:t>.</w:t>
        </w:r>
      </w:hyperlink>
    </w:p>
    <w:p w14:paraId="4CD50A24" w14:textId="77777777" w:rsidR="009B2AC6" w:rsidRDefault="00000000">
      <w:pPr>
        <w:widowControl w:val="0"/>
        <w:pBdr>
          <w:top w:val="nil"/>
          <w:left w:val="nil"/>
          <w:bottom w:val="nil"/>
          <w:right w:val="nil"/>
          <w:between w:val="nil"/>
        </w:pBdr>
        <w:spacing w:after="240" w:line="240" w:lineRule="auto"/>
        <w:ind w:left="480" w:hanging="480"/>
      </w:pPr>
      <w:hyperlink r:id="rId73">
        <w:r>
          <w:rPr>
            <w:color w:val="000000"/>
          </w:rPr>
          <w:t xml:space="preserve">National Weather Service. 2024. “Watch/Warning/Advisory Definitions,” November. </w:t>
        </w:r>
      </w:hyperlink>
      <w:hyperlink r:id="rId74">
        <w:r>
          <w:rPr>
            <w:color w:val="000000"/>
          </w:rPr>
          <w:t>https://www.weather.gov/lwx/warningsdefined</w:t>
        </w:r>
      </w:hyperlink>
      <w:hyperlink r:id="rId75">
        <w:r>
          <w:rPr>
            <w:color w:val="000000"/>
          </w:rPr>
          <w:t>.</w:t>
        </w:r>
      </w:hyperlink>
    </w:p>
    <w:p w14:paraId="23F2E02B" w14:textId="77777777" w:rsidR="009B2AC6" w:rsidRDefault="009B2AC6">
      <w:pPr>
        <w:widowControl w:val="0"/>
        <w:pBdr>
          <w:top w:val="nil"/>
          <w:left w:val="nil"/>
          <w:bottom w:val="nil"/>
          <w:right w:val="nil"/>
          <w:between w:val="nil"/>
        </w:pBdr>
      </w:pPr>
    </w:p>
    <w:sectPr w:rsidR="009B2AC6">
      <w:headerReference w:type="even" r:id="rId76"/>
      <w:headerReference w:type="default" r:id="rId77"/>
      <w:footerReference w:type="even" r:id="rId78"/>
      <w:footerReference w:type="default" r:id="rId79"/>
      <w:headerReference w:type="first" r:id="rId80"/>
      <w:footerReference w:type="first" r:id="rId8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10AD5" w14:textId="77777777" w:rsidR="00CE37AF" w:rsidRDefault="00CE37AF">
      <w:pPr>
        <w:spacing w:line="240" w:lineRule="auto"/>
      </w:pPr>
      <w:r>
        <w:separator/>
      </w:r>
    </w:p>
  </w:endnote>
  <w:endnote w:type="continuationSeparator" w:id="0">
    <w:p w14:paraId="57F95025" w14:textId="77777777" w:rsidR="00CE37AF" w:rsidRDefault="00CE37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embedRegular r:id="rId4" w:fontKey="{CB3C0645-A682-834A-A166-85AB35C525B5}"/>
  </w:font>
  <w:font w:name="Arial">
    <w:panose1 w:val="020B0604020202020204"/>
    <w:charset w:val="00"/>
    <w:family w:val="swiss"/>
    <w:pitch w:val="variable"/>
    <w:sig w:usb0="E0002AFF" w:usb1="C0007843" w:usb2="00000009" w:usb3="00000000" w:csb0="000001FF" w:csb1="00000000"/>
    <w:embedRegular r:id="rId5" w:fontKey="{64E06236-5ECC-B24D-9932-2D030092813F}"/>
    <w:embedBold r:id="rId6" w:fontKey="{9064CD0A-648B-E84A-B1C0-E1CAA8A3E3CD}"/>
  </w:font>
  <w:font w:name="Calibri">
    <w:panose1 w:val="020F0502020204030204"/>
    <w:charset w:val="00"/>
    <w:family w:val="swiss"/>
    <w:pitch w:val="variable"/>
    <w:sig w:usb0="E0002EFF" w:usb1="C000247B" w:usb2="00000009" w:usb3="00000000" w:csb0="000001FF" w:csb1="00000000"/>
    <w:embedRegular r:id="rId7" w:fontKey="{2F20B69E-52F1-6440-B9FF-789219D544D7}"/>
  </w:font>
  <w:font w:name="Cambria">
    <w:panose1 w:val="02040503050406030204"/>
    <w:charset w:val="00"/>
    <w:family w:val="roman"/>
    <w:pitch w:val="default"/>
    <w:embedRegular r:id="rId8" w:fontKey="{D685A2A0-DEB5-1E4C-9C50-B392D81C8DE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0CAB0" w14:textId="77777777" w:rsidR="001D5B92" w:rsidRDefault="001D5B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CCF9F" w14:textId="77777777" w:rsidR="009B2AC6" w:rsidRDefault="009B2AC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7BD1E" w14:textId="77777777" w:rsidR="001D5B92" w:rsidRDefault="001D5B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9F354A" w14:textId="77777777" w:rsidR="00CE37AF" w:rsidRDefault="00CE37AF">
      <w:pPr>
        <w:spacing w:line="240" w:lineRule="auto"/>
      </w:pPr>
      <w:r>
        <w:separator/>
      </w:r>
    </w:p>
  </w:footnote>
  <w:footnote w:type="continuationSeparator" w:id="0">
    <w:p w14:paraId="064E645B" w14:textId="77777777" w:rsidR="00CE37AF" w:rsidRDefault="00CE37A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0F8EC" w14:textId="77777777" w:rsidR="001D5B92" w:rsidRDefault="001D5B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9744A" w14:textId="77777777" w:rsidR="009B2AC6" w:rsidRDefault="00000000">
    <w:pPr>
      <w:jc w:val="right"/>
      <w:rPr>
        <w:color w:val="666666"/>
        <w:sz w:val="20"/>
        <w:szCs w:val="20"/>
      </w:rPr>
    </w:pPr>
    <w:r>
      <w:rPr>
        <w:color w:val="666666"/>
        <w:sz w:val="20"/>
        <w:szCs w:val="20"/>
      </w:rPr>
      <w:fldChar w:fldCharType="begin"/>
    </w:r>
    <w:r>
      <w:rPr>
        <w:color w:val="666666"/>
        <w:sz w:val="20"/>
        <w:szCs w:val="20"/>
      </w:rPr>
      <w:instrText>PAGE</w:instrText>
    </w:r>
    <w:r>
      <w:rPr>
        <w:color w:val="666666"/>
        <w:sz w:val="20"/>
        <w:szCs w:val="20"/>
      </w:rPr>
      <w:fldChar w:fldCharType="separate"/>
    </w:r>
    <w:r w:rsidR="001D5B92">
      <w:rPr>
        <w:noProof/>
        <w:color w:val="666666"/>
        <w:sz w:val="20"/>
        <w:szCs w:val="20"/>
      </w:rPr>
      <w:t>1</w:t>
    </w:r>
    <w:r>
      <w:rPr>
        <w:color w:val="666666"/>
        <w:sz w:val="20"/>
        <w:szCs w:val="2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5CF63" w14:textId="77777777" w:rsidR="001D5B92" w:rsidRDefault="001D5B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AC6"/>
    <w:rsid w:val="001D5B92"/>
    <w:rsid w:val="007D2131"/>
    <w:rsid w:val="009B2AC6"/>
    <w:rsid w:val="00CE37AF"/>
    <w:rsid w:val="00D70FC4"/>
    <w:rsid w:val="00EC01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8CED18"/>
  <w15:docId w15:val="{740718ED-4D8B-3149-B1BC-60556F0A7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Neue" w:eastAsia="Helvetica Neue" w:hAnsi="Helvetica Neue" w:cs="Helvetica Neue"/>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line="240" w:lineRule="auto"/>
      <w:outlineLvl w:val="0"/>
    </w:pPr>
    <w:rPr>
      <w:sz w:val="40"/>
      <w:szCs w:val="40"/>
    </w:rPr>
  </w:style>
  <w:style w:type="paragraph" w:styleId="Heading2">
    <w:name w:val="heading 2"/>
    <w:basedOn w:val="Normal"/>
    <w:next w:val="Normal"/>
    <w:uiPriority w:val="9"/>
    <w:unhideWhenUsed/>
    <w:qFormat/>
    <w:pPr>
      <w:keepNext/>
      <w:keepLines/>
      <w:spacing w:after="120" w:line="259" w:lineRule="auto"/>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40"/>
      <w:szCs w:val="40"/>
    </w:rPr>
  </w:style>
  <w:style w:type="paragraph" w:styleId="Subtitle">
    <w:name w:val="Subtitle"/>
    <w:basedOn w:val="Normal"/>
    <w:next w:val="Normal"/>
    <w:uiPriority w:val="11"/>
    <w:qFormat/>
    <w:pPr>
      <w:keepNext/>
      <w:keepLines/>
      <w:spacing w:after="320" w:line="376" w:lineRule="auto"/>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1D5B92"/>
    <w:pPr>
      <w:tabs>
        <w:tab w:val="center" w:pos="4680"/>
        <w:tab w:val="right" w:pos="9360"/>
      </w:tabs>
      <w:spacing w:line="240" w:lineRule="auto"/>
    </w:pPr>
  </w:style>
  <w:style w:type="character" w:customStyle="1" w:styleId="HeaderChar">
    <w:name w:val="Header Char"/>
    <w:basedOn w:val="DefaultParagraphFont"/>
    <w:link w:val="Header"/>
    <w:uiPriority w:val="99"/>
    <w:rsid w:val="001D5B92"/>
  </w:style>
  <w:style w:type="paragraph" w:styleId="Footer">
    <w:name w:val="footer"/>
    <w:basedOn w:val="Normal"/>
    <w:link w:val="FooterChar"/>
    <w:uiPriority w:val="99"/>
    <w:unhideWhenUsed/>
    <w:rsid w:val="001D5B92"/>
    <w:pPr>
      <w:tabs>
        <w:tab w:val="center" w:pos="4680"/>
        <w:tab w:val="right" w:pos="9360"/>
      </w:tabs>
      <w:spacing w:line="240" w:lineRule="auto"/>
    </w:pPr>
  </w:style>
  <w:style w:type="character" w:customStyle="1" w:styleId="FooterChar">
    <w:name w:val="Footer Char"/>
    <w:basedOn w:val="DefaultParagraphFont"/>
    <w:link w:val="Footer"/>
    <w:uiPriority w:val="99"/>
    <w:rsid w:val="001D5B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hyperlink" Target="http://paperpile.com/b/T5gwIl/3cae" TargetMode="External"/><Relationship Id="rId16" Type="http://schemas.openxmlformats.org/officeDocument/2006/relationships/image" Target="media/image6.png"/><Relationship Id="rId11" Type="http://schemas.openxmlformats.org/officeDocument/2006/relationships/image" Target="media/image1.png"/><Relationship Id="rId32" Type="http://schemas.openxmlformats.org/officeDocument/2006/relationships/image" Target="media/image22.pn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7.png"/><Relationship Id="rId74" Type="http://schemas.openxmlformats.org/officeDocument/2006/relationships/hyperlink" Target="https://www.weather.gov/lwx/warningsdefined" TargetMode="External"/><Relationship Id="rId79" Type="http://schemas.openxmlformats.org/officeDocument/2006/relationships/footer" Target="footer2.xml"/><Relationship Id="rId5" Type="http://schemas.openxmlformats.org/officeDocument/2006/relationships/endnotes" Target="endnotes.xml"/><Relationship Id="rId61" Type="http://schemas.openxmlformats.org/officeDocument/2006/relationships/image" Target="media/image50.png"/><Relationship Id="rId82" Type="http://schemas.openxmlformats.org/officeDocument/2006/relationships/fontTable" Target="fontTable.xml"/><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hyperlink" Target="http://paperpile.com/b/T5gwIl/3cae" TargetMode="External"/><Relationship Id="rId77" Type="http://schemas.openxmlformats.org/officeDocument/2006/relationships/header" Target="header2.xml"/><Relationship Id="rId8" Type="http://schemas.openxmlformats.org/officeDocument/2006/relationships/hyperlink" Target="https://paperpile.com/c/T5gwIl/bllw+3cae" TargetMode="External"/><Relationship Id="rId51" Type="http://schemas.openxmlformats.org/officeDocument/2006/relationships/image" Target="media/image40.png"/><Relationship Id="rId72" Type="http://schemas.openxmlformats.org/officeDocument/2006/relationships/hyperlink" Target="http://paperpile.com/b/T5gwIl/3cae" TargetMode="External"/><Relationship Id="rId80" Type="http://schemas.openxmlformats.org/officeDocument/2006/relationships/header" Target="header3.xml"/><Relationship Id="rId3"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hyperlink" Target="http://paperpile.com/b/T5gwIl/8qAD" TargetMode="External"/><Relationship Id="rId20" Type="http://schemas.openxmlformats.org/officeDocument/2006/relationships/image" Target="media/image10.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hyperlink" Target="http://paperpile.com/b/T5gwIl/3cae" TargetMode="External"/><Relationship Id="rId75" Type="http://schemas.openxmlformats.org/officeDocument/2006/relationships/hyperlink" Target="http://paperpile.com/b/T5gwIl/bllw" TargetMode="External"/><Relationship Id="rId83"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github.com/adamnayak/USA_return_periods" TargetMode="Externa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hyperlink" Target="https://github.com/adamnayak/USA_return_periods" TargetMode="External"/><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hyperlink" Target="https://www.cdc.gov/nchs/data-analysis-tools/urban-rural.html" TargetMode="External"/><Relationship Id="rId31" Type="http://schemas.openxmlformats.org/officeDocument/2006/relationships/image" Target="media/image21.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hyperlink" Target="http://paperpile.com/b/T5gwIl/8qAD" TargetMode="External"/><Relationship Id="rId73" Type="http://schemas.openxmlformats.org/officeDocument/2006/relationships/hyperlink" Target="http://paperpile.com/b/T5gwIl/bllw" TargetMode="External"/><Relationship Id="rId78" Type="http://schemas.openxmlformats.org/officeDocument/2006/relationships/footer" Target="footer1.xml"/><Relationship Id="rId81"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yperlink" Target="https://paperpile.com/c/T5gwIl/8qAD" TargetMode="Externa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8.png"/><Relationship Id="rId34" Type="http://schemas.openxmlformats.org/officeDocument/2006/relationships/image" Target="media/image24.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header" Target="header1.xml"/><Relationship Id="rId7" Type="http://schemas.openxmlformats.org/officeDocument/2006/relationships/hyperlink" Target="https://www.weather.gov/lwx/warningsdefined" TargetMode="External"/><Relationship Id="rId71" Type="http://schemas.openxmlformats.org/officeDocument/2006/relationships/hyperlink" Target="http://dx.doi.org/10.2202/1547-7355.1538" TargetMode="External"/><Relationship Id="rId2" Type="http://schemas.openxmlformats.org/officeDocument/2006/relationships/settings" Target="settings.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hyperlink" Target="https://www.cdc.gov/nchs/data-analysis-tools/urban-rural.html"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44</Pages>
  <Words>5521</Words>
  <Characters>31470</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an3232</cp:lastModifiedBy>
  <cp:revision>3</cp:revision>
  <dcterms:created xsi:type="dcterms:W3CDTF">2025-02-13T18:37:00Z</dcterms:created>
  <dcterms:modified xsi:type="dcterms:W3CDTF">2025-02-13T19:39:00Z</dcterms:modified>
</cp:coreProperties>
</file>