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5DD10" w14:textId="56A6D3A0" w:rsidR="00C5615A" w:rsidRDefault="00C5615A" w:rsidP="00C5615A">
      <w:pPr>
        <w:keepNext/>
        <w:keepLines/>
        <w:spacing w:after="60" w:line="276" w:lineRule="auto"/>
        <w:jc w:val="center"/>
        <w:rPr>
          <w:rFonts w:ascii="Arial" w:eastAsia="Arial" w:hAnsi="Arial" w:cs="Arial"/>
          <w:b/>
          <w:sz w:val="28"/>
          <w:szCs w:val="28"/>
          <w:lang w:val="en" w:eastAsia="de-DE"/>
        </w:rPr>
      </w:pPr>
      <w:r>
        <w:rPr>
          <w:rFonts w:ascii="Arial" w:eastAsia="Arial" w:hAnsi="Arial" w:cs="Arial"/>
          <w:b/>
          <w:sz w:val="28"/>
          <w:szCs w:val="28"/>
          <w:lang w:val="en" w:eastAsia="de-DE"/>
        </w:rPr>
        <w:t>Supplemental Appendix</w:t>
      </w:r>
    </w:p>
    <w:p w14:paraId="59119663" w14:textId="77777777" w:rsidR="00C5615A" w:rsidRDefault="00C5615A" w:rsidP="00C5615A">
      <w:pPr>
        <w:keepNext/>
        <w:keepLines/>
        <w:spacing w:after="60" w:line="276" w:lineRule="auto"/>
        <w:jc w:val="center"/>
        <w:rPr>
          <w:rFonts w:ascii="Arial" w:eastAsia="Arial" w:hAnsi="Arial" w:cs="Arial"/>
          <w:b/>
          <w:sz w:val="28"/>
          <w:szCs w:val="28"/>
          <w:lang w:val="en" w:eastAsia="de-DE"/>
        </w:rPr>
      </w:pPr>
    </w:p>
    <w:p w14:paraId="65285A85" w14:textId="53760976" w:rsidR="00C5615A" w:rsidRPr="00C5615A" w:rsidRDefault="00C5615A" w:rsidP="00C5615A">
      <w:pPr>
        <w:keepNext/>
        <w:keepLines/>
        <w:spacing w:after="60" w:line="276" w:lineRule="auto"/>
        <w:jc w:val="center"/>
        <w:rPr>
          <w:rFonts w:ascii="Arial" w:eastAsia="Arial" w:hAnsi="Arial" w:cs="Arial"/>
          <w:b/>
          <w:sz w:val="28"/>
          <w:szCs w:val="28"/>
          <w:lang w:val="en" w:eastAsia="de-DE"/>
        </w:rPr>
      </w:pPr>
      <w:r w:rsidRPr="00C5615A">
        <w:rPr>
          <w:rFonts w:ascii="Arial" w:eastAsia="Arial" w:hAnsi="Arial" w:cs="Arial"/>
          <w:b/>
          <w:sz w:val="28"/>
          <w:szCs w:val="28"/>
          <w:lang w:val="en" w:eastAsia="de-DE"/>
        </w:rPr>
        <w:t>Proteomic Atlas of Post-COVID Sequelae</w:t>
      </w:r>
    </w:p>
    <w:p w14:paraId="58258D43" w14:textId="77777777" w:rsidR="00C5615A" w:rsidRPr="00C5615A" w:rsidRDefault="00C5615A" w:rsidP="00C5615A">
      <w:pPr>
        <w:spacing w:after="200" w:line="276" w:lineRule="auto"/>
        <w:ind w:left="-270"/>
        <w:jc w:val="center"/>
        <w:rPr>
          <w:rFonts w:ascii="Arial" w:eastAsia="Calibri" w:hAnsi="Arial" w:cs="Arial"/>
          <w:sz w:val="24"/>
          <w:szCs w:val="24"/>
          <w:lang w:val="en" w:eastAsia="de-DE"/>
        </w:rPr>
      </w:pPr>
    </w:p>
    <w:p w14:paraId="33A9213A" w14:textId="77777777" w:rsidR="00C5615A" w:rsidRPr="00C5615A" w:rsidRDefault="00C5615A" w:rsidP="00C5615A">
      <w:pPr>
        <w:spacing w:after="0" w:line="240" w:lineRule="auto"/>
        <w:rPr>
          <w:rFonts w:ascii="Arial" w:eastAsia="Calibri" w:hAnsi="Arial" w:cs="Arial"/>
          <w:vertAlign w:val="superscript"/>
          <w:lang w:val="en" w:eastAsia="de-DE"/>
        </w:rPr>
      </w:pPr>
      <w:r w:rsidRPr="00C5615A">
        <w:rPr>
          <w:rFonts w:ascii="Arial" w:eastAsia="Calibri" w:hAnsi="Arial" w:cs="Arial"/>
          <w:lang w:val="en" w:eastAsia="de-DE"/>
        </w:rPr>
        <w:t>Sepehr Golriz Khatami</w:t>
      </w:r>
      <w:r w:rsidRPr="00C5615A">
        <w:rPr>
          <w:rFonts w:ascii="Arial" w:eastAsia="Calibri" w:hAnsi="Arial" w:cs="Arial"/>
          <w:vertAlign w:val="superscript"/>
          <w:lang w:val="en" w:eastAsia="de-DE"/>
        </w:rPr>
        <w:t>1</w:t>
      </w:r>
      <w:r w:rsidRPr="00C5615A">
        <w:rPr>
          <w:rFonts w:ascii="Arial" w:eastAsia="Calibri" w:hAnsi="Arial" w:cs="Arial"/>
          <w:lang w:val="en" w:eastAsia="de-DE"/>
        </w:rPr>
        <w:t>, Rieke Baumkötter</w:t>
      </w:r>
      <w:r w:rsidRPr="00C5615A">
        <w:rPr>
          <w:rFonts w:ascii="Arial" w:eastAsia="Calibri" w:hAnsi="Arial" w:cs="Arial"/>
          <w:vertAlign w:val="superscript"/>
          <w:lang w:val="en" w:eastAsia="de-DE"/>
        </w:rPr>
        <w:t>1,2</w:t>
      </w:r>
      <w:r w:rsidRPr="00C5615A">
        <w:rPr>
          <w:rFonts w:ascii="Arial" w:eastAsia="Calibri" w:hAnsi="Arial" w:cs="Arial"/>
          <w:lang w:val="en" w:eastAsia="de-DE"/>
        </w:rPr>
        <w:t>, Thomas Köck</w:t>
      </w:r>
      <w:r w:rsidRPr="00C5615A">
        <w:rPr>
          <w:rFonts w:ascii="Arial" w:eastAsia="Calibri" w:hAnsi="Arial" w:cs="Arial"/>
          <w:vertAlign w:val="superscript"/>
          <w:lang w:val="en" w:eastAsia="de-DE"/>
        </w:rPr>
        <w:t>1</w:t>
      </w:r>
      <w:r w:rsidRPr="00C5615A">
        <w:rPr>
          <w:rFonts w:ascii="Arial" w:eastAsia="Calibri" w:hAnsi="Arial" w:cs="Arial"/>
          <w:lang w:val="en" w:eastAsia="de-DE"/>
        </w:rPr>
        <w:t>, Ayesha Syed Mamoor Alam</w:t>
      </w:r>
      <w:r w:rsidRPr="00C5615A">
        <w:rPr>
          <w:rFonts w:ascii="Arial" w:eastAsia="Calibri" w:hAnsi="Arial" w:cs="Arial"/>
          <w:vertAlign w:val="superscript"/>
          <w:lang w:val="en" w:eastAsia="de-DE"/>
        </w:rPr>
        <w:t>1</w:t>
      </w:r>
      <w:r w:rsidRPr="00C5615A">
        <w:rPr>
          <w:rFonts w:ascii="Arial" w:eastAsia="Calibri" w:hAnsi="Arial" w:cs="Arial"/>
          <w:lang w:val="en" w:eastAsia="de-DE"/>
        </w:rPr>
        <w:t>, Simge Yilmaz</w:t>
      </w:r>
      <w:r w:rsidRPr="00C5615A">
        <w:rPr>
          <w:rFonts w:ascii="Arial" w:eastAsia="Calibri" w:hAnsi="Arial" w:cs="Arial"/>
          <w:vertAlign w:val="superscript"/>
          <w:lang w:val="en" w:eastAsia="de-DE"/>
        </w:rPr>
        <w:t>1,2</w:t>
      </w:r>
      <w:r w:rsidRPr="00C5615A">
        <w:rPr>
          <w:rFonts w:ascii="Arial" w:eastAsia="Calibri" w:hAnsi="Arial" w:cs="Arial"/>
          <w:lang w:val="en" w:eastAsia="de-DE"/>
        </w:rPr>
        <w:t>, Julian Chalabi</w:t>
      </w:r>
      <w:r w:rsidRPr="00C5615A">
        <w:rPr>
          <w:rFonts w:ascii="Arial" w:eastAsia="Calibri" w:hAnsi="Arial" w:cs="Arial"/>
          <w:vertAlign w:val="superscript"/>
          <w:lang w:val="en" w:eastAsia="de-DE"/>
        </w:rPr>
        <w:t>1</w:t>
      </w:r>
      <w:r w:rsidRPr="00C5615A">
        <w:rPr>
          <w:rFonts w:ascii="Arial" w:eastAsia="Calibri" w:hAnsi="Arial" w:cs="Arial"/>
          <w:lang w:val="en" w:eastAsia="de-DE"/>
        </w:rPr>
        <w:t>, Steffen Rapp</w:t>
      </w:r>
      <w:r w:rsidRPr="00C5615A">
        <w:rPr>
          <w:rFonts w:ascii="Arial" w:eastAsia="Calibri" w:hAnsi="Arial" w:cs="Arial"/>
          <w:vertAlign w:val="superscript"/>
          <w:lang w:val="en" w:eastAsia="de-DE"/>
        </w:rPr>
        <w:t>1</w:t>
      </w:r>
      <w:r w:rsidRPr="00C5615A">
        <w:rPr>
          <w:rFonts w:ascii="Arial" w:eastAsia="Calibri" w:hAnsi="Arial" w:cs="Arial"/>
          <w:lang w:val="en" w:eastAsia="de-DE"/>
        </w:rPr>
        <w:t>, Federico Marini</w:t>
      </w:r>
      <w:r w:rsidRPr="00C5615A">
        <w:rPr>
          <w:rFonts w:ascii="Arial" w:eastAsia="Calibri" w:hAnsi="Arial" w:cs="Arial"/>
          <w:vertAlign w:val="superscript"/>
          <w:lang w:val="en" w:eastAsia="de-DE"/>
        </w:rPr>
        <w:t>3,4</w:t>
      </w:r>
      <w:r w:rsidRPr="00C5615A">
        <w:rPr>
          <w:rFonts w:ascii="Arial" w:eastAsia="Calibri" w:hAnsi="Arial" w:cs="Arial"/>
          <w:lang w:val="en" w:eastAsia="de-DE"/>
        </w:rPr>
        <w:t>, Markus Schepers</w:t>
      </w:r>
      <w:r w:rsidRPr="00C5615A">
        <w:rPr>
          <w:rFonts w:ascii="Arial" w:eastAsia="Calibri" w:hAnsi="Arial" w:cs="Arial"/>
          <w:vertAlign w:val="superscript"/>
          <w:lang w:val="en" w:eastAsia="de-DE"/>
        </w:rPr>
        <w:t>3</w:t>
      </w:r>
      <w:r w:rsidRPr="00C5615A">
        <w:rPr>
          <w:rFonts w:ascii="Arial" w:eastAsia="Calibri" w:hAnsi="Arial" w:cs="Arial"/>
          <w:lang w:val="en" w:eastAsia="de-DE"/>
        </w:rPr>
        <w:t>, Tobias Bopp</w:t>
      </w:r>
      <w:r w:rsidRPr="00C5615A">
        <w:rPr>
          <w:rFonts w:ascii="Arial" w:eastAsia="Calibri" w:hAnsi="Arial" w:cs="Arial"/>
          <w:vertAlign w:val="superscript"/>
          <w:lang w:val="en" w:eastAsia="de-DE"/>
        </w:rPr>
        <w:t>5</w:t>
      </w:r>
      <w:r w:rsidRPr="00C5615A">
        <w:rPr>
          <w:rFonts w:ascii="Arial" w:eastAsia="Calibri" w:hAnsi="Arial" w:cs="Arial"/>
          <w:lang w:val="en" w:eastAsia="de-DE"/>
        </w:rPr>
        <w:t>, Stefan Bittner</w:t>
      </w:r>
      <w:r w:rsidRPr="00C5615A">
        <w:rPr>
          <w:rFonts w:ascii="Arial" w:eastAsia="Calibri" w:hAnsi="Arial" w:cs="Arial"/>
          <w:vertAlign w:val="superscript"/>
          <w:lang w:val="en" w:eastAsia="de-DE"/>
        </w:rPr>
        <w:t>4,6</w:t>
      </w:r>
      <w:r w:rsidRPr="00C5615A">
        <w:rPr>
          <w:rFonts w:ascii="Arial" w:eastAsia="Calibri" w:hAnsi="Arial" w:cs="Arial"/>
          <w:lang w:val="en" w:eastAsia="de-DE"/>
        </w:rPr>
        <w:t>, Alexander K. Schuster</w:t>
      </w:r>
      <w:r w:rsidRPr="00C5615A">
        <w:rPr>
          <w:rFonts w:ascii="Arial" w:eastAsia="Calibri" w:hAnsi="Arial" w:cs="Arial"/>
          <w:vertAlign w:val="superscript"/>
          <w:lang w:val="en" w:eastAsia="de-DE"/>
        </w:rPr>
        <w:t>7</w:t>
      </w:r>
      <w:r w:rsidRPr="00C5615A">
        <w:rPr>
          <w:rFonts w:ascii="Arial" w:eastAsia="Calibri" w:hAnsi="Arial" w:cs="Arial"/>
          <w:lang w:val="en" w:eastAsia="de-DE"/>
        </w:rPr>
        <w:t>, Manfred E. Beutel</w:t>
      </w:r>
      <w:r w:rsidRPr="00C5615A">
        <w:rPr>
          <w:rFonts w:ascii="Arial" w:eastAsia="Calibri" w:hAnsi="Arial" w:cs="Arial"/>
          <w:vertAlign w:val="superscript"/>
          <w:lang w:val="en" w:eastAsia="de-DE"/>
        </w:rPr>
        <w:t>8</w:t>
      </w:r>
      <w:r w:rsidRPr="00C5615A">
        <w:rPr>
          <w:rFonts w:ascii="Arial" w:eastAsia="Calibri" w:hAnsi="Arial" w:cs="Arial"/>
          <w:lang w:val="en" w:eastAsia="de-DE"/>
        </w:rPr>
        <w:t>, Thomas Münzel</w:t>
      </w:r>
      <w:r w:rsidRPr="00C5615A">
        <w:rPr>
          <w:rFonts w:ascii="Arial" w:eastAsia="Calibri" w:hAnsi="Arial" w:cs="Arial"/>
          <w:vertAlign w:val="superscript"/>
          <w:lang w:val="en" w:eastAsia="de-DE"/>
        </w:rPr>
        <w:t>2,9</w:t>
      </w:r>
      <w:r w:rsidRPr="00C5615A">
        <w:rPr>
          <w:rFonts w:ascii="Arial" w:eastAsia="Calibri" w:hAnsi="Arial" w:cs="Arial"/>
          <w:lang w:val="en" w:eastAsia="de-DE"/>
        </w:rPr>
        <w:t>, Karl Lackner</w:t>
      </w:r>
      <w:r w:rsidRPr="00C5615A">
        <w:rPr>
          <w:rFonts w:ascii="Arial" w:eastAsia="Calibri" w:hAnsi="Arial" w:cs="Arial"/>
          <w:vertAlign w:val="superscript"/>
          <w:lang w:val="en" w:eastAsia="de-DE"/>
        </w:rPr>
        <w:t>10</w:t>
      </w:r>
      <w:r w:rsidRPr="00C5615A">
        <w:rPr>
          <w:rFonts w:ascii="Arial" w:eastAsia="Calibri" w:hAnsi="Arial" w:cs="Arial"/>
          <w:lang w:val="en" w:eastAsia="de-DE"/>
        </w:rPr>
        <w:t>, Vincent ten Cate</w:t>
      </w:r>
      <w:r w:rsidRPr="00C5615A">
        <w:rPr>
          <w:rFonts w:ascii="Arial" w:eastAsia="Calibri" w:hAnsi="Arial" w:cs="Arial"/>
          <w:vertAlign w:val="superscript"/>
          <w:lang w:val="en" w:eastAsia="de-DE"/>
        </w:rPr>
        <w:t>1,2,11</w:t>
      </w:r>
      <w:r w:rsidRPr="00C5615A">
        <w:rPr>
          <w:rFonts w:ascii="Arial" w:eastAsia="Calibri" w:hAnsi="Arial" w:cs="Arial"/>
          <w:lang w:val="en" w:eastAsia="de-DE"/>
        </w:rPr>
        <w:t>, Philipp S. Wild</w:t>
      </w:r>
      <w:r w:rsidRPr="00C5615A">
        <w:rPr>
          <w:rFonts w:ascii="Arial" w:eastAsia="Calibri" w:hAnsi="Arial" w:cs="Arial"/>
          <w:vertAlign w:val="superscript"/>
          <w:lang w:val="en" w:eastAsia="de-DE"/>
        </w:rPr>
        <w:t>1,2,11,12*</w:t>
      </w:r>
    </w:p>
    <w:p w14:paraId="7A6C7865" w14:textId="77777777" w:rsidR="00C5615A" w:rsidRPr="00C5615A" w:rsidRDefault="00C5615A" w:rsidP="00C5615A">
      <w:pPr>
        <w:spacing w:after="200" w:line="240" w:lineRule="auto"/>
        <w:rPr>
          <w:rFonts w:ascii="Arial" w:eastAsia="Calibri" w:hAnsi="Arial" w:cs="Arial"/>
          <w:lang w:val="en" w:eastAsia="de-DE"/>
        </w:rPr>
      </w:pPr>
    </w:p>
    <w:p w14:paraId="2E53C217"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Preventive Cardiology and Preventive Medicine, Department of Cardiology, University Medical Center of the Johannes Gutenberg University Mainz, Germany</w:t>
      </w:r>
    </w:p>
    <w:p w14:paraId="5E49A885"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German Center for Cardiovascular Research (DZHK), Partner Site Rhine-Main, University Medical Center of the Johannes Gutenberg University Mainz, Mainz, Germany</w:t>
      </w:r>
    </w:p>
    <w:p w14:paraId="4AD2F10C"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Institute of Medical Biostatistics, Epidemiology and Informatics (IMBEI), University Medical Center, Johannes Gutenberg University, Mainz, Germany,</w:t>
      </w:r>
    </w:p>
    <w:p w14:paraId="1976476F"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Research Center for Immunotherapy (FZI), University Medical Center, Johannes Gutenberg University, Mainz, Germany</w:t>
      </w:r>
    </w:p>
    <w:p w14:paraId="699F1A47"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Institute of Immunology, University Medical Center, Johannes Gutenberg University, Mainz, Germany</w:t>
      </w:r>
    </w:p>
    <w:p w14:paraId="17C01566"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Department of Neurology, Focus Program Translational Neuroscience and FZI, Rhine-Main Neuroscience Network, University Medical Center, Johannes Gutenberg University, Mainz, Germany</w:t>
      </w:r>
    </w:p>
    <w:p w14:paraId="3F01AA58"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Department of Ophthalmology, University Medical Center of the Johannes Gutenberg University Mainz, Mainz, Germany</w:t>
      </w:r>
    </w:p>
    <w:p w14:paraId="3DF0C5F7"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Department of Psychosomatic Medicine, University Medical Center of the Johannes Gutenberg University Mainz, Mainz, Germany</w:t>
      </w:r>
    </w:p>
    <w:p w14:paraId="58E75FF5"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Cardiology I, Center for Cardiology, University Medical Center of the Johannes Gutenberg University Mainz, Mainz, Germany</w:t>
      </w:r>
    </w:p>
    <w:p w14:paraId="3F5921EE"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Institute of Clinical Chemistry and Laboratory Medicine, University Medical Center of the Johannes Gutenberg University Mainz, Mainz, Germany</w:t>
      </w:r>
    </w:p>
    <w:p w14:paraId="59777ED3"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Clinical Epidemiology and Systems Medicine, Center for Thrombosis and Hemostasis (CTH), Mainz, Germany</w:t>
      </w:r>
    </w:p>
    <w:p w14:paraId="58495CE9" w14:textId="77777777" w:rsidR="00C5615A" w:rsidRPr="00C5615A" w:rsidRDefault="00C5615A" w:rsidP="00C5615A">
      <w:pPr>
        <w:numPr>
          <w:ilvl w:val="0"/>
          <w:numId w:val="1"/>
        </w:numPr>
        <w:spacing w:after="120" w:line="240" w:lineRule="auto"/>
        <w:ind w:left="714" w:hanging="357"/>
        <w:jc w:val="both"/>
        <w:rPr>
          <w:rFonts w:ascii="Arial" w:eastAsia="Calibri" w:hAnsi="Arial" w:cs="Arial"/>
          <w:sz w:val="20"/>
          <w:lang w:val="en" w:eastAsia="de-DE"/>
        </w:rPr>
      </w:pPr>
      <w:r w:rsidRPr="00C5615A">
        <w:rPr>
          <w:rFonts w:ascii="Arial" w:eastAsia="Calibri" w:hAnsi="Arial" w:cs="Arial"/>
          <w:sz w:val="20"/>
          <w:lang w:val="en" w:eastAsia="de-DE"/>
        </w:rPr>
        <w:t>Institute of Molecular Biology (IMB), Mainz, Germany</w:t>
      </w:r>
    </w:p>
    <w:p w14:paraId="117E44F1" w14:textId="77777777" w:rsidR="00C5615A" w:rsidRPr="00C5615A" w:rsidRDefault="00C5615A" w:rsidP="00C5615A">
      <w:pPr>
        <w:spacing w:after="200" w:line="240" w:lineRule="auto"/>
        <w:ind w:left="720"/>
        <w:jc w:val="both"/>
        <w:rPr>
          <w:rFonts w:ascii="Arial" w:eastAsia="Calibri" w:hAnsi="Arial" w:cs="Arial"/>
          <w:lang w:val="en" w:eastAsia="de-DE"/>
        </w:rPr>
      </w:pPr>
    </w:p>
    <w:p w14:paraId="3427936A" w14:textId="77777777" w:rsidR="00C5615A" w:rsidRPr="00C5615A" w:rsidRDefault="00C5615A" w:rsidP="00C5615A">
      <w:pPr>
        <w:spacing w:after="200" w:line="240" w:lineRule="auto"/>
        <w:ind w:left="720"/>
        <w:jc w:val="both"/>
        <w:rPr>
          <w:rFonts w:ascii="Arial" w:eastAsia="Calibri" w:hAnsi="Arial" w:cs="Arial"/>
          <w:lang w:val="en" w:eastAsia="de-DE"/>
        </w:rPr>
      </w:pPr>
    </w:p>
    <w:p w14:paraId="6D4F1662" w14:textId="77777777" w:rsidR="00C5615A" w:rsidRPr="00C5615A" w:rsidRDefault="00C5615A" w:rsidP="00C5615A">
      <w:pPr>
        <w:spacing w:after="120" w:line="240" w:lineRule="auto"/>
        <w:jc w:val="both"/>
        <w:rPr>
          <w:rFonts w:ascii="Arial" w:eastAsia="Calibri" w:hAnsi="Arial" w:cs="Arial"/>
          <w:b/>
          <w:lang w:val="en" w:eastAsia="de-DE"/>
        </w:rPr>
      </w:pPr>
      <w:r w:rsidRPr="00C5615A">
        <w:rPr>
          <w:rFonts w:ascii="Arial" w:eastAsia="Calibri" w:hAnsi="Arial" w:cs="Arial"/>
          <w:b/>
          <w:lang w:val="en" w:eastAsia="de-DE"/>
        </w:rPr>
        <w:t xml:space="preserve">*Corresponding Author </w:t>
      </w:r>
      <w:bookmarkStart w:id="0" w:name="_nijv3mrowik3" w:colFirst="0" w:colLast="0"/>
      <w:bookmarkEnd w:id="0"/>
    </w:p>
    <w:p w14:paraId="0E1A9561" w14:textId="77777777" w:rsidR="00C5615A" w:rsidRPr="00C5615A" w:rsidRDefault="00C5615A" w:rsidP="00C5615A">
      <w:pPr>
        <w:spacing w:after="60" w:line="240" w:lineRule="auto"/>
        <w:jc w:val="both"/>
        <w:rPr>
          <w:rFonts w:ascii="Arial" w:eastAsia="Calibri" w:hAnsi="Arial" w:cs="Arial"/>
          <w:lang w:val="en" w:eastAsia="de-DE"/>
        </w:rPr>
      </w:pPr>
      <w:r w:rsidRPr="00C5615A">
        <w:rPr>
          <w:rFonts w:ascii="Arial" w:eastAsia="Calibri" w:hAnsi="Arial" w:cs="Arial"/>
          <w:lang w:val="en" w:eastAsia="de-DE"/>
        </w:rPr>
        <w:t>Philipp S. Wild, MD MSc</w:t>
      </w:r>
    </w:p>
    <w:p w14:paraId="2CE173BF" w14:textId="77777777" w:rsidR="00C5615A" w:rsidRPr="00C5615A" w:rsidRDefault="00C5615A" w:rsidP="00C5615A">
      <w:pPr>
        <w:spacing w:after="60" w:line="240" w:lineRule="auto"/>
        <w:jc w:val="both"/>
        <w:rPr>
          <w:rFonts w:ascii="Arial" w:eastAsia="Calibri" w:hAnsi="Arial" w:cs="Arial"/>
          <w:lang w:val="en" w:eastAsia="de-DE"/>
        </w:rPr>
      </w:pPr>
      <w:r w:rsidRPr="00C5615A">
        <w:rPr>
          <w:rFonts w:ascii="Arial" w:eastAsia="Calibri" w:hAnsi="Arial" w:cs="Arial"/>
          <w:lang w:val="en" w:eastAsia="de-DE"/>
        </w:rPr>
        <w:t>Preventive Cardiology and Medical Prevention, Department of Cardiology</w:t>
      </w:r>
    </w:p>
    <w:p w14:paraId="60222121" w14:textId="77777777" w:rsidR="00C5615A" w:rsidRPr="00C5615A" w:rsidRDefault="00C5615A" w:rsidP="00C5615A">
      <w:pPr>
        <w:spacing w:after="60" w:line="240" w:lineRule="auto"/>
        <w:jc w:val="both"/>
        <w:rPr>
          <w:rFonts w:ascii="Arial" w:eastAsia="Calibri" w:hAnsi="Arial" w:cs="Arial"/>
          <w:lang w:val="en" w:eastAsia="de-DE"/>
        </w:rPr>
      </w:pPr>
      <w:r w:rsidRPr="00C5615A">
        <w:rPr>
          <w:rFonts w:ascii="Arial" w:eastAsia="Calibri" w:hAnsi="Arial" w:cs="Arial"/>
          <w:lang w:val="en" w:eastAsia="de-DE"/>
        </w:rPr>
        <w:t>Clinical Epidemiology and Systems Medicine, Center for Thrombosis and Hemostasis</w:t>
      </w:r>
    </w:p>
    <w:p w14:paraId="185DD86A" w14:textId="77777777" w:rsidR="00C5615A" w:rsidRPr="00C5615A" w:rsidRDefault="00C5615A" w:rsidP="00C5615A">
      <w:pPr>
        <w:spacing w:after="60" w:line="240" w:lineRule="auto"/>
        <w:jc w:val="both"/>
        <w:rPr>
          <w:rFonts w:ascii="Arial" w:eastAsia="Calibri" w:hAnsi="Arial" w:cs="Arial"/>
          <w:lang w:val="en" w:eastAsia="de-DE"/>
        </w:rPr>
      </w:pPr>
      <w:r w:rsidRPr="00C5615A">
        <w:rPr>
          <w:rFonts w:ascii="Arial" w:eastAsia="Calibri" w:hAnsi="Arial" w:cs="Arial"/>
          <w:lang w:val="en" w:eastAsia="de-DE"/>
        </w:rPr>
        <w:t>University Medical Center of the Johannes Gutenberg University Mainz</w:t>
      </w:r>
    </w:p>
    <w:p w14:paraId="634423C9" w14:textId="77777777" w:rsidR="00C5615A" w:rsidRPr="00C5615A" w:rsidRDefault="00C5615A" w:rsidP="00C5615A">
      <w:pPr>
        <w:spacing w:after="60" w:line="240" w:lineRule="auto"/>
        <w:jc w:val="both"/>
        <w:rPr>
          <w:rFonts w:ascii="Arial" w:eastAsia="Calibri" w:hAnsi="Arial" w:cs="Arial"/>
          <w:lang w:val="en" w:eastAsia="de-DE"/>
        </w:rPr>
      </w:pPr>
      <w:r w:rsidRPr="00C5615A">
        <w:rPr>
          <w:rFonts w:ascii="Arial" w:eastAsia="Calibri" w:hAnsi="Arial" w:cs="Arial"/>
          <w:lang w:val="en" w:eastAsia="de-DE"/>
        </w:rPr>
        <w:t>Langenbeckstr. 1, 55131 Mainz</w:t>
      </w:r>
    </w:p>
    <w:p w14:paraId="15F9C4A2" w14:textId="481DC896" w:rsidR="007E5B56" w:rsidRDefault="00C5615A" w:rsidP="00C5615A">
      <w:pPr>
        <w:rPr>
          <w:rFonts w:ascii="Arial" w:eastAsia="Calibri" w:hAnsi="Arial" w:cs="Arial"/>
          <w:lang w:val="en" w:eastAsia="de-DE"/>
        </w:rPr>
      </w:pPr>
      <w:r w:rsidRPr="00C5615A">
        <w:rPr>
          <w:rFonts w:ascii="Arial" w:eastAsia="Calibri" w:hAnsi="Arial" w:cs="Arial"/>
          <w:lang w:val="en" w:eastAsia="de-DE"/>
        </w:rPr>
        <w:t xml:space="preserve">Email: Philipp.wild@unimedizin-mainz.de; Telephone: +49 (0) 6131 17-7163  </w:t>
      </w:r>
    </w:p>
    <w:p w14:paraId="5792C844" w14:textId="3519B9C6" w:rsidR="007E5B56" w:rsidRDefault="007E5B56" w:rsidP="007E5B56">
      <w:pPr>
        <w:rPr>
          <w:rFonts w:ascii="Arial" w:eastAsia="Calibri" w:hAnsi="Arial" w:cs="Arial"/>
          <w:lang w:val="en" w:eastAsia="de-DE"/>
        </w:rPr>
      </w:pPr>
    </w:p>
    <w:p w14:paraId="1541CBDF" w14:textId="6109A2AC" w:rsidR="007305C7" w:rsidRPr="007305C7" w:rsidRDefault="00D40E26" w:rsidP="00B64A10">
      <w:pPr>
        <w:spacing w:after="0" w:line="360" w:lineRule="auto"/>
        <w:jc w:val="both"/>
        <w:rPr>
          <w:rFonts w:ascii="Arial" w:eastAsia="Arial" w:hAnsi="Arial" w:cs="Arial"/>
          <w:b/>
          <w:szCs w:val="40"/>
          <w:lang w:val="en" w:eastAsia="de-DE"/>
        </w:rPr>
      </w:pPr>
      <w:r>
        <w:rPr>
          <w:rFonts w:ascii="Arial" w:eastAsia="Arial" w:hAnsi="Arial" w:cs="Arial"/>
          <w:b/>
          <w:szCs w:val="40"/>
          <w:lang w:val="en" w:eastAsia="de-DE"/>
        </w:rPr>
        <w:t>E</w:t>
      </w:r>
      <w:r w:rsidR="007305C7" w:rsidRPr="007305C7">
        <w:rPr>
          <w:rFonts w:ascii="Arial" w:eastAsia="Arial" w:hAnsi="Arial" w:cs="Arial"/>
          <w:b/>
          <w:szCs w:val="40"/>
          <w:lang w:val="en" w:eastAsia="de-DE"/>
        </w:rPr>
        <w:t>thics declarations</w:t>
      </w:r>
    </w:p>
    <w:p w14:paraId="1836F458" w14:textId="724AEF7B" w:rsidR="007305C7" w:rsidRDefault="007305C7" w:rsidP="00B64A10">
      <w:pPr>
        <w:spacing w:after="0" w:line="360" w:lineRule="auto"/>
        <w:jc w:val="both"/>
        <w:rPr>
          <w:rFonts w:ascii="Arial" w:hAnsi="Arial" w:cs="Arial"/>
        </w:rPr>
      </w:pPr>
      <w:r w:rsidRPr="007305C7">
        <w:rPr>
          <w:rFonts w:ascii="Arial" w:hAnsi="Arial" w:cs="Arial"/>
        </w:rPr>
        <w:t>GHS, GCS, and GPC were approved by the Ethics Committee of the State Chamber of Physicians of Rhineland-Palatinate and by local and federal data safety commissioners, the local ethics committee of the “Landesärztekammer Rheinland-Pfalz” (reference no.: GCS:2018–13720), and German Federal Data Protection Law (Bundesdatenschutzgesetz – BDSG; 2017), and the General Data Protection Regulation (Regulation (EU) 2016/679), respectively. The design, conduct, and analysis of these studies adhered to the ethical principles outlined in the Declaration of Helsinki and the methodological standards of Good Epidemiological Practice.</w:t>
      </w:r>
    </w:p>
    <w:p w14:paraId="43B206FC" w14:textId="77777777" w:rsidR="00B64A10" w:rsidRDefault="00B64A10" w:rsidP="00B64A10">
      <w:pPr>
        <w:pStyle w:val="Heading1"/>
        <w:spacing w:before="0" w:after="0" w:line="360" w:lineRule="auto"/>
        <w:rPr>
          <w:b/>
          <w:sz w:val="22"/>
        </w:rPr>
      </w:pPr>
    </w:p>
    <w:p w14:paraId="0F488EA4" w14:textId="59203585" w:rsidR="007305C7" w:rsidRPr="007305C7" w:rsidRDefault="007305C7" w:rsidP="00B64A10">
      <w:pPr>
        <w:pStyle w:val="Heading1"/>
        <w:spacing w:before="0" w:after="0" w:line="360" w:lineRule="auto"/>
        <w:rPr>
          <w:b/>
          <w:sz w:val="22"/>
        </w:rPr>
      </w:pPr>
      <w:r>
        <w:rPr>
          <w:b/>
          <w:sz w:val="22"/>
        </w:rPr>
        <w:t>High-throughput p</w:t>
      </w:r>
      <w:r w:rsidRPr="0039099C">
        <w:rPr>
          <w:b/>
          <w:sz w:val="22"/>
        </w:rPr>
        <w:t>roteomic profiling</w:t>
      </w:r>
    </w:p>
    <w:p w14:paraId="6D94E5AB" w14:textId="77777777" w:rsidR="007305C7" w:rsidRPr="007305C7" w:rsidRDefault="007305C7" w:rsidP="00B64A10">
      <w:pPr>
        <w:spacing w:after="0" w:line="360" w:lineRule="auto"/>
        <w:jc w:val="both"/>
        <w:rPr>
          <w:rFonts w:ascii="Arial" w:hAnsi="Arial" w:cs="Arial"/>
        </w:rPr>
      </w:pPr>
      <w:r w:rsidRPr="007305C7">
        <w:rPr>
          <w:rFonts w:ascii="Arial" w:hAnsi="Arial" w:cs="Arial"/>
        </w:rPr>
        <w:t xml:space="preserve">Briefly, antibody-conjugated probes (each targeting a specific protein) are distributed across the panels. Each panel includes controls for quality assurance (interleukin-6, interleukin-8, tumor necrosis factor). Following overnight incubation for target capture, a two-step amplification process occurs. Complementary probes hybridize and extend, and the resulting DNA is amplified by PCR and indexed for sequencing on the Illumina NovaSeq platform. Stringent quality control measures are implemented. Internal controls (incubation, extension, amplification) assess intra-assay variability, while external controls (negative control, plate controls) determine the detection limit and adjust for inter-plate variations. Additionally, two known samples serve as controls to evaluate measurement precision. </w:t>
      </w:r>
    </w:p>
    <w:p w14:paraId="1E598F68" w14:textId="77777777" w:rsidR="00B64A10" w:rsidRDefault="00B64A10" w:rsidP="00B64A10">
      <w:pPr>
        <w:spacing w:after="0" w:line="360" w:lineRule="auto"/>
        <w:jc w:val="both"/>
        <w:rPr>
          <w:rFonts w:ascii="Arial" w:eastAsia="Arial" w:hAnsi="Arial" w:cs="Arial"/>
          <w:b/>
          <w:szCs w:val="40"/>
          <w:lang w:val="en" w:eastAsia="de-DE"/>
        </w:rPr>
      </w:pPr>
    </w:p>
    <w:p w14:paraId="043BC4E4" w14:textId="4D35A722" w:rsidR="007305C7" w:rsidRPr="007305C7" w:rsidRDefault="007305C7" w:rsidP="00B64A10">
      <w:pPr>
        <w:spacing w:after="0" w:line="360" w:lineRule="auto"/>
        <w:jc w:val="both"/>
        <w:rPr>
          <w:rFonts w:ascii="Arial" w:eastAsia="Arial" w:hAnsi="Arial" w:cs="Arial"/>
          <w:b/>
          <w:szCs w:val="40"/>
          <w:lang w:val="en" w:eastAsia="de-DE"/>
        </w:rPr>
      </w:pPr>
      <w:r w:rsidRPr="007305C7">
        <w:rPr>
          <w:rFonts w:ascii="Arial" w:eastAsia="Arial" w:hAnsi="Arial" w:cs="Arial"/>
          <w:b/>
          <w:szCs w:val="40"/>
          <w:lang w:val="en" w:eastAsia="de-DE"/>
        </w:rPr>
        <w:t>Polygenic risk scores</w:t>
      </w:r>
    </w:p>
    <w:p w14:paraId="03FD045F" w14:textId="77777777" w:rsidR="007305C7" w:rsidRDefault="007305C7" w:rsidP="00B64A10">
      <w:pPr>
        <w:spacing w:after="0" w:line="360" w:lineRule="auto"/>
        <w:jc w:val="both"/>
        <w:rPr>
          <w:rFonts w:ascii="Arial" w:hAnsi="Arial" w:cs="Arial"/>
        </w:rPr>
      </w:pPr>
      <w:r w:rsidRPr="007305C7">
        <w:rPr>
          <w:rFonts w:ascii="Arial" w:hAnsi="Arial" w:cs="Arial"/>
        </w:rPr>
        <w:t>Initially, Single Nucleotide Polymorphisms (SNPs) and their corresponding coefficient estimates, associated with each risk factor, were procured from the GWAS catalog of the National Human Genome Research Institute-European Bioinformatics Institute (NHGRI-EBI) [1]. Subsequently, these risk factor SNPs were selectively extracted from the GCS individuals whose genetic information is available as a part of data in the GHS cohort. Variants exhibiting low imputation quality (r</w:t>
      </w:r>
      <w:r w:rsidRPr="009A14A9">
        <w:rPr>
          <w:rFonts w:ascii="Arial" w:hAnsi="Arial" w:cs="Arial"/>
          <w:vertAlign w:val="superscript"/>
        </w:rPr>
        <w:t>2</w:t>
      </w:r>
      <w:r w:rsidRPr="007305C7">
        <w:rPr>
          <w:rFonts w:ascii="Arial" w:hAnsi="Arial" w:cs="Arial"/>
        </w:rPr>
        <w:t xml:space="preserve"> &lt; 0.8), missing effect size or risk allele in the GWAS catalog summary statistics, or devoid of variance in the data were systematically excluded. When multiple coefficient estimates were reported for the same SNP–trait pair, a meta-analysis was conducted before adopting the pooled estimate of these effect sizes. Variants demonstrating extreme effect sizes (i.e., OR &gt; 5 or &lt;0.2) were discarded. The score was then computed using the remaining variants.</w:t>
      </w:r>
    </w:p>
    <w:p w14:paraId="1C9D6411" w14:textId="77777777" w:rsidR="007305C7" w:rsidRDefault="007305C7" w:rsidP="007305C7">
      <w:pPr>
        <w:spacing w:line="360" w:lineRule="auto"/>
        <w:jc w:val="both"/>
        <w:rPr>
          <w:rFonts w:ascii="Arial" w:hAnsi="Arial" w:cs="Arial"/>
        </w:rPr>
      </w:pPr>
    </w:p>
    <w:p w14:paraId="5D149274" w14:textId="77777777" w:rsidR="007305C7" w:rsidRDefault="007305C7" w:rsidP="007305C7">
      <w:pPr>
        <w:spacing w:line="360" w:lineRule="auto"/>
        <w:jc w:val="both"/>
        <w:rPr>
          <w:rFonts w:ascii="Arial" w:hAnsi="Arial" w:cs="Arial"/>
        </w:rPr>
      </w:pPr>
    </w:p>
    <w:p w14:paraId="79434168" w14:textId="77777777" w:rsidR="007305C7" w:rsidRDefault="007305C7" w:rsidP="007305C7">
      <w:pPr>
        <w:spacing w:line="360" w:lineRule="auto"/>
        <w:jc w:val="both"/>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4248"/>
        <w:gridCol w:w="1701"/>
        <w:gridCol w:w="1559"/>
      </w:tblGrid>
      <w:tr w:rsidR="007305C7" w:rsidRPr="007305C7" w14:paraId="503B85FF" w14:textId="77777777" w:rsidTr="00B64A10">
        <w:trPr>
          <w:tblHeader/>
        </w:trPr>
        <w:tc>
          <w:tcPr>
            <w:tcW w:w="4248" w:type="dxa"/>
            <w:tcBorders>
              <w:bottom w:val="single" w:sz="4" w:space="0" w:color="auto"/>
            </w:tcBorders>
            <w:tcMar>
              <w:top w:w="15" w:type="dxa"/>
              <w:left w:w="0" w:type="dxa"/>
              <w:bottom w:w="15" w:type="dxa"/>
              <w:right w:w="15" w:type="dxa"/>
            </w:tcMar>
            <w:vAlign w:val="center"/>
            <w:hideMark/>
          </w:tcPr>
          <w:p w14:paraId="243127BF" w14:textId="77777777" w:rsidR="007305C7" w:rsidRPr="007305C7" w:rsidRDefault="007305C7" w:rsidP="007305C7">
            <w:pPr>
              <w:spacing w:after="0" w:line="240" w:lineRule="auto"/>
              <w:rPr>
                <w:rFonts w:ascii="Arial" w:eastAsia="Times New Roman" w:hAnsi="Arial" w:cs="Arial"/>
                <w:b/>
                <w:bCs/>
                <w:color w:val="404040"/>
              </w:rPr>
            </w:pPr>
            <w:r w:rsidRPr="007305C7">
              <w:rPr>
                <w:rFonts w:ascii="Arial" w:eastAsia="Times New Roman" w:hAnsi="Arial" w:cs="Arial"/>
                <w:b/>
                <w:bCs/>
                <w:color w:val="404040"/>
              </w:rPr>
              <w:t>Symptom</w:t>
            </w:r>
          </w:p>
        </w:tc>
        <w:tc>
          <w:tcPr>
            <w:tcW w:w="1701" w:type="dxa"/>
            <w:tcBorders>
              <w:bottom w:val="single" w:sz="4" w:space="0" w:color="auto"/>
            </w:tcBorders>
            <w:vAlign w:val="center"/>
            <w:hideMark/>
          </w:tcPr>
          <w:p w14:paraId="0CCE92B2" w14:textId="5B999353" w:rsidR="007305C7" w:rsidRPr="007305C7" w:rsidRDefault="007305C7" w:rsidP="007305C7">
            <w:pPr>
              <w:spacing w:after="0" w:line="240" w:lineRule="auto"/>
              <w:rPr>
                <w:rFonts w:ascii="Arial" w:eastAsia="Times New Roman" w:hAnsi="Arial" w:cs="Arial"/>
                <w:b/>
                <w:bCs/>
                <w:color w:val="404040"/>
              </w:rPr>
            </w:pPr>
            <w:r w:rsidRPr="007305C7">
              <w:rPr>
                <w:rFonts w:ascii="Arial" w:eastAsia="Times New Roman" w:hAnsi="Arial" w:cs="Arial"/>
                <w:b/>
                <w:bCs/>
                <w:color w:val="404040"/>
              </w:rPr>
              <w:t>No</w:t>
            </w:r>
            <w:r w:rsidR="002A0D8B">
              <w:rPr>
                <w:rFonts w:ascii="Arial" w:eastAsia="Times New Roman" w:hAnsi="Arial" w:cs="Arial"/>
                <w:b/>
                <w:bCs/>
                <w:color w:val="404040"/>
              </w:rPr>
              <w:t>t reported</w:t>
            </w:r>
          </w:p>
        </w:tc>
        <w:tc>
          <w:tcPr>
            <w:tcW w:w="1559" w:type="dxa"/>
            <w:tcBorders>
              <w:bottom w:val="single" w:sz="4" w:space="0" w:color="auto"/>
            </w:tcBorders>
            <w:vAlign w:val="center"/>
            <w:hideMark/>
          </w:tcPr>
          <w:p w14:paraId="6BDE7501" w14:textId="54E64EA8" w:rsidR="007305C7" w:rsidRPr="007305C7" w:rsidRDefault="002A0D8B" w:rsidP="007305C7">
            <w:pPr>
              <w:spacing w:after="0" w:line="240" w:lineRule="auto"/>
              <w:rPr>
                <w:rFonts w:ascii="Arial" w:eastAsia="Times New Roman" w:hAnsi="Arial" w:cs="Arial"/>
                <w:b/>
                <w:bCs/>
                <w:color w:val="404040"/>
              </w:rPr>
            </w:pPr>
            <w:r>
              <w:rPr>
                <w:rFonts w:ascii="Arial" w:eastAsia="Times New Roman" w:hAnsi="Arial" w:cs="Arial"/>
                <w:b/>
                <w:bCs/>
                <w:color w:val="404040"/>
              </w:rPr>
              <w:t>Reported</w:t>
            </w:r>
          </w:p>
        </w:tc>
      </w:tr>
      <w:tr w:rsidR="007305C7" w:rsidRPr="007305C7" w14:paraId="5DE6DDF8" w14:textId="77777777" w:rsidTr="00B64A10">
        <w:tc>
          <w:tcPr>
            <w:tcW w:w="4248" w:type="dxa"/>
            <w:tcBorders>
              <w:top w:val="single" w:sz="4" w:space="0" w:color="auto"/>
            </w:tcBorders>
            <w:tcMar>
              <w:top w:w="15" w:type="dxa"/>
              <w:left w:w="0" w:type="dxa"/>
              <w:bottom w:w="15" w:type="dxa"/>
              <w:right w:w="15" w:type="dxa"/>
            </w:tcMar>
            <w:vAlign w:val="center"/>
            <w:hideMark/>
          </w:tcPr>
          <w:p w14:paraId="1690715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Fatigue/tiredness</w:t>
            </w:r>
          </w:p>
        </w:tc>
        <w:tc>
          <w:tcPr>
            <w:tcW w:w="1701" w:type="dxa"/>
            <w:tcBorders>
              <w:top w:val="single" w:sz="4" w:space="0" w:color="auto"/>
            </w:tcBorders>
            <w:vAlign w:val="center"/>
            <w:hideMark/>
          </w:tcPr>
          <w:p w14:paraId="3E59BB9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437</w:t>
            </w:r>
          </w:p>
        </w:tc>
        <w:tc>
          <w:tcPr>
            <w:tcW w:w="1559" w:type="dxa"/>
            <w:tcBorders>
              <w:top w:val="single" w:sz="4" w:space="0" w:color="auto"/>
            </w:tcBorders>
            <w:vAlign w:val="center"/>
            <w:hideMark/>
          </w:tcPr>
          <w:p w14:paraId="137DD87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58</w:t>
            </w:r>
          </w:p>
        </w:tc>
      </w:tr>
      <w:tr w:rsidR="007305C7" w:rsidRPr="007305C7" w14:paraId="31DDC5EE" w14:textId="77777777" w:rsidTr="00B64A10">
        <w:tc>
          <w:tcPr>
            <w:tcW w:w="4248" w:type="dxa"/>
            <w:tcMar>
              <w:top w:w="15" w:type="dxa"/>
              <w:left w:w="0" w:type="dxa"/>
              <w:bottom w:w="15" w:type="dxa"/>
              <w:right w:w="15" w:type="dxa"/>
            </w:tcMar>
            <w:vAlign w:val="center"/>
            <w:hideMark/>
          </w:tcPr>
          <w:p w14:paraId="7CDE538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Malaise</w:t>
            </w:r>
          </w:p>
        </w:tc>
        <w:tc>
          <w:tcPr>
            <w:tcW w:w="1701" w:type="dxa"/>
            <w:vAlign w:val="center"/>
            <w:hideMark/>
          </w:tcPr>
          <w:p w14:paraId="7837331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489</w:t>
            </w:r>
          </w:p>
        </w:tc>
        <w:tc>
          <w:tcPr>
            <w:tcW w:w="1559" w:type="dxa"/>
            <w:vAlign w:val="center"/>
            <w:hideMark/>
          </w:tcPr>
          <w:p w14:paraId="78B0CE0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6</w:t>
            </w:r>
          </w:p>
        </w:tc>
      </w:tr>
      <w:tr w:rsidR="007305C7" w:rsidRPr="007305C7" w14:paraId="58875CA1" w14:textId="77777777" w:rsidTr="00B64A10">
        <w:tc>
          <w:tcPr>
            <w:tcW w:w="4248" w:type="dxa"/>
            <w:tcMar>
              <w:top w:w="15" w:type="dxa"/>
              <w:left w:w="0" w:type="dxa"/>
              <w:bottom w:w="15" w:type="dxa"/>
              <w:right w:w="15" w:type="dxa"/>
            </w:tcMar>
            <w:vAlign w:val="center"/>
            <w:hideMark/>
          </w:tcPr>
          <w:p w14:paraId="23FF030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Fever</w:t>
            </w:r>
          </w:p>
        </w:tc>
        <w:tc>
          <w:tcPr>
            <w:tcW w:w="1701" w:type="dxa"/>
            <w:vAlign w:val="center"/>
            <w:hideMark/>
          </w:tcPr>
          <w:p w14:paraId="09239C3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494</w:t>
            </w:r>
          </w:p>
        </w:tc>
        <w:tc>
          <w:tcPr>
            <w:tcW w:w="1559" w:type="dxa"/>
            <w:vAlign w:val="center"/>
            <w:hideMark/>
          </w:tcPr>
          <w:p w14:paraId="362C320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w:t>
            </w:r>
          </w:p>
        </w:tc>
      </w:tr>
      <w:tr w:rsidR="007305C7" w:rsidRPr="007305C7" w14:paraId="75FEDE7B" w14:textId="77777777" w:rsidTr="00B64A10">
        <w:tc>
          <w:tcPr>
            <w:tcW w:w="4248" w:type="dxa"/>
            <w:tcMar>
              <w:top w:w="15" w:type="dxa"/>
              <w:left w:w="0" w:type="dxa"/>
              <w:bottom w:w="15" w:type="dxa"/>
              <w:right w:w="15" w:type="dxa"/>
            </w:tcMar>
            <w:vAlign w:val="center"/>
            <w:hideMark/>
          </w:tcPr>
          <w:p w14:paraId="5BF9678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Chills</w:t>
            </w:r>
          </w:p>
        </w:tc>
        <w:tc>
          <w:tcPr>
            <w:tcW w:w="1701" w:type="dxa"/>
            <w:vAlign w:val="center"/>
            <w:hideMark/>
          </w:tcPr>
          <w:p w14:paraId="0A05741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492</w:t>
            </w:r>
          </w:p>
        </w:tc>
        <w:tc>
          <w:tcPr>
            <w:tcW w:w="1559" w:type="dxa"/>
            <w:vAlign w:val="center"/>
            <w:hideMark/>
          </w:tcPr>
          <w:p w14:paraId="0E44871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w:t>
            </w:r>
          </w:p>
        </w:tc>
      </w:tr>
      <w:tr w:rsidR="007305C7" w:rsidRPr="007305C7" w14:paraId="193AB6F6" w14:textId="77777777" w:rsidTr="00B64A10">
        <w:tc>
          <w:tcPr>
            <w:tcW w:w="4248" w:type="dxa"/>
            <w:tcMar>
              <w:top w:w="15" w:type="dxa"/>
              <w:left w:w="0" w:type="dxa"/>
              <w:bottom w:w="15" w:type="dxa"/>
              <w:right w:w="15" w:type="dxa"/>
            </w:tcMar>
            <w:vAlign w:val="center"/>
            <w:hideMark/>
          </w:tcPr>
          <w:p w14:paraId="4DAA1B2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Cough (dry cough)</w:t>
            </w:r>
          </w:p>
        </w:tc>
        <w:tc>
          <w:tcPr>
            <w:tcW w:w="1701" w:type="dxa"/>
            <w:vAlign w:val="center"/>
            <w:hideMark/>
          </w:tcPr>
          <w:p w14:paraId="11E18F5A"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479</w:t>
            </w:r>
          </w:p>
        </w:tc>
        <w:tc>
          <w:tcPr>
            <w:tcW w:w="1559" w:type="dxa"/>
            <w:vAlign w:val="center"/>
            <w:hideMark/>
          </w:tcPr>
          <w:p w14:paraId="154528C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16</w:t>
            </w:r>
          </w:p>
        </w:tc>
      </w:tr>
      <w:tr w:rsidR="007305C7" w:rsidRPr="007305C7" w14:paraId="1E124E98" w14:textId="77777777" w:rsidTr="00B64A10">
        <w:tc>
          <w:tcPr>
            <w:tcW w:w="4248" w:type="dxa"/>
            <w:tcMar>
              <w:top w:w="15" w:type="dxa"/>
              <w:left w:w="0" w:type="dxa"/>
              <w:bottom w:w="15" w:type="dxa"/>
              <w:right w:w="15" w:type="dxa"/>
            </w:tcMar>
            <w:vAlign w:val="center"/>
            <w:hideMark/>
          </w:tcPr>
          <w:p w14:paraId="7C89AC38"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Sore throat or scratching</w:t>
            </w:r>
          </w:p>
        </w:tc>
        <w:tc>
          <w:tcPr>
            <w:tcW w:w="1701" w:type="dxa"/>
            <w:vAlign w:val="center"/>
            <w:hideMark/>
          </w:tcPr>
          <w:p w14:paraId="48A0CAA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488</w:t>
            </w:r>
          </w:p>
        </w:tc>
        <w:tc>
          <w:tcPr>
            <w:tcW w:w="1559" w:type="dxa"/>
            <w:vAlign w:val="center"/>
            <w:hideMark/>
          </w:tcPr>
          <w:p w14:paraId="5B8BD25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7</w:t>
            </w:r>
          </w:p>
        </w:tc>
      </w:tr>
      <w:tr w:rsidR="007305C7" w:rsidRPr="007305C7" w14:paraId="1771CBBA" w14:textId="77777777" w:rsidTr="00B64A10">
        <w:tc>
          <w:tcPr>
            <w:tcW w:w="4248" w:type="dxa"/>
            <w:tcMar>
              <w:top w:w="15" w:type="dxa"/>
              <w:left w:w="0" w:type="dxa"/>
              <w:bottom w:w="15" w:type="dxa"/>
              <w:right w:w="15" w:type="dxa"/>
            </w:tcMar>
            <w:vAlign w:val="center"/>
            <w:hideMark/>
          </w:tcPr>
          <w:p w14:paraId="3F5DED0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Hoarseness</w:t>
            </w:r>
          </w:p>
        </w:tc>
        <w:tc>
          <w:tcPr>
            <w:tcW w:w="1701" w:type="dxa"/>
            <w:vAlign w:val="center"/>
            <w:hideMark/>
          </w:tcPr>
          <w:p w14:paraId="115A9D7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490</w:t>
            </w:r>
          </w:p>
        </w:tc>
        <w:tc>
          <w:tcPr>
            <w:tcW w:w="1559" w:type="dxa"/>
            <w:vAlign w:val="center"/>
            <w:hideMark/>
          </w:tcPr>
          <w:p w14:paraId="5C572D4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5</w:t>
            </w:r>
          </w:p>
        </w:tc>
      </w:tr>
      <w:tr w:rsidR="007305C7" w:rsidRPr="007305C7" w14:paraId="302E8EF1" w14:textId="77777777" w:rsidTr="00B64A10">
        <w:tc>
          <w:tcPr>
            <w:tcW w:w="4248" w:type="dxa"/>
            <w:tcMar>
              <w:top w:w="15" w:type="dxa"/>
              <w:left w:w="0" w:type="dxa"/>
              <w:bottom w:w="15" w:type="dxa"/>
              <w:right w:w="15" w:type="dxa"/>
            </w:tcMar>
            <w:vAlign w:val="center"/>
            <w:hideMark/>
          </w:tcPr>
          <w:p w14:paraId="03A14F81"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Runny nose</w:t>
            </w:r>
          </w:p>
        </w:tc>
        <w:tc>
          <w:tcPr>
            <w:tcW w:w="1701" w:type="dxa"/>
            <w:vAlign w:val="center"/>
            <w:hideMark/>
          </w:tcPr>
          <w:p w14:paraId="5E73AC6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489</w:t>
            </w:r>
          </w:p>
        </w:tc>
        <w:tc>
          <w:tcPr>
            <w:tcW w:w="1559" w:type="dxa"/>
            <w:vAlign w:val="center"/>
            <w:hideMark/>
          </w:tcPr>
          <w:p w14:paraId="16AAC40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6</w:t>
            </w:r>
          </w:p>
        </w:tc>
      </w:tr>
      <w:tr w:rsidR="007305C7" w:rsidRPr="007305C7" w14:paraId="6868A501" w14:textId="77777777" w:rsidTr="00B64A10">
        <w:tc>
          <w:tcPr>
            <w:tcW w:w="4248" w:type="dxa"/>
            <w:tcMar>
              <w:top w:w="15" w:type="dxa"/>
              <w:left w:w="0" w:type="dxa"/>
              <w:bottom w:w="15" w:type="dxa"/>
              <w:right w:w="15" w:type="dxa"/>
            </w:tcMar>
            <w:vAlign w:val="center"/>
            <w:hideMark/>
          </w:tcPr>
          <w:p w14:paraId="052E83F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Headache</w:t>
            </w:r>
          </w:p>
        </w:tc>
        <w:tc>
          <w:tcPr>
            <w:tcW w:w="1701" w:type="dxa"/>
            <w:vAlign w:val="center"/>
            <w:hideMark/>
          </w:tcPr>
          <w:p w14:paraId="6488D74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478</w:t>
            </w:r>
          </w:p>
        </w:tc>
        <w:tc>
          <w:tcPr>
            <w:tcW w:w="1559" w:type="dxa"/>
            <w:vAlign w:val="center"/>
            <w:hideMark/>
          </w:tcPr>
          <w:p w14:paraId="70B8462A"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17</w:t>
            </w:r>
          </w:p>
        </w:tc>
      </w:tr>
      <w:tr w:rsidR="007305C7" w:rsidRPr="007305C7" w14:paraId="6F4526B3" w14:textId="77777777" w:rsidTr="00B64A10">
        <w:tc>
          <w:tcPr>
            <w:tcW w:w="4248" w:type="dxa"/>
            <w:tcMar>
              <w:top w:w="15" w:type="dxa"/>
              <w:left w:w="0" w:type="dxa"/>
              <w:bottom w:w="15" w:type="dxa"/>
              <w:right w:w="15" w:type="dxa"/>
            </w:tcMar>
            <w:vAlign w:val="center"/>
            <w:hideMark/>
          </w:tcPr>
          <w:p w14:paraId="118EF8F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Breathlessness or shortness of breath</w:t>
            </w:r>
          </w:p>
        </w:tc>
        <w:tc>
          <w:tcPr>
            <w:tcW w:w="1701" w:type="dxa"/>
            <w:vAlign w:val="center"/>
            <w:hideMark/>
          </w:tcPr>
          <w:p w14:paraId="34F31C1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455</w:t>
            </w:r>
          </w:p>
        </w:tc>
        <w:tc>
          <w:tcPr>
            <w:tcW w:w="1559" w:type="dxa"/>
            <w:vAlign w:val="center"/>
            <w:hideMark/>
          </w:tcPr>
          <w:p w14:paraId="6D8A575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40</w:t>
            </w:r>
          </w:p>
        </w:tc>
      </w:tr>
      <w:tr w:rsidR="007305C7" w:rsidRPr="007305C7" w14:paraId="41BDAC91" w14:textId="77777777" w:rsidTr="00B64A10">
        <w:tc>
          <w:tcPr>
            <w:tcW w:w="4248" w:type="dxa"/>
            <w:tcMar>
              <w:top w:w="15" w:type="dxa"/>
              <w:left w:w="0" w:type="dxa"/>
              <w:bottom w:w="15" w:type="dxa"/>
              <w:right w:w="15" w:type="dxa"/>
            </w:tcMar>
            <w:vAlign w:val="center"/>
            <w:hideMark/>
          </w:tcPr>
          <w:p w14:paraId="4AEAA487"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Pain when breathing</w:t>
            </w:r>
          </w:p>
        </w:tc>
        <w:tc>
          <w:tcPr>
            <w:tcW w:w="1701" w:type="dxa"/>
            <w:vAlign w:val="center"/>
            <w:hideMark/>
          </w:tcPr>
          <w:p w14:paraId="26B6A07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491</w:t>
            </w:r>
          </w:p>
        </w:tc>
        <w:tc>
          <w:tcPr>
            <w:tcW w:w="1559" w:type="dxa"/>
            <w:vAlign w:val="center"/>
            <w:hideMark/>
          </w:tcPr>
          <w:p w14:paraId="4737C64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w:t>
            </w:r>
          </w:p>
        </w:tc>
      </w:tr>
      <w:tr w:rsidR="007305C7" w:rsidRPr="007305C7" w14:paraId="59371504" w14:textId="77777777" w:rsidTr="00B64A10">
        <w:tc>
          <w:tcPr>
            <w:tcW w:w="4248" w:type="dxa"/>
            <w:tcMar>
              <w:top w:w="15" w:type="dxa"/>
              <w:left w:w="0" w:type="dxa"/>
              <w:bottom w:w="15" w:type="dxa"/>
              <w:right w:w="15" w:type="dxa"/>
            </w:tcMar>
            <w:vAlign w:val="center"/>
            <w:hideMark/>
          </w:tcPr>
          <w:p w14:paraId="2492014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Whistling or gasping breathing</w:t>
            </w:r>
          </w:p>
        </w:tc>
        <w:tc>
          <w:tcPr>
            <w:tcW w:w="1701" w:type="dxa"/>
            <w:vAlign w:val="center"/>
            <w:hideMark/>
          </w:tcPr>
          <w:p w14:paraId="1048E3E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493</w:t>
            </w:r>
          </w:p>
        </w:tc>
        <w:tc>
          <w:tcPr>
            <w:tcW w:w="1559" w:type="dxa"/>
            <w:vAlign w:val="center"/>
            <w:hideMark/>
          </w:tcPr>
          <w:p w14:paraId="575B00B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2</w:t>
            </w:r>
          </w:p>
        </w:tc>
      </w:tr>
      <w:tr w:rsidR="007305C7" w:rsidRPr="007305C7" w14:paraId="4D9624D8" w14:textId="77777777" w:rsidTr="00B64A10">
        <w:tc>
          <w:tcPr>
            <w:tcW w:w="4248" w:type="dxa"/>
            <w:tcMar>
              <w:top w:w="15" w:type="dxa"/>
              <w:left w:w="0" w:type="dxa"/>
              <w:bottom w:w="15" w:type="dxa"/>
              <w:right w:w="15" w:type="dxa"/>
            </w:tcMar>
            <w:vAlign w:val="center"/>
            <w:hideMark/>
          </w:tcPr>
          <w:p w14:paraId="312E1E8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Chest pain</w:t>
            </w:r>
          </w:p>
        </w:tc>
        <w:tc>
          <w:tcPr>
            <w:tcW w:w="1701" w:type="dxa"/>
            <w:vAlign w:val="center"/>
            <w:hideMark/>
          </w:tcPr>
          <w:p w14:paraId="5157213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483</w:t>
            </w:r>
          </w:p>
        </w:tc>
        <w:tc>
          <w:tcPr>
            <w:tcW w:w="1559" w:type="dxa"/>
            <w:vAlign w:val="center"/>
            <w:hideMark/>
          </w:tcPr>
          <w:p w14:paraId="16A185C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12</w:t>
            </w:r>
          </w:p>
        </w:tc>
      </w:tr>
      <w:tr w:rsidR="007305C7" w:rsidRPr="007305C7" w14:paraId="6EDE8705" w14:textId="77777777" w:rsidTr="00B64A10">
        <w:tc>
          <w:tcPr>
            <w:tcW w:w="4248" w:type="dxa"/>
            <w:tcMar>
              <w:top w:w="15" w:type="dxa"/>
              <w:left w:w="0" w:type="dxa"/>
              <w:bottom w:w="15" w:type="dxa"/>
              <w:right w:w="15" w:type="dxa"/>
            </w:tcMar>
            <w:vAlign w:val="center"/>
            <w:hideMark/>
          </w:tcPr>
          <w:p w14:paraId="14104E7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Palpitations</w:t>
            </w:r>
          </w:p>
        </w:tc>
        <w:tc>
          <w:tcPr>
            <w:tcW w:w="1701" w:type="dxa"/>
            <w:vAlign w:val="center"/>
            <w:hideMark/>
          </w:tcPr>
          <w:p w14:paraId="509FA09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481</w:t>
            </w:r>
          </w:p>
        </w:tc>
        <w:tc>
          <w:tcPr>
            <w:tcW w:w="1559" w:type="dxa"/>
            <w:vAlign w:val="center"/>
            <w:hideMark/>
          </w:tcPr>
          <w:p w14:paraId="16E1C8B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14</w:t>
            </w:r>
          </w:p>
        </w:tc>
      </w:tr>
      <w:tr w:rsidR="007305C7" w:rsidRPr="007305C7" w14:paraId="561967A8" w14:textId="77777777" w:rsidTr="00B64A10">
        <w:tc>
          <w:tcPr>
            <w:tcW w:w="4248" w:type="dxa"/>
            <w:tcMar>
              <w:top w:w="15" w:type="dxa"/>
              <w:left w:w="0" w:type="dxa"/>
              <w:bottom w:w="15" w:type="dxa"/>
              <w:right w:w="15" w:type="dxa"/>
            </w:tcMar>
            <w:vAlign w:val="center"/>
            <w:hideMark/>
          </w:tcPr>
          <w:p w14:paraId="69EEC9E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Olfactory disturbances</w:t>
            </w:r>
          </w:p>
        </w:tc>
        <w:tc>
          <w:tcPr>
            <w:tcW w:w="1701" w:type="dxa"/>
            <w:vAlign w:val="center"/>
            <w:hideMark/>
          </w:tcPr>
          <w:p w14:paraId="08C4326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449</w:t>
            </w:r>
          </w:p>
        </w:tc>
        <w:tc>
          <w:tcPr>
            <w:tcW w:w="1559" w:type="dxa"/>
            <w:vAlign w:val="center"/>
            <w:hideMark/>
          </w:tcPr>
          <w:p w14:paraId="69CF707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46</w:t>
            </w:r>
          </w:p>
        </w:tc>
      </w:tr>
      <w:tr w:rsidR="007305C7" w:rsidRPr="007305C7" w14:paraId="24C23DF9" w14:textId="77777777" w:rsidTr="00B64A10">
        <w:tc>
          <w:tcPr>
            <w:tcW w:w="4248" w:type="dxa"/>
            <w:tcMar>
              <w:top w:w="15" w:type="dxa"/>
              <w:left w:w="0" w:type="dxa"/>
              <w:bottom w:w="15" w:type="dxa"/>
              <w:right w:w="15" w:type="dxa"/>
            </w:tcMar>
            <w:vAlign w:val="center"/>
            <w:hideMark/>
          </w:tcPr>
          <w:p w14:paraId="27AA723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Taste disturbances</w:t>
            </w:r>
          </w:p>
        </w:tc>
        <w:tc>
          <w:tcPr>
            <w:tcW w:w="1701" w:type="dxa"/>
            <w:vAlign w:val="center"/>
            <w:hideMark/>
          </w:tcPr>
          <w:p w14:paraId="50EDA90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458</w:t>
            </w:r>
          </w:p>
        </w:tc>
        <w:tc>
          <w:tcPr>
            <w:tcW w:w="1559" w:type="dxa"/>
            <w:vAlign w:val="center"/>
            <w:hideMark/>
          </w:tcPr>
          <w:p w14:paraId="487AA96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37</w:t>
            </w:r>
          </w:p>
        </w:tc>
      </w:tr>
      <w:tr w:rsidR="007305C7" w:rsidRPr="007305C7" w14:paraId="51DDB650" w14:textId="77777777" w:rsidTr="00B64A10">
        <w:tc>
          <w:tcPr>
            <w:tcW w:w="4248" w:type="dxa"/>
            <w:tcMar>
              <w:top w:w="15" w:type="dxa"/>
              <w:left w:w="0" w:type="dxa"/>
              <w:bottom w:w="15" w:type="dxa"/>
              <w:right w:w="15" w:type="dxa"/>
            </w:tcMar>
            <w:vAlign w:val="center"/>
            <w:hideMark/>
          </w:tcPr>
          <w:p w14:paraId="4AD0339A"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Visual disturbances</w:t>
            </w:r>
          </w:p>
        </w:tc>
        <w:tc>
          <w:tcPr>
            <w:tcW w:w="1701" w:type="dxa"/>
            <w:vAlign w:val="center"/>
            <w:hideMark/>
          </w:tcPr>
          <w:p w14:paraId="305872F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486</w:t>
            </w:r>
          </w:p>
        </w:tc>
        <w:tc>
          <w:tcPr>
            <w:tcW w:w="1559" w:type="dxa"/>
            <w:vAlign w:val="center"/>
            <w:hideMark/>
          </w:tcPr>
          <w:p w14:paraId="4C4017C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9</w:t>
            </w:r>
          </w:p>
        </w:tc>
        <w:bookmarkStart w:id="1" w:name="_GoBack"/>
        <w:bookmarkEnd w:id="1"/>
      </w:tr>
      <w:tr w:rsidR="007305C7" w:rsidRPr="007305C7" w14:paraId="11D4BC2C" w14:textId="77777777" w:rsidTr="00B64A10">
        <w:tc>
          <w:tcPr>
            <w:tcW w:w="4248" w:type="dxa"/>
            <w:tcMar>
              <w:top w:w="15" w:type="dxa"/>
              <w:left w:w="0" w:type="dxa"/>
              <w:bottom w:w="15" w:type="dxa"/>
              <w:right w:w="15" w:type="dxa"/>
            </w:tcMar>
            <w:vAlign w:val="center"/>
            <w:hideMark/>
          </w:tcPr>
          <w:p w14:paraId="41A806A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Conjunctivitis</w:t>
            </w:r>
          </w:p>
        </w:tc>
        <w:tc>
          <w:tcPr>
            <w:tcW w:w="1701" w:type="dxa"/>
            <w:vAlign w:val="center"/>
            <w:hideMark/>
          </w:tcPr>
          <w:p w14:paraId="661454F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493</w:t>
            </w:r>
          </w:p>
        </w:tc>
        <w:tc>
          <w:tcPr>
            <w:tcW w:w="1559" w:type="dxa"/>
            <w:vAlign w:val="center"/>
            <w:hideMark/>
          </w:tcPr>
          <w:p w14:paraId="350B695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2</w:t>
            </w:r>
          </w:p>
        </w:tc>
      </w:tr>
      <w:tr w:rsidR="007305C7" w:rsidRPr="007305C7" w14:paraId="014DA422" w14:textId="77777777" w:rsidTr="00B64A10">
        <w:tc>
          <w:tcPr>
            <w:tcW w:w="4248" w:type="dxa"/>
            <w:tcMar>
              <w:top w:w="15" w:type="dxa"/>
              <w:left w:w="0" w:type="dxa"/>
              <w:bottom w:w="15" w:type="dxa"/>
              <w:right w:w="15" w:type="dxa"/>
            </w:tcMar>
            <w:vAlign w:val="center"/>
            <w:hideMark/>
          </w:tcPr>
          <w:p w14:paraId="294392B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Hearing problems</w:t>
            </w:r>
          </w:p>
        </w:tc>
        <w:tc>
          <w:tcPr>
            <w:tcW w:w="1701" w:type="dxa"/>
            <w:vAlign w:val="center"/>
            <w:hideMark/>
          </w:tcPr>
          <w:p w14:paraId="206143B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487</w:t>
            </w:r>
          </w:p>
        </w:tc>
        <w:tc>
          <w:tcPr>
            <w:tcW w:w="1559" w:type="dxa"/>
            <w:vAlign w:val="center"/>
            <w:hideMark/>
          </w:tcPr>
          <w:p w14:paraId="4E6E876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8</w:t>
            </w:r>
          </w:p>
        </w:tc>
      </w:tr>
      <w:tr w:rsidR="007305C7" w:rsidRPr="007305C7" w14:paraId="4216B20B" w14:textId="77777777" w:rsidTr="00B64A10">
        <w:tc>
          <w:tcPr>
            <w:tcW w:w="4248" w:type="dxa"/>
            <w:tcMar>
              <w:top w:w="15" w:type="dxa"/>
              <w:left w:w="0" w:type="dxa"/>
              <w:bottom w:w="15" w:type="dxa"/>
              <w:right w:w="15" w:type="dxa"/>
            </w:tcMar>
            <w:vAlign w:val="center"/>
            <w:hideMark/>
          </w:tcPr>
          <w:p w14:paraId="1A9E6FCA"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Tinnitus</w:t>
            </w:r>
          </w:p>
        </w:tc>
        <w:tc>
          <w:tcPr>
            <w:tcW w:w="1701" w:type="dxa"/>
            <w:vAlign w:val="center"/>
            <w:hideMark/>
          </w:tcPr>
          <w:p w14:paraId="4B335E2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488</w:t>
            </w:r>
          </w:p>
        </w:tc>
        <w:tc>
          <w:tcPr>
            <w:tcW w:w="1559" w:type="dxa"/>
            <w:vAlign w:val="center"/>
            <w:hideMark/>
          </w:tcPr>
          <w:p w14:paraId="0CAF748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7</w:t>
            </w:r>
          </w:p>
        </w:tc>
      </w:tr>
      <w:tr w:rsidR="007305C7" w:rsidRPr="007305C7" w14:paraId="2091C89D" w14:textId="77777777" w:rsidTr="00B64A10">
        <w:tc>
          <w:tcPr>
            <w:tcW w:w="4248" w:type="dxa"/>
            <w:tcMar>
              <w:top w:w="15" w:type="dxa"/>
              <w:left w:w="0" w:type="dxa"/>
              <w:bottom w:w="15" w:type="dxa"/>
              <w:right w:w="15" w:type="dxa"/>
            </w:tcMar>
            <w:vAlign w:val="center"/>
            <w:hideMark/>
          </w:tcPr>
          <w:p w14:paraId="7BB916A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Memory problems</w:t>
            </w:r>
          </w:p>
        </w:tc>
        <w:tc>
          <w:tcPr>
            <w:tcW w:w="1701" w:type="dxa"/>
            <w:vAlign w:val="center"/>
            <w:hideMark/>
          </w:tcPr>
          <w:p w14:paraId="06A6E98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464</w:t>
            </w:r>
          </w:p>
        </w:tc>
        <w:tc>
          <w:tcPr>
            <w:tcW w:w="1559" w:type="dxa"/>
            <w:vAlign w:val="center"/>
            <w:hideMark/>
          </w:tcPr>
          <w:p w14:paraId="4C59800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31</w:t>
            </w:r>
          </w:p>
        </w:tc>
      </w:tr>
      <w:tr w:rsidR="007305C7" w:rsidRPr="007305C7" w14:paraId="56293F75" w14:textId="77777777" w:rsidTr="00B64A10">
        <w:tc>
          <w:tcPr>
            <w:tcW w:w="4248" w:type="dxa"/>
            <w:tcMar>
              <w:top w:w="15" w:type="dxa"/>
              <w:left w:w="0" w:type="dxa"/>
              <w:bottom w:w="15" w:type="dxa"/>
              <w:right w:w="15" w:type="dxa"/>
            </w:tcMar>
            <w:vAlign w:val="center"/>
            <w:hideMark/>
          </w:tcPr>
          <w:p w14:paraId="13CA05B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Confusion/consciousness disorders</w:t>
            </w:r>
          </w:p>
        </w:tc>
        <w:tc>
          <w:tcPr>
            <w:tcW w:w="1701" w:type="dxa"/>
            <w:vAlign w:val="center"/>
            <w:hideMark/>
          </w:tcPr>
          <w:p w14:paraId="484A907A"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491</w:t>
            </w:r>
          </w:p>
        </w:tc>
        <w:tc>
          <w:tcPr>
            <w:tcW w:w="1559" w:type="dxa"/>
            <w:vAlign w:val="center"/>
            <w:hideMark/>
          </w:tcPr>
          <w:p w14:paraId="6F958557"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w:t>
            </w:r>
          </w:p>
        </w:tc>
      </w:tr>
      <w:tr w:rsidR="007305C7" w:rsidRPr="007305C7" w14:paraId="5846496A" w14:textId="77777777" w:rsidTr="00B64A10">
        <w:tc>
          <w:tcPr>
            <w:tcW w:w="4248" w:type="dxa"/>
            <w:tcMar>
              <w:top w:w="15" w:type="dxa"/>
              <w:left w:w="0" w:type="dxa"/>
              <w:bottom w:w="15" w:type="dxa"/>
              <w:right w:w="15" w:type="dxa"/>
            </w:tcMar>
            <w:vAlign w:val="center"/>
            <w:hideMark/>
          </w:tcPr>
          <w:p w14:paraId="0774583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Concentration problems</w:t>
            </w:r>
          </w:p>
        </w:tc>
        <w:tc>
          <w:tcPr>
            <w:tcW w:w="1701" w:type="dxa"/>
            <w:vAlign w:val="center"/>
            <w:hideMark/>
          </w:tcPr>
          <w:p w14:paraId="1569720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455</w:t>
            </w:r>
          </w:p>
        </w:tc>
        <w:tc>
          <w:tcPr>
            <w:tcW w:w="1559" w:type="dxa"/>
            <w:vAlign w:val="center"/>
            <w:hideMark/>
          </w:tcPr>
          <w:p w14:paraId="0949336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40</w:t>
            </w:r>
          </w:p>
        </w:tc>
      </w:tr>
      <w:tr w:rsidR="007305C7" w:rsidRPr="007305C7" w14:paraId="7F4E3E3E" w14:textId="77777777" w:rsidTr="00B64A10">
        <w:tc>
          <w:tcPr>
            <w:tcW w:w="4248" w:type="dxa"/>
            <w:tcMar>
              <w:top w:w="15" w:type="dxa"/>
              <w:left w:w="0" w:type="dxa"/>
              <w:bottom w:w="15" w:type="dxa"/>
              <w:right w:w="15" w:type="dxa"/>
            </w:tcMar>
            <w:vAlign w:val="center"/>
            <w:hideMark/>
          </w:tcPr>
          <w:p w14:paraId="1B7B5488"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Sleep disturbances</w:t>
            </w:r>
          </w:p>
        </w:tc>
        <w:tc>
          <w:tcPr>
            <w:tcW w:w="1701" w:type="dxa"/>
            <w:vAlign w:val="center"/>
            <w:hideMark/>
          </w:tcPr>
          <w:p w14:paraId="6566A3E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477</w:t>
            </w:r>
          </w:p>
        </w:tc>
        <w:tc>
          <w:tcPr>
            <w:tcW w:w="1559" w:type="dxa"/>
            <w:vAlign w:val="center"/>
            <w:hideMark/>
          </w:tcPr>
          <w:p w14:paraId="2DAA74C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18</w:t>
            </w:r>
          </w:p>
        </w:tc>
      </w:tr>
      <w:tr w:rsidR="007305C7" w:rsidRPr="007305C7" w14:paraId="0FAD36C9" w14:textId="77777777" w:rsidTr="00B64A10">
        <w:tc>
          <w:tcPr>
            <w:tcW w:w="4248" w:type="dxa"/>
            <w:tcMar>
              <w:top w:w="15" w:type="dxa"/>
              <w:left w:w="0" w:type="dxa"/>
              <w:bottom w:w="15" w:type="dxa"/>
              <w:right w:w="15" w:type="dxa"/>
            </w:tcMar>
            <w:vAlign w:val="center"/>
            <w:hideMark/>
          </w:tcPr>
          <w:p w14:paraId="77B6D5D1"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Less Sleep</w:t>
            </w:r>
          </w:p>
        </w:tc>
        <w:tc>
          <w:tcPr>
            <w:tcW w:w="1701" w:type="dxa"/>
            <w:vAlign w:val="center"/>
            <w:hideMark/>
          </w:tcPr>
          <w:p w14:paraId="3C35B88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479</w:t>
            </w:r>
          </w:p>
        </w:tc>
        <w:tc>
          <w:tcPr>
            <w:tcW w:w="1559" w:type="dxa"/>
            <w:vAlign w:val="center"/>
            <w:hideMark/>
          </w:tcPr>
          <w:p w14:paraId="73F4C16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16</w:t>
            </w:r>
          </w:p>
        </w:tc>
      </w:tr>
      <w:tr w:rsidR="007305C7" w:rsidRPr="007305C7" w14:paraId="77965BE7" w14:textId="77777777" w:rsidTr="00B64A10">
        <w:tc>
          <w:tcPr>
            <w:tcW w:w="4248" w:type="dxa"/>
            <w:tcMar>
              <w:top w:w="15" w:type="dxa"/>
              <w:left w:w="0" w:type="dxa"/>
              <w:bottom w:w="15" w:type="dxa"/>
              <w:right w:w="15" w:type="dxa"/>
            </w:tcMar>
            <w:vAlign w:val="center"/>
            <w:hideMark/>
          </w:tcPr>
          <w:p w14:paraId="031B7BE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More Sleep</w:t>
            </w:r>
          </w:p>
        </w:tc>
        <w:tc>
          <w:tcPr>
            <w:tcW w:w="1701" w:type="dxa"/>
            <w:vAlign w:val="center"/>
            <w:hideMark/>
          </w:tcPr>
          <w:p w14:paraId="506C762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486</w:t>
            </w:r>
          </w:p>
        </w:tc>
        <w:tc>
          <w:tcPr>
            <w:tcW w:w="1559" w:type="dxa"/>
            <w:vAlign w:val="center"/>
            <w:hideMark/>
          </w:tcPr>
          <w:p w14:paraId="6BFD82F8"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9</w:t>
            </w:r>
          </w:p>
        </w:tc>
      </w:tr>
      <w:tr w:rsidR="007305C7" w:rsidRPr="007305C7" w14:paraId="1F2B4583" w14:textId="77777777" w:rsidTr="00B64A10">
        <w:tc>
          <w:tcPr>
            <w:tcW w:w="4248" w:type="dxa"/>
            <w:tcMar>
              <w:top w:w="15" w:type="dxa"/>
              <w:left w:w="0" w:type="dxa"/>
              <w:bottom w:w="15" w:type="dxa"/>
              <w:right w:w="15" w:type="dxa"/>
            </w:tcMar>
            <w:vAlign w:val="center"/>
            <w:hideMark/>
          </w:tcPr>
          <w:p w14:paraId="5E5097D7"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Dizziness</w:t>
            </w:r>
          </w:p>
        </w:tc>
        <w:tc>
          <w:tcPr>
            <w:tcW w:w="1701" w:type="dxa"/>
            <w:vAlign w:val="center"/>
            <w:hideMark/>
          </w:tcPr>
          <w:p w14:paraId="54DDF4B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480</w:t>
            </w:r>
          </w:p>
        </w:tc>
        <w:tc>
          <w:tcPr>
            <w:tcW w:w="1559" w:type="dxa"/>
            <w:vAlign w:val="center"/>
            <w:hideMark/>
          </w:tcPr>
          <w:p w14:paraId="6202C42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15</w:t>
            </w:r>
          </w:p>
        </w:tc>
      </w:tr>
      <w:tr w:rsidR="007305C7" w:rsidRPr="007305C7" w14:paraId="382BDBF1" w14:textId="77777777" w:rsidTr="00B64A10">
        <w:tc>
          <w:tcPr>
            <w:tcW w:w="4248" w:type="dxa"/>
            <w:tcMar>
              <w:top w:w="15" w:type="dxa"/>
              <w:left w:w="0" w:type="dxa"/>
              <w:bottom w:w="15" w:type="dxa"/>
              <w:right w:w="15" w:type="dxa"/>
            </w:tcMar>
            <w:vAlign w:val="center"/>
            <w:hideMark/>
          </w:tcPr>
          <w:p w14:paraId="5A16816A"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Fainting spells</w:t>
            </w:r>
          </w:p>
        </w:tc>
        <w:tc>
          <w:tcPr>
            <w:tcW w:w="1701" w:type="dxa"/>
            <w:vAlign w:val="center"/>
            <w:hideMark/>
          </w:tcPr>
          <w:p w14:paraId="2C6F9CA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494</w:t>
            </w:r>
          </w:p>
        </w:tc>
        <w:tc>
          <w:tcPr>
            <w:tcW w:w="1559" w:type="dxa"/>
            <w:vAlign w:val="center"/>
            <w:hideMark/>
          </w:tcPr>
          <w:p w14:paraId="50D9375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w:t>
            </w:r>
          </w:p>
        </w:tc>
      </w:tr>
      <w:tr w:rsidR="007305C7" w:rsidRPr="007305C7" w14:paraId="6E1F58BB" w14:textId="77777777" w:rsidTr="00B64A10">
        <w:tc>
          <w:tcPr>
            <w:tcW w:w="4248" w:type="dxa"/>
            <w:tcMar>
              <w:top w:w="15" w:type="dxa"/>
              <w:left w:w="0" w:type="dxa"/>
              <w:bottom w:w="15" w:type="dxa"/>
              <w:right w:w="15" w:type="dxa"/>
            </w:tcMar>
            <w:vAlign w:val="center"/>
            <w:hideMark/>
          </w:tcPr>
          <w:p w14:paraId="05A18B4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Joint pain or swelling</w:t>
            </w:r>
          </w:p>
        </w:tc>
        <w:tc>
          <w:tcPr>
            <w:tcW w:w="1701" w:type="dxa"/>
            <w:vAlign w:val="center"/>
            <w:hideMark/>
          </w:tcPr>
          <w:p w14:paraId="2168539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475</w:t>
            </w:r>
          </w:p>
        </w:tc>
        <w:tc>
          <w:tcPr>
            <w:tcW w:w="1559" w:type="dxa"/>
            <w:vAlign w:val="center"/>
            <w:hideMark/>
          </w:tcPr>
          <w:p w14:paraId="3A5BC84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20</w:t>
            </w:r>
          </w:p>
        </w:tc>
      </w:tr>
      <w:tr w:rsidR="007305C7" w:rsidRPr="007305C7" w14:paraId="6DA3F79C" w14:textId="77777777" w:rsidTr="00B64A10">
        <w:tc>
          <w:tcPr>
            <w:tcW w:w="4248" w:type="dxa"/>
            <w:tcMar>
              <w:top w:w="15" w:type="dxa"/>
              <w:left w:w="0" w:type="dxa"/>
              <w:bottom w:w="15" w:type="dxa"/>
              <w:right w:w="15" w:type="dxa"/>
            </w:tcMar>
            <w:vAlign w:val="center"/>
            <w:hideMark/>
          </w:tcPr>
          <w:p w14:paraId="439BF15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Swollen knees</w:t>
            </w:r>
          </w:p>
        </w:tc>
        <w:tc>
          <w:tcPr>
            <w:tcW w:w="1701" w:type="dxa"/>
            <w:vAlign w:val="center"/>
            <w:hideMark/>
          </w:tcPr>
          <w:p w14:paraId="5085CC8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490</w:t>
            </w:r>
          </w:p>
        </w:tc>
        <w:tc>
          <w:tcPr>
            <w:tcW w:w="1559" w:type="dxa"/>
            <w:vAlign w:val="center"/>
            <w:hideMark/>
          </w:tcPr>
          <w:p w14:paraId="3803320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5</w:t>
            </w:r>
          </w:p>
        </w:tc>
      </w:tr>
      <w:tr w:rsidR="007305C7" w:rsidRPr="007305C7" w14:paraId="1230516E" w14:textId="77777777" w:rsidTr="00B64A10">
        <w:tc>
          <w:tcPr>
            <w:tcW w:w="4248" w:type="dxa"/>
            <w:tcMar>
              <w:top w:w="15" w:type="dxa"/>
              <w:left w:w="0" w:type="dxa"/>
              <w:bottom w:w="15" w:type="dxa"/>
              <w:right w:w="15" w:type="dxa"/>
            </w:tcMar>
            <w:vAlign w:val="center"/>
            <w:hideMark/>
          </w:tcPr>
          <w:p w14:paraId="465F022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Muscle pain</w:t>
            </w:r>
          </w:p>
        </w:tc>
        <w:tc>
          <w:tcPr>
            <w:tcW w:w="1701" w:type="dxa"/>
            <w:vAlign w:val="center"/>
            <w:hideMark/>
          </w:tcPr>
          <w:p w14:paraId="45E33E68"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477</w:t>
            </w:r>
          </w:p>
        </w:tc>
        <w:tc>
          <w:tcPr>
            <w:tcW w:w="1559" w:type="dxa"/>
            <w:vAlign w:val="center"/>
            <w:hideMark/>
          </w:tcPr>
          <w:p w14:paraId="39DDEF41"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18</w:t>
            </w:r>
          </w:p>
        </w:tc>
      </w:tr>
      <w:tr w:rsidR="007305C7" w:rsidRPr="007305C7" w14:paraId="3756E628" w14:textId="77777777" w:rsidTr="00B64A10">
        <w:tc>
          <w:tcPr>
            <w:tcW w:w="4248" w:type="dxa"/>
            <w:tcMar>
              <w:top w:w="15" w:type="dxa"/>
              <w:left w:w="0" w:type="dxa"/>
              <w:bottom w:w="15" w:type="dxa"/>
              <w:right w:w="15" w:type="dxa"/>
            </w:tcMar>
            <w:vAlign w:val="center"/>
            <w:hideMark/>
          </w:tcPr>
          <w:p w14:paraId="62B0A101"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Muscle stiffness</w:t>
            </w:r>
          </w:p>
        </w:tc>
        <w:tc>
          <w:tcPr>
            <w:tcW w:w="1701" w:type="dxa"/>
            <w:vAlign w:val="center"/>
            <w:hideMark/>
          </w:tcPr>
          <w:p w14:paraId="2D1D9E7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492</w:t>
            </w:r>
          </w:p>
        </w:tc>
        <w:tc>
          <w:tcPr>
            <w:tcW w:w="1559" w:type="dxa"/>
            <w:vAlign w:val="center"/>
            <w:hideMark/>
          </w:tcPr>
          <w:p w14:paraId="64554C2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w:t>
            </w:r>
          </w:p>
        </w:tc>
      </w:tr>
      <w:tr w:rsidR="007305C7" w:rsidRPr="007305C7" w14:paraId="7D6FC70D" w14:textId="77777777" w:rsidTr="00B64A10">
        <w:tc>
          <w:tcPr>
            <w:tcW w:w="4248" w:type="dxa"/>
            <w:tcMar>
              <w:top w:w="15" w:type="dxa"/>
              <w:left w:w="0" w:type="dxa"/>
              <w:bottom w:w="15" w:type="dxa"/>
              <w:right w:w="15" w:type="dxa"/>
            </w:tcMar>
            <w:vAlign w:val="center"/>
            <w:hideMark/>
          </w:tcPr>
          <w:p w14:paraId="1BC867A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Limb pain</w:t>
            </w:r>
          </w:p>
        </w:tc>
        <w:tc>
          <w:tcPr>
            <w:tcW w:w="1701" w:type="dxa"/>
            <w:vAlign w:val="center"/>
            <w:hideMark/>
          </w:tcPr>
          <w:p w14:paraId="723CF9F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487</w:t>
            </w:r>
          </w:p>
        </w:tc>
        <w:tc>
          <w:tcPr>
            <w:tcW w:w="1559" w:type="dxa"/>
            <w:vAlign w:val="center"/>
            <w:hideMark/>
          </w:tcPr>
          <w:p w14:paraId="284F189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w:t>
            </w:r>
          </w:p>
        </w:tc>
      </w:tr>
      <w:tr w:rsidR="007305C7" w:rsidRPr="007305C7" w14:paraId="4550E269" w14:textId="77777777" w:rsidTr="00B64A10">
        <w:tc>
          <w:tcPr>
            <w:tcW w:w="4248" w:type="dxa"/>
            <w:tcMar>
              <w:top w:w="15" w:type="dxa"/>
              <w:left w:w="0" w:type="dxa"/>
              <w:bottom w:w="15" w:type="dxa"/>
              <w:right w:w="15" w:type="dxa"/>
            </w:tcMar>
            <w:vAlign w:val="center"/>
            <w:hideMark/>
          </w:tcPr>
          <w:p w14:paraId="4434284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Twitching limbs</w:t>
            </w:r>
          </w:p>
        </w:tc>
        <w:tc>
          <w:tcPr>
            <w:tcW w:w="1701" w:type="dxa"/>
            <w:vAlign w:val="center"/>
            <w:hideMark/>
          </w:tcPr>
          <w:p w14:paraId="1FF9C44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491</w:t>
            </w:r>
          </w:p>
        </w:tc>
        <w:tc>
          <w:tcPr>
            <w:tcW w:w="1559" w:type="dxa"/>
            <w:vAlign w:val="center"/>
            <w:hideMark/>
          </w:tcPr>
          <w:p w14:paraId="4BEC5A4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w:t>
            </w:r>
          </w:p>
        </w:tc>
      </w:tr>
      <w:tr w:rsidR="007305C7" w:rsidRPr="007305C7" w14:paraId="364CAE88" w14:textId="77777777" w:rsidTr="00B64A10">
        <w:tc>
          <w:tcPr>
            <w:tcW w:w="4248" w:type="dxa"/>
            <w:tcMar>
              <w:top w:w="15" w:type="dxa"/>
              <w:left w:w="0" w:type="dxa"/>
              <w:bottom w:w="15" w:type="dxa"/>
              <w:right w:w="15" w:type="dxa"/>
            </w:tcMar>
            <w:vAlign w:val="center"/>
            <w:hideMark/>
          </w:tcPr>
          <w:p w14:paraId="4B0AB6F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Weakness of limbs</w:t>
            </w:r>
          </w:p>
        </w:tc>
        <w:tc>
          <w:tcPr>
            <w:tcW w:w="1701" w:type="dxa"/>
            <w:vAlign w:val="center"/>
            <w:hideMark/>
          </w:tcPr>
          <w:p w14:paraId="75197C3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486</w:t>
            </w:r>
          </w:p>
        </w:tc>
        <w:tc>
          <w:tcPr>
            <w:tcW w:w="1559" w:type="dxa"/>
            <w:vAlign w:val="center"/>
            <w:hideMark/>
          </w:tcPr>
          <w:p w14:paraId="6DBE3D9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9</w:t>
            </w:r>
          </w:p>
        </w:tc>
      </w:tr>
      <w:tr w:rsidR="007305C7" w:rsidRPr="007305C7" w14:paraId="7D5F31F0" w14:textId="77777777" w:rsidTr="00B64A10">
        <w:tc>
          <w:tcPr>
            <w:tcW w:w="4248" w:type="dxa"/>
            <w:tcMar>
              <w:top w:w="15" w:type="dxa"/>
              <w:left w:w="0" w:type="dxa"/>
              <w:bottom w:w="15" w:type="dxa"/>
              <w:right w:w="15" w:type="dxa"/>
            </w:tcMar>
            <w:vAlign w:val="center"/>
            <w:hideMark/>
          </w:tcPr>
          <w:p w14:paraId="36D05C91"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Tremor</w:t>
            </w:r>
          </w:p>
        </w:tc>
        <w:tc>
          <w:tcPr>
            <w:tcW w:w="1701" w:type="dxa"/>
            <w:vAlign w:val="center"/>
            <w:hideMark/>
          </w:tcPr>
          <w:p w14:paraId="727BF34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492</w:t>
            </w:r>
          </w:p>
        </w:tc>
        <w:tc>
          <w:tcPr>
            <w:tcW w:w="1559" w:type="dxa"/>
            <w:vAlign w:val="center"/>
            <w:hideMark/>
          </w:tcPr>
          <w:p w14:paraId="182FD08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w:t>
            </w:r>
          </w:p>
        </w:tc>
      </w:tr>
      <w:tr w:rsidR="007305C7" w:rsidRPr="007305C7" w14:paraId="7C36512A" w14:textId="77777777" w:rsidTr="00B64A10">
        <w:tc>
          <w:tcPr>
            <w:tcW w:w="4248" w:type="dxa"/>
            <w:tcMar>
              <w:top w:w="15" w:type="dxa"/>
              <w:left w:w="0" w:type="dxa"/>
              <w:bottom w:w="15" w:type="dxa"/>
              <w:right w:w="15" w:type="dxa"/>
            </w:tcMar>
            <w:vAlign w:val="center"/>
            <w:hideMark/>
          </w:tcPr>
          <w:p w14:paraId="480BCA2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Numbness or tingling</w:t>
            </w:r>
          </w:p>
        </w:tc>
        <w:tc>
          <w:tcPr>
            <w:tcW w:w="1701" w:type="dxa"/>
            <w:vAlign w:val="center"/>
            <w:hideMark/>
          </w:tcPr>
          <w:p w14:paraId="0757580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489</w:t>
            </w:r>
          </w:p>
        </w:tc>
        <w:tc>
          <w:tcPr>
            <w:tcW w:w="1559" w:type="dxa"/>
            <w:vAlign w:val="center"/>
            <w:hideMark/>
          </w:tcPr>
          <w:p w14:paraId="3CD96CF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6</w:t>
            </w:r>
          </w:p>
        </w:tc>
      </w:tr>
      <w:tr w:rsidR="007305C7" w:rsidRPr="007305C7" w14:paraId="2E3928B0" w14:textId="77777777" w:rsidTr="00B64A10">
        <w:tc>
          <w:tcPr>
            <w:tcW w:w="4248" w:type="dxa"/>
            <w:tcMar>
              <w:top w:w="15" w:type="dxa"/>
              <w:left w:w="0" w:type="dxa"/>
              <w:bottom w:w="15" w:type="dxa"/>
              <w:right w:w="15" w:type="dxa"/>
            </w:tcMar>
            <w:vAlign w:val="center"/>
            <w:hideMark/>
          </w:tcPr>
          <w:p w14:paraId="4AD4A7C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Mood swings</w:t>
            </w:r>
          </w:p>
        </w:tc>
        <w:tc>
          <w:tcPr>
            <w:tcW w:w="1701" w:type="dxa"/>
            <w:vAlign w:val="center"/>
            <w:hideMark/>
          </w:tcPr>
          <w:p w14:paraId="5B345561"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467</w:t>
            </w:r>
          </w:p>
        </w:tc>
        <w:tc>
          <w:tcPr>
            <w:tcW w:w="1559" w:type="dxa"/>
            <w:vAlign w:val="center"/>
            <w:hideMark/>
          </w:tcPr>
          <w:p w14:paraId="01BC41E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28</w:t>
            </w:r>
          </w:p>
        </w:tc>
      </w:tr>
      <w:tr w:rsidR="007305C7" w:rsidRPr="007305C7" w14:paraId="1F1913AB" w14:textId="77777777" w:rsidTr="00B64A10">
        <w:tc>
          <w:tcPr>
            <w:tcW w:w="4248" w:type="dxa"/>
            <w:tcMar>
              <w:top w:w="15" w:type="dxa"/>
              <w:left w:w="0" w:type="dxa"/>
              <w:bottom w:w="15" w:type="dxa"/>
              <w:right w:w="15" w:type="dxa"/>
            </w:tcMar>
            <w:vAlign w:val="center"/>
            <w:hideMark/>
          </w:tcPr>
          <w:p w14:paraId="61DAC5C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Depression</w:t>
            </w:r>
          </w:p>
        </w:tc>
        <w:tc>
          <w:tcPr>
            <w:tcW w:w="1701" w:type="dxa"/>
            <w:vAlign w:val="center"/>
            <w:hideMark/>
          </w:tcPr>
          <w:p w14:paraId="20E1311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484</w:t>
            </w:r>
          </w:p>
        </w:tc>
        <w:tc>
          <w:tcPr>
            <w:tcW w:w="1559" w:type="dxa"/>
            <w:vAlign w:val="center"/>
            <w:hideMark/>
          </w:tcPr>
          <w:p w14:paraId="7A26019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11</w:t>
            </w:r>
          </w:p>
        </w:tc>
      </w:tr>
      <w:tr w:rsidR="007305C7" w:rsidRPr="007305C7" w14:paraId="494FB813" w14:textId="77777777" w:rsidTr="00B64A10">
        <w:tc>
          <w:tcPr>
            <w:tcW w:w="4248" w:type="dxa"/>
            <w:tcMar>
              <w:top w:w="15" w:type="dxa"/>
              <w:left w:w="0" w:type="dxa"/>
              <w:bottom w:w="15" w:type="dxa"/>
              <w:right w:w="15" w:type="dxa"/>
            </w:tcMar>
            <w:vAlign w:val="center"/>
            <w:hideMark/>
          </w:tcPr>
          <w:p w14:paraId="201457F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Loss of interest or pleasure</w:t>
            </w:r>
          </w:p>
        </w:tc>
        <w:tc>
          <w:tcPr>
            <w:tcW w:w="1701" w:type="dxa"/>
            <w:vAlign w:val="center"/>
            <w:hideMark/>
          </w:tcPr>
          <w:p w14:paraId="477F9E8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472</w:t>
            </w:r>
          </w:p>
        </w:tc>
        <w:tc>
          <w:tcPr>
            <w:tcW w:w="1559" w:type="dxa"/>
            <w:vAlign w:val="center"/>
            <w:hideMark/>
          </w:tcPr>
          <w:p w14:paraId="05F2A92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23</w:t>
            </w:r>
          </w:p>
        </w:tc>
      </w:tr>
      <w:tr w:rsidR="007305C7" w:rsidRPr="007305C7" w14:paraId="772EFCE3" w14:textId="77777777" w:rsidTr="00B64A10">
        <w:tc>
          <w:tcPr>
            <w:tcW w:w="4248" w:type="dxa"/>
            <w:tcMar>
              <w:top w:w="15" w:type="dxa"/>
              <w:left w:w="0" w:type="dxa"/>
              <w:bottom w:w="15" w:type="dxa"/>
              <w:right w:w="15" w:type="dxa"/>
            </w:tcMar>
            <w:vAlign w:val="center"/>
            <w:hideMark/>
          </w:tcPr>
          <w:p w14:paraId="12557D4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Anxiety</w:t>
            </w:r>
          </w:p>
        </w:tc>
        <w:tc>
          <w:tcPr>
            <w:tcW w:w="1701" w:type="dxa"/>
            <w:vAlign w:val="center"/>
            <w:hideMark/>
          </w:tcPr>
          <w:p w14:paraId="74B303F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482</w:t>
            </w:r>
          </w:p>
        </w:tc>
        <w:tc>
          <w:tcPr>
            <w:tcW w:w="1559" w:type="dxa"/>
            <w:vAlign w:val="center"/>
            <w:hideMark/>
          </w:tcPr>
          <w:p w14:paraId="12AC4DB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13</w:t>
            </w:r>
          </w:p>
        </w:tc>
      </w:tr>
      <w:tr w:rsidR="007305C7" w:rsidRPr="007305C7" w14:paraId="4D607234" w14:textId="77777777" w:rsidTr="00B64A10">
        <w:tc>
          <w:tcPr>
            <w:tcW w:w="4248" w:type="dxa"/>
            <w:tcMar>
              <w:top w:w="15" w:type="dxa"/>
              <w:left w:w="0" w:type="dxa"/>
              <w:bottom w:w="15" w:type="dxa"/>
              <w:right w:w="15" w:type="dxa"/>
            </w:tcMar>
            <w:vAlign w:val="center"/>
            <w:hideMark/>
          </w:tcPr>
          <w:p w14:paraId="60A8774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Abdominal pain</w:t>
            </w:r>
          </w:p>
        </w:tc>
        <w:tc>
          <w:tcPr>
            <w:tcW w:w="1701" w:type="dxa"/>
            <w:vAlign w:val="center"/>
            <w:hideMark/>
          </w:tcPr>
          <w:p w14:paraId="39F44DA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492</w:t>
            </w:r>
          </w:p>
        </w:tc>
        <w:tc>
          <w:tcPr>
            <w:tcW w:w="1559" w:type="dxa"/>
            <w:vAlign w:val="center"/>
            <w:hideMark/>
          </w:tcPr>
          <w:p w14:paraId="6C53293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w:t>
            </w:r>
          </w:p>
        </w:tc>
      </w:tr>
      <w:tr w:rsidR="007305C7" w:rsidRPr="007305C7" w14:paraId="227323B5" w14:textId="77777777" w:rsidTr="00B64A10">
        <w:tc>
          <w:tcPr>
            <w:tcW w:w="4248" w:type="dxa"/>
            <w:tcMar>
              <w:top w:w="15" w:type="dxa"/>
              <w:left w:w="0" w:type="dxa"/>
              <w:bottom w:w="15" w:type="dxa"/>
              <w:right w:w="15" w:type="dxa"/>
            </w:tcMar>
            <w:vAlign w:val="center"/>
            <w:hideMark/>
          </w:tcPr>
          <w:p w14:paraId="080A054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Diarrhea</w:t>
            </w:r>
          </w:p>
        </w:tc>
        <w:tc>
          <w:tcPr>
            <w:tcW w:w="1701" w:type="dxa"/>
            <w:vAlign w:val="center"/>
            <w:hideMark/>
          </w:tcPr>
          <w:p w14:paraId="0379BDE8"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492</w:t>
            </w:r>
          </w:p>
        </w:tc>
        <w:tc>
          <w:tcPr>
            <w:tcW w:w="1559" w:type="dxa"/>
            <w:vAlign w:val="center"/>
            <w:hideMark/>
          </w:tcPr>
          <w:p w14:paraId="70770E7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w:t>
            </w:r>
          </w:p>
        </w:tc>
      </w:tr>
      <w:tr w:rsidR="007305C7" w:rsidRPr="007305C7" w14:paraId="02B09BD8" w14:textId="77777777" w:rsidTr="00B64A10">
        <w:tc>
          <w:tcPr>
            <w:tcW w:w="4248" w:type="dxa"/>
            <w:tcMar>
              <w:top w:w="15" w:type="dxa"/>
              <w:left w:w="0" w:type="dxa"/>
              <w:bottom w:w="15" w:type="dxa"/>
              <w:right w:w="15" w:type="dxa"/>
            </w:tcMar>
            <w:vAlign w:val="center"/>
            <w:hideMark/>
          </w:tcPr>
          <w:p w14:paraId="362D920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Constipation</w:t>
            </w:r>
          </w:p>
        </w:tc>
        <w:tc>
          <w:tcPr>
            <w:tcW w:w="1701" w:type="dxa"/>
            <w:vAlign w:val="center"/>
            <w:hideMark/>
          </w:tcPr>
          <w:p w14:paraId="0D47BDA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488</w:t>
            </w:r>
          </w:p>
        </w:tc>
        <w:tc>
          <w:tcPr>
            <w:tcW w:w="1559" w:type="dxa"/>
            <w:vAlign w:val="center"/>
            <w:hideMark/>
          </w:tcPr>
          <w:p w14:paraId="1443A8D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7</w:t>
            </w:r>
          </w:p>
        </w:tc>
      </w:tr>
      <w:tr w:rsidR="007305C7" w:rsidRPr="007305C7" w14:paraId="6BA5718B" w14:textId="77777777" w:rsidTr="00B64A10">
        <w:tc>
          <w:tcPr>
            <w:tcW w:w="4248" w:type="dxa"/>
            <w:tcMar>
              <w:top w:w="15" w:type="dxa"/>
              <w:left w:w="0" w:type="dxa"/>
              <w:bottom w:w="15" w:type="dxa"/>
              <w:right w:w="15" w:type="dxa"/>
            </w:tcMar>
            <w:vAlign w:val="center"/>
            <w:hideMark/>
          </w:tcPr>
          <w:p w14:paraId="4C57643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lastRenderedPageBreak/>
              <w:t>Nausea/vomiting</w:t>
            </w:r>
          </w:p>
        </w:tc>
        <w:tc>
          <w:tcPr>
            <w:tcW w:w="1701" w:type="dxa"/>
            <w:vAlign w:val="center"/>
            <w:hideMark/>
          </w:tcPr>
          <w:p w14:paraId="4FAD6FE6"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491</w:t>
            </w:r>
          </w:p>
        </w:tc>
        <w:tc>
          <w:tcPr>
            <w:tcW w:w="1559" w:type="dxa"/>
            <w:vAlign w:val="center"/>
            <w:hideMark/>
          </w:tcPr>
          <w:p w14:paraId="4BAA9F1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w:t>
            </w:r>
          </w:p>
        </w:tc>
      </w:tr>
      <w:tr w:rsidR="007305C7" w:rsidRPr="007305C7" w14:paraId="64E69815" w14:textId="77777777" w:rsidTr="00B64A10">
        <w:tc>
          <w:tcPr>
            <w:tcW w:w="4248" w:type="dxa"/>
            <w:tcBorders>
              <w:bottom w:val="single" w:sz="4" w:space="0" w:color="auto"/>
            </w:tcBorders>
            <w:tcMar>
              <w:top w:w="15" w:type="dxa"/>
              <w:left w:w="0" w:type="dxa"/>
              <w:bottom w:w="15" w:type="dxa"/>
              <w:right w:w="15" w:type="dxa"/>
            </w:tcMar>
            <w:vAlign w:val="center"/>
            <w:hideMark/>
          </w:tcPr>
          <w:p w14:paraId="4501D2F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Loss of appetite</w:t>
            </w:r>
          </w:p>
        </w:tc>
        <w:tc>
          <w:tcPr>
            <w:tcW w:w="1701" w:type="dxa"/>
            <w:tcBorders>
              <w:bottom w:val="single" w:sz="4" w:space="0" w:color="auto"/>
            </w:tcBorders>
            <w:vAlign w:val="center"/>
            <w:hideMark/>
          </w:tcPr>
          <w:p w14:paraId="72061B5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492</w:t>
            </w:r>
          </w:p>
        </w:tc>
        <w:tc>
          <w:tcPr>
            <w:tcW w:w="1559" w:type="dxa"/>
            <w:tcBorders>
              <w:bottom w:val="single" w:sz="4" w:space="0" w:color="auto"/>
            </w:tcBorders>
            <w:vAlign w:val="center"/>
            <w:hideMark/>
          </w:tcPr>
          <w:p w14:paraId="6F532CB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3</w:t>
            </w:r>
          </w:p>
        </w:tc>
      </w:tr>
      <w:tr w:rsidR="007305C7" w:rsidRPr="007305C7" w14:paraId="5FEB1B3A" w14:textId="77777777" w:rsidTr="00B64A10">
        <w:tc>
          <w:tcPr>
            <w:tcW w:w="4248" w:type="dxa"/>
            <w:tcBorders>
              <w:top w:val="single" w:sz="4" w:space="0" w:color="auto"/>
            </w:tcBorders>
            <w:tcMar>
              <w:top w:w="15" w:type="dxa"/>
              <w:left w:w="0" w:type="dxa"/>
              <w:bottom w:w="15" w:type="dxa"/>
              <w:right w:w="15" w:type="dxa"/>
            </w:tcMar>
            <w:vAlign w:val="center"/>
            <w:hideMark/>
          </w:tcPr>
          <w:p w14:paraId="7D653B5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Weight loss</w:t>
            </w:r>
          </w:p>
        </w:tc>
        <w:tc>
          <w:tcPr>
            <w:tcW w:w="1701" w:type="dxa"/>
            <w:tcBorders>
              <w:top w:val="single" w:sz="4" w:space="0" w:color="auto"/>
            </w:tcBorders>
            <w:vAlign w:val="center"/>
            <w:hideMark/>
          </w:tcPr>
          <w:p w14:paraId="2FA3418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486</w:t>
            </w:r>
          </w:p>
        </w:tc>
        <w:tc>
          <w:tcPr>
            <w:tcW w:w="1559" w:type="dxa"/>
            <w:tcBorders>
              <w:top w:val="single" w:sz="4" w:space="0" w:color="auto"/>
            </w:tcBorders>
            <w:vAlign w:val="center"/>
            <w:hideMark/>
          </w:tcPr>
          <w:p w14:paraId="2516348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9</w:t>
            </w:r>
          </w:p>
        </w:tc>
      </w:tr>
      <w:tr w:rsidR="007305C7" w:rsidRPr="007305C7" w14:paraId="23576811" w14:textId="77777777" w:rsidTr="00B64A10">
        <w:tc>
          <w:tcPr>
            <w:tcW w:w="4248" w:type="dxa"/>
            <w:tcMar>
              <w:top w:w="15" w:type="dxa"/>
              <w:left w:w="0" w:type="dxa"/>
              <w:bottom w:w="15" w:type="dxa"/>
              <w:right w:w="15" w:type="dxa"/>
            </w:tcMar>
            <w:vAlign w:val="center"/>
            <w:hideMark/>
          </w:tcPr>
          <w:p w14:paraId="598072A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Skin symptoms</w:t>
            </w:r>
          </w:p>
        </w:tc>
        <w:tc>
          <w:tcPr>
            <w:tcW w:w="1701" w:type="dxa"/>
            <w:vAlign w:val="center"/>
            <w:hideMark/>
          </w:tcPr>
          <w:p w14:paraId="2FBAA6A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488</w:t>
            </w:r>
          </w:p>
        </w:tc>
        <w:tc>
          <w:tcPr>
            <w:tcW w:w="1559" w:type="dxa"/>
            <w:vAlign w:val="center"/>
            <w:hideMark/>
          </w:tcPr>
          <w:p w14:paraId="2697A9B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7</w:t>
            </w:r>
          </w:p>
        </w:tc>
      </w:tr>
      <w:tr w:rsidR="007305C7" w:rsidRPr="007305C7" w14:paraId="54EB5D24" w14:textId="77777777" w:rsidTr="00B64A10">
        <w:tc>
          <w:tcPr>
            <w:tcW w:w="4248" w:type="dxa"/>
            <w:tcMar>
              <w:top w:w="15" w:type="dxa"/>
              <w:left w:w="0" w:type="dxa"/>
              <w:bottom w:w="15" w:type="dxa"/>
              <w:right w:w="15" w:type="dxa"/>
            </w:tcMar>
            <w:vAlign w:val="center"/>
            <w:hideMark/>
          </w:tcPr>
          <w:p w14:paraId="6B4014B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Hair loss</w:t>
            </w:r>
          </w:p>
        </w:tc>
        <w:tc>
          <w:tcPr>
            <w:tcW w:w="1701" w:type="dxa"/>
            <w:vAlign w:val="center"/>
            <w:hideMark/>
          </w:tcPr>
          <w:p w14:paraId="14668CD7"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478</w:t>
            </w:r>
          </w:p>
        </w:tc>
        <w:tc>
          <w:tcPr>
            <w:tcW w:w="1559" w:type="dxa"/>
            <w:vAlign w:val="center"/>
            <w:hideMark/>
          </w:tcPr>
          <w:p w14:paraId="3D35D2F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17</w:t>
            </w:r>
          </w:p>
        </w:tc>
      </w:tr>
      <w:tr w:rsidR="007305C7" w:rsidRPr="007305C7" w14:paraId="7FB4DFCC" w14:textId="77777777" w:rsidTr="00B64A10">
        <w:tc>
          <w:tcPr>
            <w:tcW w:w="4248" w:type="dxa"/>
            <w:tcMar>
              <w:top w:w="15" w:type="dxa"/>
              <w:left w:w="0" w:type="dxa"/>
              <w:bottom w:w="15" w:type="dxa"/>
              <w:right w:w="15" w:type="dxa"/>
            </w:tcMar>
            <w:vAlign w:val="center"/>
            <w:hideMark/>
          </w:tcPr>
          <w:p w14:paraId="6461213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Seizures</w:t>
            </w:r>
          </w:p>
        </w:tc>
        <w:tc>
          <w:tcPr>
            <w:tcW w:w="1701" w:type="dxa"/>
            <w:vAlign w:val="center"/>
            <w:hideMark/>
          </w:tcPr>
          <w:p w14:paraId="7D45285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491</w:t>
            </w:r>
          </w:p>
        </w:tc>
        <w:tc>
          <w:tcPr>
            <w:tcW w:w="1559" w:type="dxa"/>
            <w:vAlign w:val="center"/>
            <w:hideMark/>
          </w:tcPr>
          <w:p w14:paraId="6129126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w:t>
            </w:r>
          </w:p>
        </w:tc>
      </w:tr>
      <w:tr w:rsidR="007305C7" w:rsidRPr="007305C7" w14:paraId="1DB753D8" w14:textId="77777777" w:rsidTr="00B64A10">
        <w:tc>
          <w:tcPr>
            <w:tcW w:w="4248" w:type="dxa"/>
            <w:tcMar>
              <w:top w:w="15" w:type="dxa"/>
              <w:left w:w="0" w:type="dxa"/>
              <w:bottom w:w="15" w:type="dxa"/>
              <w:right w:w="15" w:type="dxa"/>
            </w:tcMar>
            <w:vAlign w:val="center"/>
            <w:hideMark/>
          </w:tcPr>
          <w:p w14:paraId="58FA8D25"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Urination problems</w:t>
            </w:r>
          </w:p>
        </w:tc>
        <w:tc>
          <w:tcPr>
            <w:tcW w:w="1701" w:type="dxa"/>
            <w:vAlign w:val="center"/>
            <w:hideMark/>
          </w:tcPr>
          <w:p w14:paraId="1F059DF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493</w:t>
            </w:r>
          </w:p>
        </w:tc>
        <w:tc>
          <w:tcPr>
            <w:tcW w:w="1559" w:type="dxa"/>
            <w:vAlign w:val="center"/>
            <w:hideMark/>
          </w:tcPr>
          <w:p w14:paraId="358A825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2</w:t>
            </w:r>
          </w:p>
        </w:tc>
      </w:tr>
      <w:tr w:rsidR="007305C7" w:rsidRPr="007305C7" w14:paraId="730EFCA8" w14:textId="77777777" w:rsidTr="00B64A10">
        <w:tc>
          <w:tcPr>
            <w:tcW w:w="4248" w:type="dxa"/>
            <w:tcMar>
              <w:top w:w="15" w:type="dxa"/>
              <w:left w:w="0" w:type="dxa"/>
              <w:bottom w:w="15" w:type="dxa"/>
              <w:right w:w="15" w:type="dxa"/>
            </w:tcMar>
            <w:vAlign w:val="center"/>
            <w:hideMark/>
          </w:tcPr>
          <w:p w14:paraId="1D18523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Problems with swallowing</w:t>
            </w:r>
          </w:p>
        </w:tc>
        <w:tc>
          <w:tcPr>
            <w:tcW w:w="1701" w:type="dxa"/>
            <w:vAlign w:val="center"/>
            <w:hideMark/>
          </w:tcPr>
          <w:p w14:paraId="49162201"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495</w:t>
            </w:r>
          </w:p>
        </w:tc>
        <w:tc>
          <w:tcPr>
            <w:tcW w:w="1559" w:type="dxa"/>
            <w:vAlign w:val="center"/>
            <w:hideMark/>
          </w:tcPr>
          <w:p w14:paraId="71235208"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0</w:t>
            </w:r>
          </w:p>
        </w:tc>
      </w:tr>
      <w:tr w:rsidR="007305C7" w:rsidRPr="007305C7" w14:paraId="32B4E470" w14:textId="77777777" w:rsidTr="00B64A10">
        <w:tc>
          <w:tcPr>
            <w:tcW w:w="4248" w:type="dxa"/>
            <w:tcMar>
              <w:top w:w="15" w:type="dxa"/>
              <w:left w:w="0" w:type="dxa"/>
              <w:bottom w:w="15" w:type="dxa"/>
              <w:right w:w="15" w:type="dxa"/>
            </w:tcMar>
            <w:vAlign w:val="center"/>
            <w:hideMark/>
          </w:tcPr>
          <w:p w14:paraId="20FFADB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Problems with balance</w:t>
            </w:r>
          </w:p>
        </w:tc>
        <w:tc>
          <w:tcPr>
            <w:tcW w:w="1701" w:type="dxa"/>
            <w:vAlign w:val="center"/>
            <w:hideMark/>
          </w:tcPr>
          <w:p w14:paraId="0BB75877"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487</w:t>
            </w:r>
          </w:p>
        </w:tc>
        <w:tc>
          <w:tcPr>
            <w:tcW w:w="1559" w:type="dxa"/>
            <w:vAlign w:val="center"/>
            <w:hideMark/>
          </w:tcPr>
          <w:p w14:paraId="13C975B2"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11</w:t>
            </w:r>
          </w:p>
        </w:tc>
      </w:tr>
      <w:tr w:rsidR="007305C7" w:rsidRPr="007305C7" w14:paraId="06BA9D54" w14:textId="77777777" w:rsidTr="00B64A10">
        <w:tc>
          <w:tcPr>
            <w:tcW w:w="4248" w:type="dxa"/>
            <w:tcMar>
              <w:top w:w="15" w:type="dxa"/>
              <w:left w:w="0" w:type="dxa"/>
              <w:bottom w:w="15" w:type="dxa"/>
              <w:right w:w="15" w:type="dxa"/>
            </w:tcMar>
            <w:vAlign w:val="center"/>
            <w:hideMark/>
          </w:tcPr>
          <w:p w14:paraId="60AC6E0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Problems with walking or steps</w:t>
            </w:r>
          </w:p>
        </w:tc>
        <w:tc>
          <w:tcPr>
            <w:tcW w:w="1701" w:type="dxa"/>
            <w:vAlign w:val="center"/>
            <w:hideMark/>
          </w:tcPr>
          <w:p w14:paraId="52071954"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488</w:t>
            </w:r>
          </w:p>
        </w:tc>
        <w:tc>
          <w:tcPr>
            <w:tcW w:w="1559" w:type="dxa"/>
            <w:vAlign w:val="center"/>
            <w:hideMark/>
          </w:tcPr>
          <w:p w14:paraId="75638A3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7</w:t>
            </w:r>
          </w:p>
        </w:tc>
      </w:tr>
      <w:tr w:rsidR="007305C7" w:rsidRPr="007305C7" w14:paraId="448A8B5F" w14:textId="77777777" w:rsidTr="00B64A10">
        <w:tc>
          <w:tcPr>
            <w:tcW w:w="4248" w:type="dxa"/>
            <w:tcMar>
              <w:top w:w="15" w:type="dxa"/>
              <w:left w:w="0" w:type="dxa"/>
              <w:bottom w:w="15" w:type="dxa"/>
              <w:right w:w="15" w:type="dxa"/>
            </w:tcMar>
            <w:vAlign w:val="center"/>
            <w:hideMark/>
          </w:tcPr>
          <w:p w14:paraId="4032534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Slow movements</w:t>
            </w:r>
          </w:p>
        </w:tc>
        <w:tc>
          <w:tcPr>
            <w:tcW w:w="1701" w:type="dxa"/>
            <w:vAlign w:val="center"/>
            <w:hideMark/>
          </w:tcPr>
          <w:p w14:paraId="65B22B6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485</w:t>
            </w:r>
          </w:p>
        </w:tc>
        <w:tc>
          <w:tcPr>
            <w:tcW w:w="1559" w:type="dxa"/>
            <w:vAlign w:val="center"/>
            <w:hideMark/>
          </w:tcPr>
          <w:p w14:paraId="7F38E3D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10</w:t>
            </w:r>
          </w:p>
        </w:tc>
      </w:tr>
      <w:tr w:rsidR="007305C7" w:rsidRPr="007305C7" w14:paraId="7EEC11EE" w14:textId="77777777" w:rsidTr="00B64A10">
        <w:tc>
          <w:tcPr>
            <w:tcW w:w="4248" w:type="dxa"/>
            <w:tcMar>
              <w:top w:w="15" w:type="dxa"/>
              <w:left w:w="0" w:type="dxa"/>
              <w:bottom w:w="15" w:type="dxa"/>
              <w:right w:w="15" w:type="dxa"/>
            </w:tcMar>
            <w:vAlign w:val="center"/>
            <w:hideMark/>
          </w:tcPr>
          <w:p w14:paraId="12119F8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Painful bleeding</w:t>
            </w:r>
          </w:p>
        </w:tc>
        <w:tc>
          <w:tcPr>
            <w:tcW w:w="1701" w:type="dxa"/>
            <w:vAlign w:val="center"/>
            <w:hideMark/>
          </w:tcPr>
          <w:p w14:paraId="49225DC7"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490</w:t>
            </w:r>
          </w:p>
        </w:tc>
        <w:tc>
          <w:tcPr>
            <w:tcW w:w="1559" w:type="dxa"/>
            <w:vAlign w:val="center"/>
            <w:hideMark/>
          </w:tcPr>
          <w:p w14:paraId="467483AB"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5</w:t>
            </w:r>
          </w:p>
        </w:tc>
      </w:tr>
      <w:tr w:rsidR="007305C7" w:rsidRPr="007305C7" w14:paraId="28127B39" w14:textId="77777777" w:rsidTr="00B64A10">
        <w:tc>
          <w:tcPr>
            <w:tcW w:w="4248" w:type="dxa"/>
            <w:tcMar>
              <w:top w:w="15" w:type="dxa"/>
              <w:left w:w="0" w:type="dxa"/>
              <w:bottom w:w="15" w:type="dxa"/>
              <w:right w:w="15" w:type="dxa"/>
            </w:tcMar>
            <w:vAlign w:val="center"/>
            <w:hideMark/>
          </w:tcPr>
          <w:p w14:paraId="4178DD5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Erectile Dysfunction</w:t>
            </w:r>
          </w:p>
        </w:tc>
        <w:tc>
          <w:tcPr>
            <w:tcW w:w="1701" w:type="dxa"/>
            <w:vAlign w:val="center"/>
            <w:hideMark/>
          </w:tcPr>
          <w:p w14:paraId="54D0DCA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493</w:t>
            </w:r>
          </w:p>
        </w:tc>
        <w:tc>
          <w:tcPr>
            <w:tcW w:w="1559" w:type="dxa"/>
            <w:vAlign w:val="center"/>
            <w:hideMark/>
          </w:tcPr>
          <w:p w14:paraId="6BAEB2E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2</w:t>
            </w:r>
          </w:p>
        </w:tc>
      </w:tr>
      <w:tr w:rsidR="007305C7" w:rsidRPr="007305C7" w14:paraId="596FBAF0" w14:textId="77777777" w:rsidTr="00B64A10">
        <w:tc>
          <w:tcPr>
            <w:tcW w:w="4248" w:type="dxa"/>
            <w:tcMar>
              <w:top w:w="15" w:type="dxa"/>
              <w:left w:w="0" w:type="dxa"/>
              <w:bottom w:w="15" w:type="dxa"/>
              <w:right w:w="15" w:type="dxa"/>
            </w:tcMar>
            <w:vAlign w:val="center"/>
            <w:hideMark/>
          </w:tcPr>
          <w:p w14:paraId="680E06CE"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Behavioral Changes</w:t>
            </w:r>
          </w:p>
        </w:tc>
        <w:tc>
          <w:tcPr>
            <w:tcW w:w="1701" w:type="dxa"/>
            <w:vAlign w:val="center"/>
            <w:hideMark/>
          </w:tcPr>
          <w:p w14:paraId="7D28098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488</w:t>
            </w:r>
          </w:p>
        </w:tc>
        <w:tc>
          <w:tcPr>
            <w:tcW w:w="1559" w:type="dxa"/>
            <w:vAlign w:val="center"/>
            <w:hideMark/>
          </w:tcPr>
          <w:p w14:paraId="0401F06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7</w:t>
            </w:r>
          </w:p>
        </w:tc>
      </w:tr>
      <w:tr w:rsidR="007305C7" w:rsidRPr="007305C7" w14:paraId="1B57FE56" w14:textId="77777777" w:rsidTr="00B64A10">
        <w:tc>
          <w:tcPr>
            <w:tcW w:w="4248" w:type="dxa"/>
            <w:tcMar>
              <w:top w:w="15" w:type="dxa"/>
              <w:left w:w="0" w:type="dxa"/>
              <w:bottom w:w="15" w:type="dxa"/>
              <w:right w:w="15" w:type="dxa"/>
            </w:tcMar>
            <w:vAlign w:val="center"/>
            <w:hideMark/>
          </w:tcPr>
          <w:p w14:paraId="2E63732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Hallucinations</w:t>
            </w:r>
          </w:p>
        </w:tc>
        <w:tc>
          <w:tcPr>
            <w:tcW w:w="1701" w:type="dxa"/>
            <w:vAlign w:val="center"/>
            <w:hideMark/>
          </w:tcPr>
          <w:p w14:paraId="3844D96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495</w:t>
            </w:r>
          </w:p>
        </w:tc>
        <w:tc>
          <w:tcPr>
            <w:tcW w:w="1559" w:type="dxa"/>
            <w:vAlign w:val="center"/>
            <w:hideMark/>
          </w:tcPr>
          <w:p w14:paraId="445566DD"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0</w:t>
            </w:r>
          </w:p>
        </w:tc>
      </w:tr>
      <w:tr w:rsidR="007305C7" w:rsidRPr="007305C7" w14:paraId="0050B074" w14:textId="77777777" w:rsidTr="00B64A10">
        <w:tc>
          <w:tcPr>
            <w:tcW w:w="4248" w:type="dxa"/>
            <w:tcMar>
              <w:top w:w="15" w:type="dxa"/>
              <w:left w:w="0" w:type="dxa"/>
              <w:bottom w:w="15" w:type="dxa"/>
              <w:right w:w="15" w:type="dxa"/>
            </w:tcMar>
            <w:vAlign w:val="center"/>
            <w:hideMark/>
          </w:tcPr>
          <w:p w14:paraId="19C4D8C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Red-purple discoloration on toes</w:t>
            </w:r>
          </w:p>
        </w:tc>
        <w:tc>
          <w:tcPr>
            <w:tcW w:w="1701" w:type="dxa"/>
            <w:vAlign w:val="center"/>
            <w:hideMark/>
          </w:tcPr>
          <w:p w14:paraId="2FBBF75F"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495</w:t>
            </w:r>
          </w:p>
        </w:tc>
        <w:tc>
          <w:tcPr>
            <w:tcW w:w="1559" w:type="dxa"/>
            <w:vAlign w:val="center"/>
            <w:hideMark/>
          </w:tcPr>
          <w:p w14:paraId="590DC523"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0</w:t>
            </w:r>
          </w:p>
        </w:tc>
      </w:tr>
      <w:tr w:rsidR="007305C7" w:rsidRPr="007305C7" w14:paraId="031C2AC0" w14:textId="77777777" w:rsidTr="00B64A10">
        <w:tc>
          <w:tcPr>
            <w:tcW w:w="4248" w:type="dxa"/>
            <w:tcBorders>
              <w:bottom w:val="single" w:sz="4" w:space="0" w:color="auto"/>
            </w:tcBorders>
            <w:tcMar>
              <w:top w:w="15" w:type="dxa"/>
              <w:left w:w="0" w:type="dxa"/>
              <w:bottom w:w="15" w:type="dxa"/>
              <w:right w:w="15" w:type="dxa"/>
            </w:tcMar>
            <w:vAlign w:val="center"/>
            <w:hideMark/>
          </w:tcPr>
          <w:p w14:paraId="328DF25C"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Lateral Body/Facial Laughing</w:t>
            </w:r>
          </w:p>
        </w:tc>
        <w:tc>
          <w:tcPr>
            <w:tcW w:w="1701" w:type="dxa"/>
            <w:tcBorders>
              <w:bottom w:val="single" w:sz="4" w:space="0" w:color="auto"/>
            </w:tcBorders>
            <w:vAlign w:val="center"/>
            <w:hideMark/>
          </w:tcPr>
          <w:p w14:paraId="0A979150"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495</w:t>
            </w:r>
          </w:p>
        </w:tc>
        <w:tc>
          <w:tcPr>
            <w:tcW w:w="1559" w:type="dxa"/>
            <w:tcBorders>
              <w:bottom w:val="single" w:sz="4" w:space="0" w:color="auto"/>
            </w:tcBorders>
            <w:vAlign w:val="center"/>
            <w:hideMark/>
          </w:tcPr>
          <w:p w14:paraId="73AE5C69" w14:textId="77777777" w:rsidR="007305C7" w:rsidRPr="007305C7" w:rsidRDefault="007305C7" w:rsidP="007305C7">
            <w:pPr>
              <w:spacing w:after="0" w:line="240" w:lineRule="auto"/>
              <w:rPr>
                <w:rFonts w:ascii="Arial" w:eastAsia="Times New Roman" w:hAnsi="Arial" w:cs="Arial"/>
                <w:color w:val="404040"/>
              </w:rPr>
            </w:pPr>
            <w:r w:rsidRPr="007305C7">
              <w:rPr>
                <w:rFonts w:ascii="Arial" w:eastAsia="Times New Roman" w:hAnsi="Arial" w:cs="Arial"/>
                <w:color w:val="404040"/>
              </w:rPr>
              <w:t>0</w:t>
            </w:r>
          </w:p>
        </w:tc>
      </w:tr>
    </w:tbl>
    <w:p w14:paraId="6AA0ABF0" w14:textId="77777777" w:rsidR="007305C7" w:rsidRDefault="007305C7" w:rsidP="007305C7">
      <w:pPr>
        <w:spacing w:line="360" w:lineRule="auto"/>
        <w:jc w:val="both"/>
        <w:rPr>
          <w:rFonts w:ascii="Arial" w:hAnsi="Arial" w:cs="Arial"/>
        </w:rPr>
      </w:pPr>
    </w:p>
    <w:p w14:paraId="30F10C21" w14:textId="5B30C8CE" w:rsidR="007305C7" w:rsidRDefault="007305C7" w:rsidP="007305C7">
      <w:pPr>
        <w:pStyle w:val="NormalWeb"/>
        <w:spacing w:before="200" w:beforeAutospacing="0" w:after="0" w:afterAutospacing="0"/>
        <w:jc w:val="both"/>
      </w:pPr>
      <w:r>
        <w:rPr>
          <w:rFonts w:ascii="Arial" w:hAnsi="Arial" w:cs="Arial"/>
          <w:b/>
          <w:bCs/>
          <w:color w:val="000000"/>
          <w:sz w:val="22"/>
          <w:szCs w:val="22"/>
        </w:rPr>
        <w:t>Table S1</w:t>
      </w:r>
      <w:r>
        <w:rPr>
          <w:rFonts w:ascii="Arial" w:hAnsi="Arial" w:cs="Arial"/>
          <w:color w:val="000000"/>
          <w:sz w:val="20"/>
          <w:szCs w:val="20"/>
        </w:rPr>
        <w:t xml:space="preserve">. </w:t>
      </w:r>
      <w:r>
        <w:rPr>
          <w:rFonts w:ascii="Arial" w:hAnsi="Arial" w:cs="Arial"/>
          <w:b/>
          <w:bCs/>
          <w:color w:val="000000"/>
          <w:sz w:val="20"/>
          <w:szCs w:val="20"/>
        </w:rPr>
        <w:t>Full list of 61 distinct symptoms</w:t>
      </w:r>
      <w:r>
        <w:rPr>
          <w:rFonts w:ascii="Arial" w:hAnsi="Arial" w:cs="Arial"/>
          <w:color w:val="000000"/>
          <w:sz w:val="20"/>
          <w:szCs w:val="20"/>
        </w:rPr>
        <w:t xml:space="preserve">. </w:t>
      </w:r>
    </w:p>
    <w:p w14:paraId="2A6B14B9" w14:textId="77777777" w:rsidR="007305C7" w:rsidRDefault="007305C7" w:rsidP="007305C7">
      <w:pPr>
        <w:spacing w:line="360" w:lineRule="auto"/>
        <w:jc w:val="both"/>
        <w:rPr>
          <w:rFonts w:ascii="Arial" w:hAnsi="Arial" w:cs="Arial"/>
        </w:rPr>
      </w:pPr>
    </w:p>
    <w:p w14:paraId="6906C2AA" w14:textId="77777777" w:rsidR="007305C7" w:rsidRPr="007305C7" w:rsidRDefault="007305C7" w:rsidP="007305C7">
      <w:pPr>
        <w:spacing w:line="360" w:lineRule="auto"/>
        <w:jc w:val="both"/>
        <w:rPr>
          <w:rFonts w:ascii="Arial" w:eastAsia="Arial" w:hAnsi="Arial" w:cs="Arial"/>
          <w:b/>
          <w:szCs w:val="40"/>
          <w:lang w:val="en" w:eastAsia="de-DE"/>
        </w:rPr>
      </w:pPr>
      <w:r w:rsidRPr="007305C7">
        <w:rPr>
          <w:rFonts w:ascii="Arial" w:eastAsia="Arial" w:hAnsi="Arial" w:cs="Arial"/>
          <w:b/>
          <w:szCs w:val="40"/>
          <w:lang w:val="en" w:eastAsia="de-DE"/>
        </w:rPr>
        <w:t>References:</w:t>
      </w:r>
    </w:p>
    <w:p w14:paraId="4366DC35" w14:textId="42D95290" w:rsidR="00A81144" w:rsidRDefault="007305C7" w:rsidP="007305C7">
      <w:pPr>
        <w:spacing w:line="360" w:lineRule="auto"/>
        <w:jc w:val="both"/>
        <w:rPr>
          <w:rFonts w:ascii="Arial" w:hAnsi="Arial" w:cs="Arial"/>
        </w:rPr>
      </w:pPr>
      <w:r w:rsidRPr="007305C7">
        <w:rPr>
          <w:rFonts w:ascii="Arial" w:hAnsi="Arial" w:cs="Arial"/>
        </w:rPr>
        <w:t>Sollis, Elliot, et al. "The NHGRI-EBI GWAS Catalog: knowledgebase and deposition resource." Nucleic acids research 51.D1 (2023): D977-D985.</w:t>
      </w:r>
    </w:p>
    <w:p w14:paraId="357138F7" w14:textId="77777777" w:rsidR="00A81144" w:rsidRPr="00A81144" w:rsidRDefault="00A81144" w:rsidP="00A81144">
      <w:pPr>
        <w:rPr>
          <w:rFonts w:ascii="Arial" w:hAnsi="Arial" w:cs="Arial"/>
        </w:rPr>
      </w:pPr>
    </w:p>
    <w:p w14:paraId="36569EB4" w14:textId="77777777" w:rsidR="00A81144" w:rsidRPr="00A81144" w:rsidRDefault="00A81144" w:rsidP="00A81144">
      <w:pPr>
        <w:rPr>
          <w:rFonts w:ascii="Arial" w:hAnsi="Arial" w:cs="Arial"/>
        </w:rPr>
      </w:pPr>
    </w:p>
    <w:p w14:paraId="6136B637" w14:textId="77777777" w:rsidR="00A81144" w:rsidRPr="00A81144" w:rsidRDefault="00A81144" w:rsidP="00A81144">
      <w:pPr>
        <w:rPr>
          <w:rFonts w:ascii="Arial" w:hAnsi="Arial" w:cs="Arial"/>
        </w:rPr>
      </w:pPr>
    </w:p>
    <w:p w14:paraId="18138E20" w14:textId="77777777" w:rsidR="00A81144" w:rsidRPr="00A81144" w:rsidRDefault="00A81144" w:rsidP="00A81144">
      <w:pPr>
        <w:rPr>
          <w:rFonts w:ascii="Arial" w:hAnsi="Arial" w:cs="Arial"/>
        </w:rPr>
      </w:pPr>
    </w:p>
    <w:p w14:paraId="52A735EB" w14:textId="77777777" w:rsidR="00A81144" w:rsidRPr="00A81144" w:rsidRDefault="00A81144" w:rsidP="00A81144">
      <w:pPr>
        <w:rPr>
          <w:rFonts w:ascii="Arial" w:hAnsi="Arial" w:cs="Arial"/>
        </w:rPr>
      </w:pPr>
    </w:p>
    <w:p w14:paraId="0169488F" w14:textId="77777777" w:rsidR="00A81144" w:rsidRPr="00A81144" w:rsidRDefault="00A81144" w:rsidP="00A81144">
      <w:pPr>
        <w:rPr>
          <w:rFonts w:ascii="Arial" w:hAnsi="Arial" w:cs="Arial"/>
        </w:rPr>
      </w:pPr>
    </w:p>
    <w:p w14:paraId="15A7E75C" w14:textId="77777777" w:rsidR="00A81144" w:rsidRPr="00A81144" w:rsidRDefault="00A81144" w:rsidP="00A81144">
      <w:pPr>
        <w:rPr>
          <w:rFonts w:ascii="Arial" w:hAnsi="Arial" w:cs="Arial"/>
        </w:rPr>
      </w:pPr>
    </w:p>
    <w:p w14:paraId="32C386A6" w14:textId="77777777" w:rsidR="00A81144" w:rsidRPr="00A81144" w:rsidRDefault="00A81144" w:rsidP="00A81144">
      <w:pPr>
        <w:rPr>
          <w:rFonts w:ascii="Arial" w:hAnsi="Arial" w:cs="Arial"/>
        </w:rPr>
      </w:pPr>
    </w:p>
    <w:p w14:paraId="3F28D862" w14:textId="77777777" w:rsidR="00A81144" w:rsidRPr="00A81144" w:rsidRDefault="00A81144" w:rsidP="00A81144">
      <w:pPr>
        <w:rPr>
          <w:rFonts w:ascii="Arial" w:hAnsi="Arial" w:cs="Arial"/>
        </w:rPr>
      </w:pPr>
    </w:p>
    <w:p w14:paraId="70F57E1C" w14:textId="77777777" w:rsidR="00A81144" w:rsidRPr="00A81144" w:rsidRDefault="00A81144" w:rsidP="00A81144">
      <w:pPr>
        <w:rPr>
          <w:rFonts w:ascii="Arial" w:hAnsi="Arial" w:cs="Arial"/>
        </w:rPr>
      </w:pPr>
    </w:p>
    <w:p w14:paraId="6A959A59" w14:textId="77777777" w:rsidR="00A81144" w:rsidRPr="00A81144" w:rsidRDefault="00A81144" w:rsidP="00A81144">
      <w:pPr>
        <w:rPr>
          <w:rFonts w:ascii="Arial" w:hAnsi="Arial" w:cs="Arial"/>
        </w:rPr>
      </w:pPr>
    </w:p>
    <w:p w14:paraId="26413934" w14:textId="14F3DDED" w:rsidR="007305C7" w:rsidRPr="00A81144" w:rsidRDefault="007305C7" w:rsidP="00A81144">
      <w:pPr>
        <w:jc w:val="right"/>
        <w:rPr>
          <w:rFonts w:ascii="Arial" w:hAnsi="Arial" w:cs="Arial"/>
        </w:rPr>
      </w:pPr>
    </w:p>
    <w:sectPr w:rsidR="007305C7" w:rsidRPr="00A81144" w:rsidSect="00B64A10">
      <w:footerReference w:type="default" r:id="rId7"/>
      <w:pgSz w:w="12240" w:h="15840"/>
      <w:pgMar w:top="1135" w:right="1417" w:bottom="1134"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FB19C" w14:textId="77777777" w:rsidR="00E83E04" w:rsidRDefault="00E83E04" w:rsidP="00B64A10">
      <w:pPr>
        <w:spacing w:after="0" w:line="240" w:lineRule="auto"/>
      </w:pPr>
      <w:r>
        <w:separator/>
      </w:r>
    </w:p>
  </w:endnote>
  <w:endnote w:type="continuationSeparator" w:id="0">
    <w:p w14:paraId="5798ADE9" w14:textId="77777777" w:rsidR="00E83E04" w:rsidRDefault="00E83E04" w:rsidP="00B6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932580"/>
      <w:docPartObj>
        <w:docPartGallery w:val="Page Numbers (Bottom of Page)"/>
        <w:docPartUnique/>
      </w:docPartObj>
    </w:sdtPr>
    <w:sdtEndPr>
      <w:rPr>
        <w:noProof/>
      </w:rPr>
    </w:sdtEndPr>
    <w:sdtContent>
      <w:p w14:paraId="7495FB9C" w14:textId="033DD850" w:rsidR="00A81144" w:rsidRDefault="00A81144">
        <w:pPr>
          <w:pStyle w:val="Footer"/>
          <w:jc w:val="right"/>
        </w:pPr>
        <w:r>
          <w:fldChar w:fldCharType="begin"/>
        </w:r>
        <w:r>
          <w:instrText xml:space="preserve"> PAGE   \* MERGEFORMAT </w:instrText>
        </w:r>
        <w:r>
          <w:fldChar w:fldCharType="separate"/>
        </w:r>
        <w:r w:rsidR="00744DF8">
          <w:rPr>
            <w:noProof/>
          </w:rPr>
          <w:t>4</w:t>
        </w:r>
        <w:r>
          <w:rPr>
            <w:noProof/>
          </w:rPr>
          <w:fldChar w:fldCharType="end"/>
        </w:r>
      </w:p>
    </w:sdtContent>
  </w:sdt>
  <w:p w14:paraId="4A7A9D73" w14:textId="77777777" w:rsidR="00A81144" w:rsidRDefault="00A81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511BE" w14:textId="77777777" w:rsidR="00E83E04" w:rsidRDefault="00E83E04" w:rsidP="00B64A10">
      <w:pPr>
        <w:spacing w:after="0" w:line="240" w:lineRule="auto"/>
      </w:pPr>
      <w:r>
        <w:separator/>
      </w:r>
    </w:p>
  </w:footnote>
  <w:footnote w:type="continuationSeparator" w:id="0">
    <w:p w14:paraId="7B32768F" w14:textId="77777777" w:rsidR="00E83E04" w:rsidRDefault="00E83E04" w:rsidP="00B64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62147"/>
    <w:multiLevelType w:val="multilevel"/>
    <w:tmpl w:val="BB9E0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5C7"/>
    <w:rsid w:val="00016E04"/>
    <w:rsid w:val="00167A96"/>
    <w:rsid w:val="002364E9"/>
    <w:rsid w:val="002A0D8B"/>
    <w:rsid w:val="003B0AE2"/>
    <w:rsid w:val="005E4C27"/>
    <w:rsid w:val="006F0206"/>
    <w:rsid w:val="007305C7"/>
    <w:rsid w:val="00744DF8"/>
    <w:rsid w:val="007E5B56"/>
    <w:rsid w:val="00840722"/>
    <w:rsid w:val="00936267"/>
    <w:rsid w:val="00995013"/>
    <w:rsid w:val="009A14A9"/>
    <w:rsid w:val="00A30929"/>
    <w:rsid w:val="00A7066D"/>
    <w:rsid w:val="00A81144"/>
    <w:rsid w:val="00B64A10"/>
    <w:rsid w:val="00C5615A"/>
    <w:rsid w:val="00D21AE7"/>
    <w:rsid w:val="00D40E26"/>
    <w:rsid w:val="00E425DE"/>
    <w:rsid w:val="00E83E04"/>
    <w:rsid w:val="00E92C96"/>
    <w:rsid w:val="00EA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679E67"/>
  <w15:chartTrackingRefBased/>
  <w15:docId w15:val="{B1715291-5A2D-4812-B9B2-0FBB8F52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05C7"/>
    <w:pPr>
      <w:keepNext/>
      <w:keepLines/>
      <w:spacing w:before="400" w:after="120" w:line="276" w:lineRule="auto"/>
      <w:outlineLvl w:val="0"/>
    </w:pPr>
    <w:rPr>
      <w:rFonts w:ascii="Arial" w:eastAsia="Arial" w:hAnsi="Arial" w:cs="Arial"/>
      <w:sz w:val="40"/>
      <w:szCs w:val="40"/>
      <w:lang w:val="en"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5C7"/>
    <w:rPr>
      <w:rFonts w:ascii="Arial" w:eastAsia="Arial" w:hAnsi="Arial" w:cs="Arial"/>
      <w:sz w:val="40"/>
      <w:szCs w:val="40"/>
      <w:lang w:val="en" w:eastAsia="de-DE"/>
    </w:rPr>
  </w:style>
  <w:style w:type="paragraph" w:styleId="NormalWeb">
    <w:name w:val="Normal (Web)"/>
    <w:basedOn w:val="Normal"/>
    <w:uiPriority w:val="99"/>
    <w:semiHidden/>
    <w:unhideWhenUsed/>
    <w:rsid w:val="007305C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425DE"/>
    <w:rPr>
      <w:sz w:val="16"/>
      <w:szCs w:val="16"/>
    </w:rPr>
  </w:style>
  <w:style w:type="paragraph" w:styleId="CommentText">
    <w:name w:val="annotation text"/>
    <w:basedOn w:val="Normal"/>
    <w:link w:val="CommentTextChar"/>
    <w:uiPriority w:val="99"/>
    <w:semiHidden/>
    <w:unhideWhenUsed/>
    <w:rsid w:val="00E425DE"/>
    <w:pPr>
      <w:spacing w:line="240" w:lineRule="auto"/>
    </w:pPr>
    <w:rPr>
      <w:sz w:val="20"/>
      <w:szCs w:val="20"/>
    </w:rPr>
  </w:style>
  <w:style w:type="character" w:customStyle="1" w:styleId="CommentTextChar">
    <w:name w:val="Comment Text Char"/>
    <w:basedOn w:val="DefaultParagraphFont"/>
    <w:link w:val="CommentText"/>
    <w:uiPriority w:val="99"/>
    <w:semiHidden/>
    <w:rsid w:val="00E425DE"/>
    <w:rPr>
      <w:sz w:val="20"/>
      <w:szCs w:val="20"/>
    </w:rPr>
  </w:style>
  <w:style w:type="paragraph" w:styleId="CommentSubject">
    <w:name w:val="annotation subject"/>
    <w:basedOn w:val="CommentText"/>
    <w:next w:val="CommentText"/>
    <w:link w:val="CommentSubjectChar"/>
    <w:uiPriority w:val="99"/>
    <w:semiHidden/>
    <w:unhideWhenUsed/>
    <w:rsid w:val="00E425DE"/>
    <w:rPr>
      <w:b/>
      <w:bCs/>
    </w:rPr>
  </w:style>
  <w:style w:type="character" w:customStyle="1" w:styleId="CommentSubjectChar">
    <w:name w:val="Comment Subject Char"/>
    <w:basedOn w:val="CommentTextChar"/>
    <w:link w:val="CommentSubject"/>
    <w:uiPriority w:val="99"/>
    <w:semiHidden/>
    <w:rsid w:val="00E425DE"/>
    <w:rPr>
      <w:b/>
      <w:bCs/>
      <w:sz w:val="20"/>
      <w:szCs w:val="20"/>
    </w:rPr>
  </w:style>
  <w:style w:type="paragraph" w:styleId="BalloonText">
    <w:name w:val="Balloon Text"/>
    <w:basedOn w:val="Normal"/>
    <w:link w:val="BalloonTextChar"/>
    <w:uiPriority w:val="99"/>
    <w:semiHidden/>
    <w:unhideWhenUsed/>
    <w:rsid w:val="00E42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5DE"/>
    <w:rPr>
      <w:rFonts w:ascii="Segoe UI" w:hAnsi="Segoe UI" w:cs="Segoe UI"/>
      <w:sz w:val="18"/>
      <w:szCs w:val="18"/>
    </w:rPr>
  </w:style>
  <w:style w:type="character" w:styleId="Hyperlink">
    <w:name w:val="Hyperlink"/>
    <w:basedOn w:val="DefaultParagraphFont"/>
    <w:uiPriority w:val="99"/>
    <w:unhideWhenUsed/>
    <w:rsid w:val="007E5B56"/>
    <w:rPr>
      <w:color w:val="0563C1" w:themeColor="hyperlink"/>
      <w:u w:val="single"/>
    </w:rPr>
  </w:style>
  <w:style w:type="paragraph" w:styleId="Header">
    <w:name w:val="header"/>
    <w:basedOn w:val="Normal"/>
    <w:link w:val="HeaderChar"/>
    <w:uiPriority w:val="99"/>
    <w:unhideWhenUsed/>
    <w:rsid w:val="00B64A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4A10"/>
  </w:style>
  <w:style w:type="paragraph" w:styleId="Footer">
    <w:name w:val="footer"/>
    <w:basedOn w:val="Normal"/>
    <w:link w:val="FooterChar"/>
    <w:uiPriority w:val="99"/>
    <w:unhideWhenUsed/>
    <w:rsid w:val="00B64A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1109">
      <w:bodyDiv w:val="1"/>
      <w:marLeft w:val="0"/>
      <w:marRight w:val="0"/>
      <w:marTop w:val="0"/>
      <w:marBottom w:val="0"/>
      <w:divBdr>
        <w:top w:val="none" w:sz="0" w:space="0" w:color="auto"/>
        <w:left w:val="none" w:sz="0" w:space="0" w:color="auto"/>
        <w:bottom w:val="none" w:sz="0" w:space="0" w:color="auto"/>
        <w:right w:val="none" w:sz="0" w:space="0" w:color="auto"/>
      </w:divBdr>
    </w:div>
    <w:div w:id="620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Unimedizin der Johannes Gutenberg Universität Mainz</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Golriz Khatami, Sepehr</dc:creator>
  <cp:keywords/>
  <dc:description/>
  <cp:lastModifiedBy>Golriz Khatami, Sepehr</cp:lastModifiedBy>
  <cp:revision>2</cp:revision>
  <dcterms:created xsi:type="dcterms:W3CDTF">2025-02-11T15:39:00Z</dcterms:created>
  <dcterms:modified xsi:type="dcterms:W3CDTF">2025-02-11T15:39:00Z</dcterms:modified>
</cp:coreProperties>
</file>