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48FE" w:rsidRDefault="00FE48FE" w:rsidP="00FE48FE">
      <w:pPr>
        <w:shd w:val="clear" w:color="auto" w:fill="FFFFFF"/>
        <w:spacing w:before="100" w:beforeAutospacing="1" w:after="100" w:afterAutospacing="1" w:line="480" w:lineRule="auto"/>
        <w:rPr>
          <w:rFonts w:ascii="Times New Roman" w:hAnsi="Times New Roman"/>
          <w:b/>
          <w:color w:val="333333"/>
          <w:sz w:val="28"/>
          <w:szCs w:val="28"/>
          <w:shd w:val="clear" w:color="auto" w:fill="FFFFFF"/>
          <w:lang w:val="en-US"/>
        </w:rPr>
      </w:pPr>
      <w:r>
        <w:rPr>
          <w:rFonts w:ascii="Times New Roman" w:hAnsi="Times New Roman"/>
          <w:b/>
          <w:color w:val="333333"/>
          <w:sz w:val="28"/>
          <w:szCs w:val="28"/>
          <w:shd w:val="clear" w:color="auto" w:fill="FFFFFF"/>
          <w:lang w:val="en-US"/>
        </w:rPr>
        <w:t>Novelty and significance</w:t>
      </w:r>
    </w:p>
    <w:p w:rsidR="00FE48FE" w:rsidRDefault="00FE48FE" w:rsidP="00FE48FE">
      <w:pPr>
        <w:autoSpaceDE w:val="0"/>
        <w:autoSpaceDN w:val="0"/>
        <w:adjustRightInd w:val="0"/>
        <w:spacing w:line="480" w:lineRule="auto"/>
        <w:jc w:val="left"/>
        <w:rPr>
          <w:rFonts w:ascii="Times New Roman" w:hAnsi="Times New Roman"/>
          <w:b/>
          <w:color w:val="333333"/>
          <w:sz w:val="28"/>
          <w:szCs w:val="28"/>
          <w:shd w:val="clear" w:color="auto" w:fill="FFFFFF"/>
          <w:lang w:val="en-US"/>
        </w:rPr>
      </w:pPr>
      <w:r>
        <w:rPr>
          <w:rFonts w:ascii="Times New Roman" w:hAnsi="Times New Roman"/>
          <w:b/>
          <w:color w:val="333333"/>
          <w:sz w:val="28"/>
          <w:szCs w:val="28"/>
          <w:shd w:val="clear" w:color="auto" w:fill="FFFFFF"/>
          <w:lang w:val="en-US"/>
        </w:rPr>
        <w:t>What is new?</w:t>
      </w:r>
    </w:p>
    <w:p w:rsidR="00FE48FE" w:rsidRDefault="00FE48FE" w:rsidP="00FE48FE">
      <w:pPr>
        <w:pStyle w:val="ListParagraph"/>
        <w:numPr>
          <w:ilvl w:val="0"/>
          <w:numId w:val="1"/>
        </w:numPr>
        <w:autoSpaceDE w:val="0"/>
        <w:autoSpaceDN w:val="0"/>
        <w:adjustRightInd w:val="0"/>
        <w:spacing w:line="480" w:lineRule="auto"/>
        <w:rPr>
          <w:rFonts w:ascii="Times New Roman" w:hAnsi="Times New Roman"/>
          <w:b/>
          <w:lang w:val="en-US"/>
        </w:rPr>
      </w:pPr>
      <w:r>
        <w:rPr>
          <w:rFonts w:ascii="Times New Roman" w:hAnsi="Times New Roman"/>
          <w:lang w:val="en-US"/>
        </w:rPr>
        <w:t>Early pregnancy clinical risk factors for preeclampsia are well established. There is also a body of evidence supporting the importance of pregnancy trajectories of clinical parameters.</w:t>
      </w:r>
    </w:p>
    <w:p w:rsidR="00FE48FE" w:rsidRDefault="00FE48FE" w:rsidP="00FE48FE">
      <w:pPr>
        <w:pStyle w:val="ListParagraph"/>
        <w:numPr>
          <w:ilvl w:val="0"/>
          <w:numId w:val="1"/>
        </w:numPr>
        <w:autoSpaceDE w:val="0"/>
        <w:autoSpaceDN w:val="0"/>
        <w:adjustRightInd w:val="0"/>
        <w:spacing w:line="480" w:lineRule="auto"/>
        <w:rPr>
          <w:rFonts w:ascii="Times New Roman" w:hAnsi="Times New Roman"/>
          <w:b/>
          <w:lang w:val="en-US"/>
        </w:rPr>
      </w:pPr>
      <w:r>
        <w:rPr>
          <w:rFonts w:ascii="Times New Roman" w:hAnsi="Times New Roman"/>
          <w:lang w:val="en-US"/>
        </w:rPr>
        <w:t xml:space="preserve">By </w:t>
      </w:r>
      <w:r>
        <w:rPr>
          <w:rFonts w:ascii="Times New Roman" w:hAnsi="Times New Roman"/>
          <w:color w:val="000000"/>
          <w:shd w:val="clear" w:color="auto" w:fill="FFFFFF"/>
          <w:lang w:val="en-US"/>
        </w:rPr>
        <w:t>taking early pregnancy predictors together with routinely collected examinations with serial measurements throughout pregnancy, t</w:t>
      </w:r>
      <w:r>
        <w:rPr>
          <w:rFonts w:ascii="Times New Roman" w:eastAsiaTheme="minorHAnsi" w:hAnsi="Times New Roman"/>
          <w:color w:val="000000"/>
          <w:lang w:val="en-US"/>
        </w:rPr>
        <w:t>he predictive capacity</w:t>
      </w:r>
      <w:r>
        <w:rPr>
          <w:rFonts w:ascii="Times New Roman" w:hAnsi="Times New Roman"/>
          <w:color w:val="201F1E"/>
          <w:bdr w:val="none" w:sz="0" w:space="0" w:color="auto" w:frame="1"/>
          <w:lang w:val="en-US"/>
        </w:rPr>
        <w:t xml:space="preserve"> for</w:t>
      </w:r>
      <w:r>
        <w:rPr>
          <w:rFonts w:ascii="Times New Roman" w:hAnsi="Times New Roman"/>
          <w:bdr w:val="none" w:sz="0" w:space="0" w:color="auto" w:frame="1"/>
          <w:lang w:val="en-US"/>
        </w:rPr>
        <w:t xml:space="preserve"> preeclampsia can increase with gestational age at time of prediction.</w:t>
      </w:r>
    </w:p>
    <w:p w:rsidR="00FE48FE" w:rsidRDefault="00FE48FE" w:rsidP="00FE48FE">
      <w:pPr>
        <w:pStyle w:val="Default"/>
        <w:spacing w:line="360" w:lineRule="auto"/>
        <w:rPr>
          <w:rFonts w:ascii="Times New Roman" w:hAnsi="Times New Roman" w:cs="Times New Roman"/>
          <w:b/>
          <w:color w:val="333333"/>
          <w:lang w:val="en-US"/>
        </w:rPr>
      </w:pPr>
    </w:p>
    <w:p w:rsidR="00FE48FE" w:rsidRDefault="00FE48FE" w:rsidP="00FE48FE">
      <w:pPr>
        <w:pStyle w:val="Default"/>
        <w:spacing w:line="360" w:lineRule="auto"/>
        <w:rPr>
          <w:rFonts w:ascii="Times New Roman" w:hAnsi="Times New Roman" w:cs="Times New Roman"/>
          <w:b/>
          <w:color w:val="333333"/>
          <w:lang w:val="en-US"/>
        </w:rPr>
      </w:pPr>
      <w:r>
        <w:rPr>
          <w:rFonts w:ascii="Times New Roman" w:hAnsi="Times New Roman" w:cs="Times New Roman"/>
          <w:b/>
          <w:color w:val="333333"/>
          <w:lang w:val="en-US"/>
        </w:rPr>
        <w:t>What is relevant?</w:t>
      </w:r>
    </w:p>
    <w:p w:rsidR="00FE48FE" w:rsidRDefault="00FE48FE" w:rsidP="00FE48FE">
      <w:pPr>
        <w:pStyle w:val="ListParagraph"/>
        <w:numPr>
          <w:ilvl w:val="0"/>
          <w:numId w:val="2"/>
        </w:numPr>
        <w:shd w:val="clear" w:color="auto" w:fill="FFFFFF"/>
        <w:spacing w:before="100" w:beforeAutospacing="1" w:after="100" w:afterAutospacing="1" w:line="480" w:lineRule="auto"/>
        <w:rPr>
          <w:rFonts w:ascii="Times New Roman" w:hAnsi="Times New Roman"/>
          <w:b/>
          <w:color w:val="333333"/>
          <w:shd w:val="clear" w:color="auto" w:fill="FFFFFF"/>
          <w:lang w:val="en-US"/>
        </w:rPr>
      </w:pPr>
      <w:r>
        <w:rPr>
          <w:rFonts w:ascii="Times New Roman" w:hAnsi="Times New Roman"/>
          <w:shd w:val="clear" w:color="auto" w:fill="FFFFFF"/>
          <w:lang w:val="en-US"/>
        </w:rPr>
        <w:t>By using routinely clinical information from first, second and third trimester in multivariable models, identification of nulliparous women who are at risk of developing preeclampsia can be improved from gestational week 24 and onwards.</w:t>
      </w:r>
    </w:p>
    <w:p w:rsidR="00FE48FE" w:rsidRDefault="00FE48FE" w:rsidP="00FE48FE">
      <w:pPr>
        <w:shd w:val="clear" w:color="auto" w:fill="FFFFFF"/>
        <w:spacing w:before="100" w:beforeAutospacing="1" w:after="100" w:afterAutospacing="1" w:line="480" w:lineRule="auto"/>
        <w:rPr>
          <w:rFonts w:ascii="Times New Roman" w:hAnsi="Times New Roman"/>
          <w:b/>
          <w:color w:val="333333"/>
          <w:shd w:val="clear" w:color="auto" w:fill="FFFFFF"/>
          <w:lang w:val="en-US"/>
        </w:rPr>
      </w:pPr>
      <w:r>
        <w:rPr>
          <w:rFonts w:ascii="Times New Roman" w:hAnsi="Times New Roman"/>
          <w:b/>
          <w:color w:val="333333"/>
          <w:shd w:val="clear" w:color="auto" w:fill="FFFFFF"/>
          <w:lang w:val="en-US"/>
        </w:rPr>
        <w:t>Summary</w:t>
      </w:r>
    </w:p>
    <w:p w:rsidR="00FE48FE" w:rsidRDefault="00FE48FE" w:rsidP="00FE48FE">
      <w:pPr>
        <w:autoSpaceDE w:val="0"/>
        <w:autoSpaceDN w:val="0"/>
        <w:adjustRightInd w:val="0"/>
        <w:spacing w:line="480" w:lineRule="auto"/>
        <w:jc w:val="left"/>
        <w:rPr>
          <w:rFonts w:ascii="Times New Roman" w:hAnsi="Times New Roman"/>
          <w:sz w:val="24"/>
          <w:szCs w:val="24"/>
          <w:shd w:val="clear" w:color="auto" w:fill="FFFFFF"/>
          <w:lang w:val="en-US"/>
        </w:rPr>
      </w:pPr>
      <w:r>
        <w:rPr>
          <w:rFonts w:ascii="Times New Roman" w:hAnsi="Times New Roman"/>
          <w:color w:val="000000"/>
          <w:sz w:val="24"/>
          <w:szCs w:val="24"/>
          <w:lang w:val="en-US"/>
        </w:rPr>
        <w:t xml:space="preserve">By using routinely collected antenatal data throughout pregnancy, </w:t>
      </w:r>
      <w:r>
        <w:rPr>
          <w:rFonts w:ascii="Times New Roman" w:hAnsi="Times New Roman"/>
          <w:sz w:val="24"/>
          <w:szCs w:val="24"/>
          <w:shd w:val="clear" w:color="auto" w:fill="FFFFFF"/>
          <w:lang w:val="en-US"/>
        </w:rPr>
        <w:t xml:space="preserve">preeclampsia prediction can be </w:t>
      </w:r>
      <w:r>
        <w:rPr>
          <w:rFonts w:ascii="Times New Roman" w:hAnsi="Times New Roman"/>
          <w:color w:val="000000"/>
          <w:sz w:val="24"/>
          <w:szCs w:val="24"/>
          <w:lang w:val="en-US"/>
        </w:rPr>
        <w:t>improved</w:t>
      </w:r>
      <w:r>
        <w:rPr>
          <w:rFonts w:ascii="Times New Roman" w:hAnsi="Times New Roman"/>
          <w:sz w:val="24"/>
          <w:szCs w:val="24"/>
          <w:shd w:val="clear" w:color="auto" w:fill="FFFFFF"/>
          <w:lang w:val="en-US"/>
        </w:rPr>
        <w:t xml:space="preserve"> and </w:t>
      </w:r>
      <w:r>
        <w:rPr>
          <w:rFonts w:ascii="Times New Roman" w:hAnsi="Times New Roman"/>
          <w:color w:val="201F1E"/>
          <w:sz w:val="24"/>
          <w:szCs w:val="24"/>
          <w:bdr w:val="none" w:sz="0" w:space="0" w:color="auto" w:frame="1"/>
          <w:lang w:val="en-US"/>
        </w:rPr>
        <w:t xml:space="preserve">iteratively </w:t>
      </w:r>
      <w:r>
        <w:rPr>
          <w:rFonts w:ascii="Times New Roman" w:hAnsi="Times New Roman"/>
          <w:sz w:val="24"/>
          <w:szCs w:val="24"/>
          <w:shd w:val="clear" w:color="auto" w:fill="FFFFFF"/>
          <w:lang w:val="en-US"/>
        </w:rPr>
        <w:t>updated at each visit in antenatal care.</w:t>
      </w:r>
    </w:p>
    <w:p w:rsidR="00FE48FE" w:rsidRDefault="00FE48FE" w:rsidP="00FE48FE">
      <w:pPr>
        <w:spacing w:line="480" w:lineRule="auto"/>
        <w:jc w:val="left"/>
        <w:rPr>
          <w:rFonts w:ascii="Times New Roman" w:hAnsi="Times New Roman"/>
          <w:bCs/>
          <w:sz w:val="24"/>
          <w:szCs w:val="24"/>
          <w:lang w:val="en-US"/>
        </w:rPr>
      </w:pP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CB276D"/>
    <w:multiLevelType w:val="hybridMultilevel"/>
    <w:tmpl w:val="7E12DECE"/>
    <w:lvl w:ilvl="0" w:tplc="20000001">
      <w:start w:val="1"/>
      <w:numFmt w:val="bullet"/>
      <w:lvlText w:val=""/>
      <w:lvlJc w:val="left"/>
      <w:pPr>
        <w:ind w:left="1440" w:hanging="360"/>
      </w:pPr>
      <w:rPr>
        <w:rFonts w:ascii="Symbol" w:hAnsi="Symbol" w:hint="default"/>
      </w:rPr>
    </w:lvl>
    <w:lvl w:ilvl="1" w:tplc="20000003">
      <w:start w:val="1"/>
      <w:numFmt w:val="bullet"/>
      <w:lvlText w:val="o"/>
      <w:lvlJc w:val="left"/>
      <w:pPr>
        <w:ind w:left="2160" w:hanging="360"/>
      </w:pPr>
      <w:rPr>
        <w:rFonts w:ascii="Courier New" w:hAnsi="Courier New" w:cs="Courier New" w:hint="default"/>
      </w:rPr>
    </w:lvl>
    <w:lvl w:ilvl="2" w:tplc="20000005">
      <w:start w:val="1"/>
      <w:numFmt w:val="bullet"/>
      <w:lvlText w:val=""/>
      <w:lvlJc w:val="left"/>
      <w:pPr>
        <w:ind w:left="2880" w:hanging="360"/>
      </w:pPr>
      <w:rPr>
        <w:rFonts w:ascii="Wingdings" w:hAnsi="Wingdings" w:hint="default"/>
      </w:rPr>
    </w:lvl>
    <w:lvl w:ilvl="3" w:tplc="20000001">
      <w:start w:val="1"/>
      <w:numFmt w:val="bullet"/>
      <w:lvlText w:val=""/>
      <w:lvlJc w:val="left"/>
      <w:pPr>
        <w:ind w:left="3600" w:hanging="360"/>
      </w:pPr>
      <w:rPr>
        <w:rFonts w:ascii="Symbol" w:hAnsi="Symbol" w:hint="default"/>
      </w:rPr>
    </w:lvl>
    <w:lvl w:ilvl="4" w:tplc="20000003">
      <w:start w:val="1"/>
      <w:numFmt w:val="bullet"/>
      <w:lvlText w:val="o"/>
      <w:lvlJc w:val="left"/>
      <w:pPr>
        <w:ind w:left="4320" w:hanging="360"/>
      </w:pPr>
      <w:rPr>
        <w:rFonts w:ascii="Courier New" w:hAnsi="Courier New" w:cs="Courier New" w:hint="default"/>
      </w:rPr>
    </w:lvl>
    <w:lvl w:ilvl="5" w:tplc="20000005">
      <w:start w:val="1"/>
      <w:numFmt w:val="bullet"/>
      <w:lvlText w:val=""/>
      <w:lvlJc w:val="left"/>
      <w:pPr>
        <w:ind w:left="5040" w:hanging="360"/>
      </w:pPr>
      <w:rPr>
        <w:rFonts w:ascii="Wingdings" w:hAnsi="Wingdings" w:hint="default"/>
      </w:rPr>
    </w:lvl>
    <w:lvl w:ilvl="6" w:tplc="20000001">
      <w:start w:val="1"/>
      <w:numFmt w:val="bullet"/>
      <w:lvlText w:val=""/>
      <w:lvlJc w:val="left"/>
      <w:pPr>
        <w:ind w:left="5760" w:hanging="360"/>
      </w:pPr>
      <w:rPr>
        <w:rFonts w:ascii="Symbol" w:hAnsi="Symbol" w:hint="default"/>
      </w:rPr>
    </w:lvl>
    <w:lvl w:ilvl="7" w:tplc="20000003">
      <w:start w:val="1"/>
      <w:numFmt w:val="bullet"/>
      <w:lvlText w:val="o"/>
      <w:lvlJc w:val="left"/>
      <w:pPr>
        <w:ind w:left="6480" w:hanging="360"/>
      </w:pPr>
      <w:rPr>
        <w:rFonts w:ascii="Courier New" w:hAnsi="Courier New" w:cs="Courier New" w:hint="default"/>
      </w:rPr>
    </w:lvl>
    <w:lvl w:ilvl="8" w:tplc="20000005">
      <w:start w:val="1"/>
      <w:numFmt w:val="bullet"/>
      <w:lvlText w:val=""/>
      <w:lvlJc w:val="left"/>
      <w:pPr>
        <w:ind w:left="7200" w:hanging="360"/>
      </w:pPr>
      <w:rPr>
        <w:rFonts w:ascii="Wingdings" w:hAnsi="Wingdings" w:hint="default"/>
      </w:rPr>
    </w:lvl>
  </w:abstractNum>
  <w:abstractNum w:abstractNumId="1" w15:restartNumberingAfterBreak="0">
    <w:nsid w:val="353D24B2"/>
    <w:multiLevelType w:val="hybridMultilevel"/>
    <w:tmpl w:val="F1141098"/>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48FE"/>
    <w:rsid w:val="00AD1398"/>
    <w:rsid w:val="00FE48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90DA57-DDF8-496F-A010-68AE59D88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48FE"/>
    <w:pPr>
      <w:spacing w:after="0" w:line="360" w:lineRule="auto"/>
      <w:jc w:val="both"/>
    </w:pPr>
    <w:rPr>
      <w:rFonts w:ascii="Arial" w:eastAsia="Times New Roman" w:hAnsi="Arial" w:cs="Times New Roman"/>
      <w:szCs w:val="20"/>
      <w:lang w:val="en-GB" w:eastAsia="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48FE"/>
    <w:pPr>
      <w:spacing w:after="160" w:line="276" w:lineRule="auto"/>
      <w:ind w:left="720"/>
      <w:contextualSpacing/>
      <w:jc w:val="left"/>
    </w:pPr>
    <w:rPr>
      <w:rFonts w:ascii="Calibri" w:eastAsia="Calibri" w:hAnsi="Calibri"/>
      <w:sz w:val="24"/>
      <w:szCs w:val="24"/>
      <w:lang w:eastAsia="en-US"/>
    </w:rPr>
  </w:style>
  <w:style w:type="paragraph" w:customStyle="1" w:styleId="Default">
    <w:name w:val="Default"/>
    <w:rsid w:val="00FE48FE"/>
    <w:pPr>
      <w:autoSpaceDE w:val="0"/>
      <w:autoSpaceDN w:val="0"/>
      <w:adjustRightInd w:val="0"/>
      <w:spacing w:after="0" w:line="240" w:lineRule="auto"/>
    </w:pPr>
    <w:rPr>
      <w:rFonts w:ascii="Arial" w:hAnsi="Arial" w:cs="Arial"/>
      <w:color w:val="000000"/>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1265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131</Words>
  <Characters>751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2021-06-15T09:27:00Z</dcterms:created>
  <dcterms:modified xsi:type="dcterms:W3CDTF">2021-06-15T09:27:00Z</dcterms:modified>
</cp:coreProperties>
</file>