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44601" w:rsidRPr="0021410D" w:rsidRDefault="00D44601" w:rsidP="00D44601">
      <w:pPr>
        <w:spacing w:line="480" w:lineRule="auto"/>
        <w:jc w:val="left"/>
        <w:rPr>
          <w:rFonts w:ascii="Times New Roman" w:eastAsiaTheme="majorEastAsia" w:hAnsi="Times New Roman" w:cs="Times New Roman"/>
          <w:b/>
          <w:bCs/>
          <w:sz w:val="24"/>
        </w:rPr>
      </w:pPr>
      <w:r w:rsidRPr="0021410D">
        <w:rPr>
          <w:rFonts w:ascii="Times New Roman" w:hAnsi="Times New Roman" w:cs="Times New Roman"/>
          <w:b/>
          <w:sz w:val="24"/>
        </w:rPr>
        <w:t>Supplementary Figure Legends</w:t>
      </w:r>
    </w:p>
    <w:p w:rsidR="00D44601" w:rsidRPr="0021410D" w:rsidRDefault="00D44601" w:rsidP="00D44601">
      <w:pPr>
        <w:pStyle w:val="Caption"/>
        <w:spacing w:line="480" w:lineRule="auto"/>
        <w:rPr>
          <w:rFonts w:cs="Times New Roman"/>
          <w:sz w:val="24"/>
          <w:szCs w:val="24"/>
        </w:rPr>
      </w:pPr>
      <w:r w:rsidRPr="0021410D">
        <w:rPr>
          <w:sz w:val="24"/>
          <w:szCs w:val="24"/>
        </w:rPr>
        <w:t xml:space="preserve">Supplementary Figure 1: </w:t>
      </w:r>
      <w:r w:rsidRPr="0021410D">
        <w:rPr>
          <w:rFonts w:cs="Times New Roman"/>
          <w:sz w:val="24"/>
          <w:szCs w:val="24"/>
        </w:rPr>
        <w:t>Overview of laser-capture microdissection technique</w:t>
      </w:r>
    </w:p>
    <w:p w:rsidR="00D44601" w:rsidRDefault="00D44601" w:rsidP="00D44601">
      <w:pPr>
        <w:pStyle w:val="Quote"/>
        <w:spacing w:line="480" w:lineRule="auto"/>
        <w:rPr>
          <w:rFonts w:cs="Times New Roman"/>
          <w:sz w:val="24"/>
          <w:szCs w:val="24"/>
        </w:rPr>
      </w:pPr>
      <w:r>
        <w:rPr>
          <w:rFonts w:cs="Times New Roman"/>
          <w:sz w:val="24"/>
          <w:szCs w:val="24"/>
        </w:rPr>
        <w:t xml:space="preserve">A) </w:t>
      </w:r>
      <w:r w:rsidRPr="003C3A2A">
        <w:rPr>
          <w:rFonts w:cs="Times New Roman"/>
          <w:sz w:val="24"/>
          <w:szCs w:val="24"/>
        </w:rPr>
        <w:t xml:space="preserve">Workflow used for the generation of a lobular gene expression dataset comprised of ILC epithelial (TE) and stromal cells (TS). B) PixCell IIe Laser Capture Microdissection microscope (1). An infrared laser (2) is used to lift the cells of interest. A handle (3) is used to place the HS Capture cap (4) on the top of the HistoBond stained slide (5). C) Images of two ILC tissue samples being processed. Left: isolation of tumor epithelial cells. Right: isolation of tumor stromal cells. 1.1 &amp; 2.1) Tissue before LCM; 1.2 &amp; 2.2) Tissue after LCM; 1.3 &amp; 2.3) Caps after LCM. A total of 22 and 18 epithelial and stromal samples were isolated respectively from 23 ILC samples, 17 of them paired-matched. </w:t>
      </w:r>
    </w:p>
    <w:p w:rsidR="00D44601" w:rsidRPr="009B7369" w:rsidRDefault="00D44601" w:rsidP="00D44601"/>
    <w:p w:rsidR="00D44601" w:rsidRPr="0088135E" w:rsidRDefault="00D44601" w:rsidP="00D44601"/>
    <w:p w:rsidR="00D44601" w:rsidRPr="003C3A2A" w:rsidRDefault="00D44601" w:rsidP="00D44601">
      <w:pPr>
        <w:pStyle w:val="Caption"/>
        <w:spacing w:line="480" w:lineRule="auto"/>
        <w:rPr>
          <w:rFonts w:cs="Times New Roman"/>
          <w:sz w:val="24"/>
          <w:szCs w:val="24"/>
        </w:rPr>
      </w:pPr>
      <w:r w:rsidRPr="005371A7">
        <w:rPr>
          <w:sz w:val="24"/>
          <w:szCs w:val="24"/>
        </w:rPr>
        <w:t>Supplementary</w:t>
      </w:r>
      <w:r w:rsidRPr="005371A7">
        <w:rPr>
          <w:rFonts w:cs="Times New Roman"/>
          <w:sz w:val="24"/>
          <w:szCs w:val="24"/>
        </w:rPr>
        <w:t xml:space="preserve"> </w:t>
      </w:r>
      <w:r w:rsidRPr="0055422E">
        <w:rPr>
          <w:rFonts w:cs="Times New Roman"/>
          <w:sz w:val="24"/>
          <w:szCs w:val="24"/>
        </w:rPr>
        <w:t xml:space="preserve">Figure </w:t>
      </w:r>
      <w:r>
        <w:rPr>
          <w:rFonts w:cs="Times New Roman"/>
          <w:sz w:val="24"/>
          <w:szCs w:val="24"/>
        </w:rPr>
        <w:t>2</w:t>
      </w:r>
      <w:r>
        <w:rPr>
          <w:rFonts w:cs="Times New Roman"/>
          <w:sz w:val="24"/>
        </w:rPr>
        <w:t xml:space="preserve">: Pathway enrichment analysis of </w:t>
      </w:r>
      <w:r w:rsidRPr="003C3A2A">
        <w:rPr>
          <w:rFonts w:cs="Times New Roman"/>
          <w:sz w:val="24"/>
          <w:szCs w:val="24"/>
        </w:rPr>
        <w:t>stromal genes enriched in ILC</w:t>
      </w:r>
    </w:p>
    <w:p w:rsidR="00D44601" w:rsidRDefault="00D44601" w:rsidP="00D44601">
      <w:pPr>
        <w:spacing w:line="480" w:lineRule="auto"/>
        <w:rPr>
          <w:rFonts w:ascii="Times New Roman" w:hAnsi="Times New Roman" w:cs="Times New Roman"/>
          <w:sz w:val="24"/>
        </w:rPr>
      </w:pPr>
      <w:r>
        <w:rPr>
          <w:rFonts w:ascii="Times New Roman" w:hAnsi="Times New Roman" w:cs="Times New Roman"/>
          <w:sz w:val="24"/>
        </w:rPr>
        <w:t xml:space="preserve">ToppGene pathway enrichment </w:t>
      </w:r>
      <w:r w:rsidRPr="0055422E">
        <w:rPr>
          <w:rFonts w:ascii="Times New Roman" w:hAnsi="Times New Roman" w:cs="Times New Roman"/>
          <w:sz w:val="24"/>
        </w:rPr>
        <w:t>analysis of 261 genes (Benjamini-Hochberg adjust</w:t>
      </w:r>
      <w:r>
        <w:rPr>
          <w:rFonts w:ascii="Times New Roman" w:hAnsi="Times New Roman" w:cs="Times New Roman"/>
          <w:sz w:val="24"/>
        </w:rPr>
        <w:t>ed</w:t>
      </w:r>
      <w:r w:rsidRPr="0055422E">
        <w:rPr>
          <w:rFonts w:ascii="Times New Roman" w:hAnsi="Times New Roman" w:cs="Times New Roman"/>
          <w:sz w:val="24"/>
        </w:rPr>
        <w:t xml:space="preserve"> </w:t>
      </w:r>
      <w:r>
        <w:rPr>
          <w:rFonts w:ascii="Times New Roman" w:hAnsi="Times New Roman" w:cs="Times New Roman"/>
          <w:sz w:val="24"/>
        </w:rPr>
        <w:t>p-</w:t>
      </w:r>
      <w:r w:rsidRPr="0055422E">
        <w:rPr>
          <w:rFonts w:ascii="Times New Roman" w:hAnsi="Times New Roman" w:cs="Times New Roman"/>
          <w:sz w:val="24"/>
        </w:rPr>
        <w:t>value &lt;</w:t>
      </w:r>
      <w:r>
        <w:rPr>
          <w:rFonts w:ascii="Times New Roman" w:hAnsi="Times New Roman" w:cs="Times New Roman"/>
          <w:sz w:val="24"/>
        </w:rPr>
        <w:t xml:space="preserve"> </w:t>
      </w:r>
      <w:r w:rsidRPr="0055422E">
        <w:rPr>
          <w:rFonts w:ascii="Times New Roman" w:hAnsi="Times New Roman" w:cs="Times New Roman"/>
          <w:sz w:val="24"/>
        </w:rPr>
        <w:t>0.05) identified 45 genes involved in significant pathways related to the ECM.</w:t>
      </w:r>
      <w:r>
        <w:rPr>
          <w:rFonts w:ascii="Times New Roman" w:hAnsi="Times New Roman" w:cs="Times New Roman"/>
          <w:sz w:val="24"/>
        </w:rPr>
        <w:t xml:space="preserve"> </w:t>
      </w:r>
    </w:p>
    <w:p w:rsidR="00D44601" w:rsidRDefault="00D44601" w:rsidP="00D44601">
      <w:pPr>
        <w:spacing w:line="480" w:lineRule="auto"/>
        <w:rPr>
          <w:rFonts w:ascii="Times New Roman" w:hAnsi="Times New Roman" w:cs="Times New Roman"/>
          <w:sz w:val="24"/>
        </w:rPr>
      </w:pPr>
    </w:p>
    <w:p w:rsidR="00D44601" w:rsidRDefault="00D44601" w:rsidP="00D44601">
      <w:pPr>
        <w:spacing w:line="480" w:lineRule="auto"/>
        <w:rPr>
          <w:rFonts w:ascii="Times New Roman" w:hAnsi="Times New Roman" w:cs="Times New Roman"/>
          <w:sz w:val="24"/>
        </w:rPr>
      </w:pPr>
      <w:r w:rsidRPr="005371A7">
        <w:rPr>
          <w:rFonts w:ascii="Times New Roman" w:hAnsi="Times New Roman" w:cs="Times New Roman"/>
          <w:b/>
          <w:sz w:val="24"/>
        </w:rPr>
        <w:t xml:space="preserve">Supplementary </w:t>
      </w:r>
      <w:r w:rsidRPr="00684607">
        <w:rPr>
          <w:rFonts w:ascii="Times New Roman" w:hAnsi="Times New Roman" w:cs="Times New Roman"/>
          <w:b/>
          <w:sz w:val="24"/>
        </w:rPr>
        <w:t xml:space="preserve">Figure </w:t>
      </w:r>
      <w:r>
        <w:rPr>
          <w:rFonts w:ascii="Times New Roman" w:hAnsi="Times New Roman" w:cs="Times New Roman"/>
          <w:b/>
          <w:sz w:val="24"/>
        </w:rPr>
        <w:t>3</w:t>
      </w:r>
      <w:r w:rsidRPr="00684607">
        <w:rPr>
          <w:rFonts w:ascii="Times New Roman" w:hAnsi="Times New Roman" w:cs="Times New Roman"/>
          <w:b/>
          <w:sz w:val="24"/>
        </w:rPr>
        <w:t xml:space="preserve">: </w:t>
      </w:r>
      <w:r>
        <w:rPr>
          <w:rFonts w:ascii="Times New Roman" w:hAnsi="Times New Roman" w:cs="Times New Roman"/>
          <w:b/>
          <w:sz w:val="24"/>
        </w:rPr>
        <w:t>E</w:t>
      </w:r>
      <w:r w:rsidRPr="00684607">
        <w:rPr>
          <w:rFonts w:ascii="Times New Roman" w:hAnsi="Times New Roman" w:cs="Times New Roman"/>
          <w:b/>
          <w:sz w:val="24"/>
        </w:rPr>
        <w:t>xpression of stromal genes enriched in ILC analy</w:t>
      </w:r>
      <w:r>
        <w:rPr>
          <w:rFonts w:ascii="Times New Roman" w:hAnsi="Times New Roman" w:cs="Times New Roman"/>
          <w:b/>
          <w:sz w:val="24"/>
        </w:rPr>
        <w:t>z</w:t>
      </w:r>
      <w:r w:rsidRPr="00684607">
        <w:rPr>
          <w:rFonts w:ascii="Times New Roman" w:hAnsi="Times New Roman" w:cs="Times New Roman"/>
          <w:b/>
          <w:sz w:val="24"/>
        </w:rPr>
        <w:t>ed in METABRIC, TCGA RNA-Seq and TCGA microarray datasets</w:t>
      </w:r>
    </w:p>
    <w:p w:rsidR="00D44601" w:rsidRPr="0045399D" w:rsidRDefault="00D44601" w:rsidP="00D44601">
      <w:pPr>
        <w:spacing w:line="480" w:lineRule="auto"/>
        <w:rPr>
          <w:rFonts w:ascii="Times New Roman" w:hAnsi="Times New Roman" w:cs="Times New Roman"/>
          <w:sz w:val="24"/>
        </w:rPr>
      </w:pPr>
      <w:r w:rsidRPr="00D713E7">
        <w:rPr>
          <w:rFonts w:ascii="Times New Roman" w:hAnsi="Times New Roman" w:cs="Times New Roman"/>
          <w:sz w:val="24"/>
        </w:rPr>
        <w:t>Boxplots of expression for TS-ILC enriched genes from METABRIC</w:t>
      </w:r>
      <w:r>
        <w:rPr>
          <w:rFonts w:ascii="Times New Roman" w:hAnsi="Times New Roman" w:cs="Times New Roman"/>
          <w:sz w:val="24"/>
        </w:rPr>
        <w:t xml:space="preserve"> </w:t>
      </w:r>
      <w:r w:rsidRPr="00415F29">
        <w:rPr>
          <w:rFonts w:ascii="Times New Roman" w:hAnsi="Times New Roman" w:cs="Times New Roman"/>
          <w:sz w:val="24"/>
        </w:rPr>
        <w:t>(Illumina v3 microarray)</w:t>
      </w:r>
      <w:r>
        <w:rPr>
          <w:rFonts w:ascii="Times New Roman" w:hAnsi="Times New Roman" w:cs="Times New Roman"/>
          <w:sz w:val="24"/>
        </w:rPr>
        <w:t xml:space="preserve"> and</w:t>
      </w:r>
      <w:r w:rsidRPr="00D713E7">
        <w:rPr>
          <w:rFonts w:ascii="Times New Roman" w:hAnsi="Times New Roman" w:cs="Times New Roman"/>
          <w:sz w:val="24"/>
        </w:rPr>
        <w:t xml:space="preserve"> TCGA </w:t>
      </w:r>
      <w:r w:rsidRPr="00415F29">
        <w:rPr>
          <w:rFonts w:ascii="Times New Roman" w:hAnsi="Times New Roman" w:cs="Times New Roman"/>
          <w:sz w:val="24"/>
        </w:rPr>
        <w:t xml:space="preserve">provisional </w:t>
      </w:r>
      <w:r>
        <w:rPr>
          <w:rFonts w:ascii="Times New Roman" w:hAnsi="Times New Roman" w:cs="Times New Roman"/>
          <w:sz w:val="24"/>
        </w:rPr>
        <w:t>(</w:t>
      </w:r>
      <w:r w:rsidRPr="00D713E7">
        <w:rPr>
          <w:rFonts w:ascii="Times New Roman" w:hAnsi="Times New Roman" w:cs="Times New Roman"/>
          <w:sz w:val="24"/>
        </w:rPr>
        <w:t>RNA-Seq</w:t>
      </w:r>
      <w:r>
        <w:rPr>
          <w:rFonts w:ascii="Times New Roman" w:hAnsi="Times New Roman" w:cs="Times New Roman"/>
          <w:sz w:val="24"/>
        </w:rPr>
        <w:t xml:space="preserve"> v2</w:t>
      </w:r>
      <w:r w:rsidRPr="00D713E7">
        <w:rPr>
          <w:rFonts w:ascii="Times New Roman" w:hAnsi="Times New Roman" w:cs="Times New Roman"/>
          <w:sz w:val="24"/>
        </w:rPr>
        <w:t xml:space="preserve"> and TCGA microarray</w:t>
      </w:r>
      <w:r>
        <w:rPr>
          <w:rFonts w:ascii="Times New Roman" w:hAnsi="Times New Roman" w:cs="Times New Roman"/>
          <w:sz w:val="24"/>
        </w:rPr>
        <w:t>)</w:t>
      </w:r>
      <w:r w:rsidRPr="00D713E7">
        <w:rPr>
          <w:rFonts w:ascii="Times New Roman" w:hAnsi="Times New Roman" w:cs="Times New Roman"/>
          <w:sz w:val="24"/>
        </w:rPr>
        <w:t xml:space="preserve"> mRNA expression datasets</w:t>
      </w:r>
      <w:r>
        <w:rPr>
          <w:rFonts w:ascii="Times New Roman" w:hAnsi="Times New Roman" w:cs="Times New Roman"/>
          <w:sz w:val="24"/>
        </w:rPr>
        <w:t xml:space="preserve"> </w:t>
      </w:r>
      <w:r w:rsidRPr="00415F29">
        <w:rPr>
          <w:rFonts w:ascii="Times New Roman" w:hAnsi="Times New Roman" w:cs="Times New Roman"/>
          <w:sz w:val="24"/>
        </w:rPr>
        <w:t>(expression Z-scores; Z-score threshold ±2)</w:t>
      </w:r>
      <w:r w:rsidRPr="00D713E7">
        <w:rPr>
          <w:rFonts w:ascii="Times New Roman" w:hAnsi="Times New Roman" w:cs="Times New Roman"/>
          <w:sz w:val="24"/>
        </w:rPr>
        <w:t xml:space="preserve">. </w:t>
      </w:r>
      <w:r w:rsidRPr="00415F29">
        <w:rPr>
          <w:rFonts w:ascii="Times New Roman" w:hAnsi="Times New Roman" w:cs="Times New Roman"/>
          <w:sz w:val="24"/>
        </w:rPr>
        <w:t xml:space="preserve">Analysis was </w:t>
      </w:r>
      <w:r>
        <w:rPr>
          <w:rFonts w:ascii="Times New Roman" w:hAnsi="Times New Roman" w:cs="Times New Roman"/>
          <w:sz w:val="24"/>
        </w:rPr>
        <w:t>reduced to ILC and ID</w:t>
      </w:r>
      <w:r w:rsidRPr="00415F29">
        <w:rPr>
          <w:rFonts w:ascii="Times New Roman" w:hAnsi="Times New Roman" w:cs="Times New Roman"/>
          <w:sz w:val="24"/>
        </w:rPr>
        <w:t>C ER-positive samples only.</w:t>
      </w:r>
      <w:r w:rsidRPr="00D713E7">
        <w:rPr>
          <w:rFonts w:ascii="Times New Roman" w:hAnsi="Times New Roman" w:cs="Times New Roman"/>
          <w:sz w:val="24"/>
        </w:rPr>
        <w:t xml:space="preserve"> Boxplots display the median (line), 25th and </w:t>
      </w:r>
      <w:r w:rsidRPr="00D713E7">
        <w:rPr>
          <w:rFonts w:ascii="Times New Roman" w:hAnsi="Times New Roman" w:cs="Times New Roman"/>
          <w:sz w:val="24"/>
        </w:rPr>
        <w:lastRenderedPageBreak/>
        <w:t xml:space="preserve">75th percentiles (box) and 1.5 × interquartile range (whiskers). Light blue, IDC; dark blue, ILC. </w:t>
      </w:r>
      <w:r>
        <w:rPr>
          <w:rFonts w:ascii="Times New Roman" w:eastAsia="Times New Roman" w:hAnsi="Times New Roman" w:cs="Times New Roman"/>
          <w:color w:val="000000"/>
          <w:sz w:val="24"/>
        </w:rPr>
        <w:t>*p ≤ 0.05, **</w:t>
      </w:r>
      <w:r w:rsidRPr="00D713E7">
        <w:rPr>
          <w:rFonts w:ascii="Times New Roman" w:eastAsia="Times New Roman" w:hAnsi="Times New Roman" w:cs="Times New Roman"/>
          <w:color w:val="000000"/>
          <w:sz w:val="24"/>
        </w:rPr>
        <w:t xml:space="preserve">p ≤ 0.01, </w:t>
      </w:r>
      <w:r>
        <w:rPr>
          <w:rFonts w:ascii="Times New Roman" w:eastAsia="Times New Roman" w:hAnsi="Times New Roman" w:cs="Times New Roman"/>
          <w:color w:val="000000"/>
          <w:sz w:val="24"/>
        </w:rPr>
        <w:t>***p ≤ 0.00</w:t>
      </w:r>
      <w:r w:rsidRPr="00D713E7">
        <w:rPr>
          <w:rFonts w:ascii="Times New Roman" w:eastAsia="Times New Roman" w:hAnsi="Times New Roman" w:cs="Times New Roman"/>
          <w:color w:val="000000"/>
          <w:sz w:val="24"/>
        </w:rPr>
        <w:t>1</w:t>
      </w:r>
      <w:r>
        <w:rPr>
          <w:rFonts w:ascii="Times New Roman" w:eastAsia="Times New Roman" w:hAnsi="Times New Roman" w:cs="Times New Roman"/>
          <w:color w:val="000000"/>
          <w:sz w:val="24"/>
        </w:rPr>
        <w:t>, ****</w:t>
      </w:r>
      <w:r w:rsidRPr="00D713E7">
        <w:rPr>
          <w:rFonts w:ascii="Times New Roman" w:eastAsia="Times New Roman" w:hAnsi="Times New Roman" w:cs="Times New Roman"/>
          <w:color w:val="000000"/>
          <w:sz w:val="24"/>
        </w:rPr>
        <w:t>p ≤ 0.0001</w:t>
      </w:r>
      <w:r w:rsidRPr="00D713E7">
        <w:rPr>
          <w:rFonts w:ascii="Times New Roman" w:hAnsi="Times New Roman" w:cs="Times New Roman"/>
          <w:sz w:val="24"/>
        </w:rPr>
        <w:t>; Wilcoxon test.</w:t>
      </w:r>
      <w:r>
        <w:rPr>
          <w:rFonts w:ascii="Times New Roman" w:hAnsi="Times New Roman" w:cs="Times New Roman"/>
          <w:sz w:val="24"/>
        </w:rPr>
        <w:t xml:space="preserve"> </w:t>
      </w:r>
    </w:p>
    <w:p w:rsidR="00D44601" w:rsidRDefault="00D44601" w:rsidP="00D44601">
      <w:pPr>
        <w:spacing w:line="480" w:lineRule="auto"/>
        <w:rPr>
          <w:rFonts w:ascii="Times New Roman" w:hAnsi="Times New Roman" w:cs="Times New Roman"/>
          <w:b/>
          <w:bCs/>
          <w:sz w:val="24"/>
        </w:rPr>
      </w:pPr>
    </w:p>
    <w:p w:rsidR="00D44601" w:rsidRPr="006C6EA5" w:rsidRDefault="00D44601" w:rsidP="00D44601">
      <w:pPr>
        <w:spacing w:line="480" w:lineRule="auto"/>
        <w:rPr>
          <w:rFonts w:ascii="Times New Roman" w:hAnsi="Times New Roman" w:cs="Times New Roman"/>
          <w:b/>
          <w:bCs/>
          <w:sz w:val="24"/>
        </w:rPr>
      </w:pPr>
      <w:r w:rsidRPr="005371A7">
        <w:rPr>
          <w:rFonts w:ascii="Times New Roman" w:hAnsi="Times New Roman" w:cs="Times New Roman"/>
          <w:b/>
          <w:sz w:val="24"/>
        </w:rPr>
        <w:t>Supplementary</w:t>
      </w:r>
      <w:r w:rsidRPr="006C6EA5">
        <w:rPr>
          <w:rFonts w:ascii="Times New Roman" w:hAnsi="Times New Roman" w:cs="Times New Roman"/>
          <w:b/>
          <w:bCs/>
          <w:sz w:val="24"/>
        </w:rPr>
        <w:t xml:space="preserve"> Figure </w:t>
      </w:r>
      <w:r>
        <w:rPr>
          <w:rFonts w:ascii="Times New Roman" w:hAnsi="Times New Roman" w:cs="Times New Roman"/>
          <w:b/>
          <w:bCs/>
          <w:sz w:val="24"/>
        </w:rPr>
        <w:t>4</w:t>
      </w:r>
      <w:r w:rsidRPr="006C6EA5">
        <w:rPr>
          <w:rFonts w:ascii="Times New Roman" w:hAnsi="Times New Roman" w:cs="Times New Roman"/>
          <w:b/>
          <w:bCs/>
          <w:sz w:val="24"/>
        </w:rPr>
        <w:t>:</w:t>
      </w:r>
      <w:r>
        <w:rPr>
          <w:rFonts w:ascii="Times New Roman" w:hAnsi="Times New Roman" w:cs="Times New Roman"/>
          <w:b/>
          <w:bCs/>
          <w:sz w:val="24"/>
        </w:rPr>
        <w:t xml:space="preserve"> Characterization of primary CAFs</w:t>
      </w:r>
    </w:p>
    <w:p w:rsidR="00D44601" w:rsidRDefault="00D44601" w:rsidP="00D44601">
      <w:pPr>
        <w:spacing w:line="480" w:lineRule="auto"/>
        <w:rPr>
          <w:rFonts w:ascii="Times New Roman" w:hAnsi="Times New Roman" w:cs="Times New Roman"/>
          <w:sz w:val="24"/>
          <w:szCs w:val="36"/>
        </w:rPr>
      </w:pPr>
      <w:r>
        <w:rPr>
          <w:rFonts w:ascii="Times New Roman" w:hAnsi="Times New Roman" w:cs="Times New Roman"/>
          <w:sz w:val="24"/>
          <w:szCs w:val="36"/>
        </w:rPr>
        <w:t xml:space="preserve">Characterization of primary CAFs stained for the mesenchymal markers vimentin and </w:t>
      </w:r>
      <w:r>
        <w:rPr>
          <w:rFonts w:ascii="Times New Roman" w:hAnsi="Times New Roman" w:cs="Times New Roman"/>
          <w:sz w:val="24"/>
          <w:szCs w:val="36"/>
        </w:rPr>
        <w:sym w:font="Symbol" w:char="F061"/>
      </w:r>
      <w:r>
        <w:rPr>
          <w:rFonts w:ascii="Times New Roman" w:hAnsi="Times New Roman" w:cs="Times New Roman"/>
          <w:sz w:val="24"/>
          <w:szCs w:val="36"/>
        </w:rPr>
        <w:t xml:space="preserve">-SMA, and the epithelial marker keratin18. Examples provided for three ILC derived CAF lines. Scale bar, 50 </w:t>
      </w:r>
      <w:r>
        <w:rPr>
          <w:rFonts w:ascii="Times New Roman" w:hAnsi="Times New Roman" w:cs="Times New Roman"/>
          <w:sz w:val="24"/>
          <w:szCs w:val="36"/>
        </w:rPr>
        <w:sym w:font="Symbol" w:char="F06D"/>
      </w:r>
      <w:r>
        <w:rPr>
          <w:rFonts w:ascii="Times New Roman" w:hAnsi="Times New Roman" w:cs="Times New Roman"/>
          <w:sz w:val="24"/>
          <w:szCs w:val="36"/>
        </w:rPr>
        <w:t>m.</w:t>
      </w:r>
    </w:p>
    <w:p w:rsidR="00D44601" w:rsidRPr="00A928CB" w:rsidRDefault="00D44601" w:rsidP="00D44601">
      <w:pPr>
        <w:spacing w:line="480" w:lineRule="auto"/>
        <w:rPr>
          <w:rFonts w:ascii="Times New Roman" w:hAnsi="Times New Roman" w:cs="Times New Roman"/>
          <w:sz w:val="24"/>
        </w:rPr>
      </w:pPr>
    </w:p>
    <w:p w:rsidR="00D44601" w:rsidRPr="0030388D" w:rsidRDefault="00D44601" w:rsidP="00D44601">
      <w:pPr>
        <w:spacing w:line="480" w:lineRule="auto"/>
        <w:rPr>
          <w:rFonts w:ascii="Times New Roman" w:hAnsi="Times New Roman" w:cs="Times New Roman"/>
          <w:b/>
          <w:bCs/>
          <w:sz w:val="24"/>
        </w:rPr>
      </w:pPr>
      <w:r w:rsidRPr="005371A7">
        <w:rPr>
          <w:rFonts w:ascii="Times New Roman" w:hAnsi="Times New Roman" w:cs="Times New Roman"/>
          <w:b/>
          <w:sz w:val="24"/>
        </w:rPr>
        <w:t>Supplementary</w:t>
      </w:r>
      <w:r w:rsidRPr="006C6EA5">
        <w:rPr>
          <w:rFonts w:ascii="Times New Roman" w:hAnsi="Times New Roman" w:cs="Times New Roman"/>
          <w:b/>
          <w:bCs/>
          <w:sz w:val="24"/>
        </w:rPr>
        <w:t xml:space="preserve"> Figure </w:t>
      </w:r>
      <w:r>
        <w:rPr>
          <w:rFonts w:ascii="Times New Roman" w:hAnsi="Times New Roman" w:cs="Times New Roman"/>
          <w:b/>
          <w:bCs/>
          <w:sz w:val="24"/>
        </w:rPr>
        <w:t>5</w:t>
      </w:r>
      <w:r w:rsidRPr="006C6EA5">
        <w:rPr>
          <w:rFonts w:ascii="Times New Roman" w:hAnsi="Times New Roman" w:cs="Times New Roman"/>
          <w:b/>
          <w:bCs/>
          <w:sz w:val="24"/>
        </w:rPr>
        <w:t>:</w:t>
      </w:r>
      <w:r>
        <w:rPr>
          <w:rFonts w:ascii="Times New Roman" w:hAnsi="Times New Roman" w:cs="Times New Roman"/>
          <w:b/>
          <w:bCs/>
          <w:sz w:val="24"/>
        </w:rPr>
        <w:t xml:space="preserve"> Functional network analysis of CAF-associated genes</w:t>
      </w:r>
    </w:p>
    <w:p w:rsidR="00D44601" w:rsidRPr="00715311" w:rsidRDefault="00D44601" w:rsidP="00D44601">
      <w:pPr>
        <w:pStyle w:val="Quote"/>
        <w:spacing w:line="480" w:lineRule="auto"/>
        <w:rPr>
          <w:rFonts w:cs="Times New Roman"/>
          <w:sz w:val="24"/>
          <w:szCs w:val="24"/>
        </w:rPr>
      </w:pPr>
      <w:r w:rsidRPr="000B4BD8">
        <w:rPr>
          <w:rFonts w:cs="Times New Roman"/>
          <w:sz w:val="24"/>
        </w:rPr>
        <w:t>Interaction map of the</w:t>
      </w:r>
      <w:r w:rsidRPr="003C7C16">
        <w:rPr>
          <w:rFonts w:cs="Times New Roman"/>
          <w:sz w:val="24"/>
        </w:rPr>
        <w:t xml:space="preserve"> 28 genes that were expressed in the primary CAF dataset was generated using GeneMANIA in Cytoscape. </w:t>
      </w:r>
      <w:r w:rsidRPr="003C3A2A">
        <w:rPr>
          <w:rFonts w:cs="Times New Roman"/>
          <w:sz w:val="24"/>
          <w:szCs w:val="24"/>
        </w:rPr>
        <w:t xml:space="preserve">Color represents the </w:t>
      </w:r>
      <w:r>
        <w:rPr>
          <w:rFonts w:cs="Times New Roman"/>
          <w:sz w:val="24"/>
          <w:szCs w:val="24"/>
        </w:rPr>
        <w:t>log2(</w:t>
      </w:r>
      <w:r w:rsidRPr="003C3A2A">
        <w:rPr>
          <w:rFonts w:cs="Times New Roman"/>
          <w:sz w:val="24"/>
          <w:szCs w:val="24"/>
        </w:rPr>
        <w:t>fold change</w:t>
      </w:r>
      <w:r>
        <w:rPr>
          <w:rFonts w:cs="Times New Roman"/>
          <w:sz w:val="24"/>
          <w:szCs w:val="24"/>
        </w:rPr>
        <w:t xml:space="preserve"> (FC))</w:t>
      </w:r>
      <w:r w:rsidRPr="003C3A2A">
        <w:rPr>
          <w:rFonts w:cs="Times New Roman"/>
          <w:sz w:val="24"/>
          <w:szCs w:val="24"/>
        </w:rPr>
        <w:t xml:space="preserve"> </w:t>
      </w:r>
      <w:r w:rsidRPr="002F7A21">
        <w:rPr>
          <w:rFonts w:cs="Times New Roman"/>
          <w:sz w:val="24"/>
          <w:szCs w:val="24"/>
        </w:rPr>
        <w:t xml:space="preserve">expression in the TS compared to TE. </w:t>
      </w:r>
      <w:r w:rsidRPr="002F7A21">
        <w:rPr>
          <w:rStyle w:val="QuoteChar"/>
          <w:sz w:val="24"/>
          <w:szCs w:val="24"/>
        </w:rPr>
        <w:t xml:space="preserve">Purple, log2(FC </w:t>
      </w:r>
      <w:r>
        <w:rPr>
          <w:rStyle w:val="QuoteChar"/>
          <w:sz w:val="24"/>
          <w:szCs w:val="24"/>
        </w:rPr>
        <w:t>T</w:t>
      </w:r>
      <w:r w:rsidRPr="002F7A21">
        <w:rPr>
          <w:rStyle w:val="QuoteChar"/>
          <w:sz w:val="24"/>
          <w:szCs w:val="24"/>
        </w:rPr>
        <w:t>S/</w:t>
      </w:r>
      <w:r>
        <w:rPr>
          <w:rStyle w:val="QuoteChar"/>
          <w:sz w:val="24"/>
          <w:szCs w:val="24"/>
        </w:rPr>
        <w:t>T</w:t>
      </w:r>
      <w:r w:rsidRPr="002F7A21">
        <w:rPr>
          <w:rStyle w:val="QuoteChar"/>
          <w:sz w:val="24"/>
          <w:szCs w:val="24"/>
        </w:rPr>
        <w:t xml:space="preserve">E) 3; </w:t>
      </w:r>
      <w:r>
        <w:rPr>
          <w:rStyle w:val="QuoteChar"/>
          <w:sz w:val="24"/>
          <w:szCs w:val="24"/>
        </w:rPr>
        <w:t>g</w:t>
      </w:r>
      <w:r w:rsidRPr="002F7A21">
        <w:rPr>
          <w:rStyle w:val="QuoteChar"/>
          <w:sz w:val="24"/>
          <w:szCs w:val="24"/>
        </w:rPr>
        <w:t xml:space="preserve">reen, log2(FC </w:t>
      </w:r>
      <w:r>
        <w:rPr>
          <w:rStyle w:val="QuoteChar"/>
          <w:sz w:val="24"/>
          <w:szCs w:val="24"/>
        </w:rPr>
        <w:t>T</w:t>
      </w:r>
      <w:r w:rsidRPr="002F7A21">
        <w:rPr>
          <w:rStyle w:val="QuoteChar"/>
          <w:sz w:val="24"/>
          <w:szCs w:val="24"/>
        </w:rPr>
        <w:t>S/</w:t>
      </w:r>
      <w:r>
        <w:rPr>
          <w:rStyle w:val="QuoteChar"/>
          <w:sz w:val="24"/>
          <w:szCs w:val="24"/>
        </w:rPr>
        <w:t>T</w:t>
      </w:r>
      <w:r w:rsidRPr="002F7A21">
        <w:rPr>
          <w:rStyle w:val="QuoteChar"/>
          <w:sz w:val="24"/>
          <w:szCs w:val="24"/>
        </w:rPr>
        <w:t>E</w:t>
      </w:r>
      <w:r>
        <w:rPr>
          <w:rStyle w:val="QuoteChar"/>
          <w:sz w:val="24"/>
          <w:szCs w:val="24"/>
        </w:rPr>
        <w:t>) 1.75</w:t>
      </w:r>
      <w:r w:rsidRPr="002F7A21">
        <w:rPr>
          <w:rStyle w:val="QuoteChar"/>
          <w:sz w:val="24"/>
          <w:szCs w:val="24"/>
        </w:rPr>
        <w:t xml:space="preserve">; yellow, log2(FC </w:t>
      </w:r>
      <w:r>
        <w:rPr>
          <w:rStyle w:val="QuoteChar"/>
          <w:sz w:val="24"/>
          <w:szCs w:val="24"/>
        </w:rPr>
        <w:t>T</w:t>
      </w:r>
      <w:r w:rsidRPr="002F7A21">
        <w:rPr>
          <w:rStyle w:val="QuoteChar"/>
          <w:sz w:val="24"/>
          <w:szCs w:val="24"/>
        </w:rPr>
        <w:t>S/</w:t>
      </w:r>
      <w:r>
        <w:rPr>
          <w:rStyle w:val="QuoteChar"/>
          <w:sz w:val="24"/>
          <w:szCs w:val="24"/>
        </w:rPr>
        <w:t>T</w:t>
      </w:r>
      <w:r w:rsidRPr="002F7A21">
        <w:rPr>
          <w:rStyle w:val="QuoteChar"/>
          <w:sz w:val="24"/>
          <w:szCs w:val="24"/>
        </w:rPr>
        <w:t xml:space="preserve">E) </w:t>
      </w:r>
      <w:r>
        <w:rPr>
          <w:rStyle w:val="QuoteChar"/>
          <w:sz w:val="24"/>
          <w:szCs w:val="24"/>
        </w:rPr>
        <w:t>0.5</w:t>
      </w:r>
      <w:r w:rsidRPr="002F7A21">
        <w:rPr>
          <w:rStyle w:val="QuoteChar"/>
          <w:sz w:val="24"/>
          <w:szCs w:val="24"/>
        </w:rPr>
        <w:t xml:space="preserve">. Network connectors represent physical interactions (pink), pathway associations (blue) or genetic interactions (green). </w:t>
      </w:r>
      <w:r w:rsidRPr="002F7A21">
        <w:rPr>
          <w:rFonts w:cs="Times New Roman"/>
          <w:sz w:val="24"/>
          <w:szCs w:val="24"/>
        </w:rPr>
        <w:t>Arrows point to the 14 genes whose expression was significantly increased in ILC compared</w:t>
      </w:r>
      <w:r>
        <w:rPr>
          <w:rFonts w:cs="Times New Roman"/>
          <w:sz w:val="24"/>
          <w:szCs w:val="24"/>
        </w:rPr>
        <w:t xml:space="preserve"> to IDC in TCGA and METABRIC datasets</w:t>
      </w:r>
      <w:r w:rsidRPr="003C3A2A">
        <w:rPr>
          <w:rFonts w:cs="Times New Roman"/>
          <w:sz w:val="24"/>
          <w:szCs w:val="24"/>
        </w:rPr>
        <w:t>.</w:t>
      </w:r>
    </w:p>
    <w:p w:rsidR="00D44601" w:rsidRDefault="00D44601" w:rsidP="00D44601">
      <w:pPr>
        <w:spacing w:line="480" w:lineRule="auto"/>
        <w:rPr>
          <w:rFonts w:ascii="Times New Roman" w:hAnsi="Times New Roman" w:cs="Times New Roman"/>
          <w:b/>
          <w:sz w:val="24"/>
        </w:rPr>
      </w:pPr>
    </w:p>
    <w:p w:rsidR="00D44601" w:rsidRDefault="00D44601" w:rsidP="00D44601">
      <w:pPr>
        <w:spacing w:line="480" w:lineRule="auto"/>
        <w:rPr>
          <w:rFonts w:ascii="Times New Roman" w:hAnsi="Times New Roman" w:cs="Times New Roman"/>
          <w:b/>
          <w:sz w:val="24"/>
        </w:rPr>
      </w:pPr>
      <w:r w:rsidRPr="005371A7">
        <w:rPr>
          <w:rFonts w:ascii="Times New Roman" w:hAnsi="Times New Roman" w:cs="Times New Roman"/>
          <w:b/>
          <w:sz w:val="24"/>
        </w:rPr>
        <w:t>Supplementary</w:t>
      </w:r>
      <w:r w:rsidRPr="00720E64">
        <w:rPr>
          <w:rFonts w:ascii="Times New Roman" w:hAnsi="Times New Roman" w:cs="Times New Roman"/>
          <w:b/>
          <w:sz w:val="24"/>
        </w:rPr>
        <w:t xml:space="preserve"> Figure </w:t>
      </w:r>
      <w:r>
        <w:rPr>
          <w:rFonts w:ascii="Times New Roman" w:hAnsi="Times New Roman" w:cs="Times New Roman"/>
          <w:b/>
          <w:sz w:val="24"/>
        </w:rPr>
        <w:t>6</w:t>
      </w:r>
      <w:r w:rsidRPr="00720E64">
        <w:rPr>
          <w:rFonts w:ascii="Times New Roman" w:hAnsi="Times New Roman" w:cs="Times New Roman"/>
          <w:b/>
          <w:sz w:val="24"/>
        </w:rPr>
        <w:t xml:space="preserve">: Expression of </w:t>
      </w:r>
      <w:r w:rsidRPr="00720E64">
        <w:rPr>
          <w:rFonts w:ascii="Times New Roman" w:hAnsi="Times New Roman" w:cs="Times New Roman"/>
          <w:b/>
          <w:i/>
          <w:sz w:val="24"/>
        </w:rPr>
        <w:t>Pappa</w:t>
      </w:r>
      <w:r w:rsidRPr="00720E64">
        <w:rPr>
          <w:rFonts w:ascii="Times New Roman" w:hAnsi="Times New Roman" w:cs="Times New Roman"/>
          <w:b/>
          <w:sz w:val="24"/>
        </w:rPr>
        <w:t xml:space="preserve"> in </w:t>
      </w:r>
      <w:r>
        <w:rPr>
          <w:rFonts w:ascii="Times New Roman" w:hAnsi="Times New Roman" w:cs="Times New Roman"/>
          <w:b/>
          <w:sz w:val="24"/>
        </w:rPr>
        <w:t xml:space="preserve">ILC patient derived xenograft </w:t>
      </w:r>
      <w:r w:rsidRPr="00720E64">
        <w:rPr>
          <w:rFonts w:ascii="Times New Roman" w:hAnsi="Times New Roman" w:cs="Times New Roman"/>
          <w:b/>
          <w:sz w:val="24"/>
        </w:rPr>
        <w:t>HCI-013</w:t>
      </w:r>
    </w:p>
    <w:p w:rsidR="00D44601" w:rsidRDefault="00D44601" w:rsidP="00D44601">
      <w:pPr>
        <w:spacing w:line="480" w:lineRule="auto"/>
        <w:rPr>
          <w:rFonts w:ascii="Times New Roman" w:hAnsi="Times New Roman" w:cs="Times New Roman"/>
          <w:sz w:val="24"/>
        </w:rPr>
      </w:pPr>
      <w:r>
        <w:rPr>
          <w:rFonts w:ascii="Times New Roman" w:hAnsi="Times New Roman" w:cs="Times New Roman"/>
          <w:sz w:val="24"/>
        </w:rPr>
        <w:t xml:space="preserve">qPCR of mouse </w:t>
      </w:r>
      <w:r w:rsidRPr="00EC180C">
        <w:rPr>
          <w:rFonts w:ascii="Times New Roman" w:hAnsi="Times New Roman" w:cs="Times New Roman"/>
          <w:i/>
          <w:sz w:val="24"/>
        </w:rPr>
        <w:t>Pappa</w:t>
      </w:r>
      <w:r>
        <w:rPr>
          <w:rFonts w:ascii="Times New Roman" w:hAnsi="Times New Roman" w:cs="Times New Roman"/>
          <w:sz w:val="24"/>
        </w:rPr>
        <w:t xml:space="preserve"> in four HCI-013 patient-derived xenografts grown in mice in the presence or absence of human CAFs.</w:t>
      </w:r>
      <w:r w:rsidRPr="00A3134A">
        <w:rPr>
          <w:rFonts w:ascii="Times New Roman" w:hAnsi="Times New Roman" w:cs="Times New Roman"/>
          <w:i/>
          <w:sz w:val="24"/>
        </w:rPr>
        <w:t xml:space="preserve"> </w:t>
      </w:r>
      <w:r w:rsidRPr="00A655FD">
        <w:rPr>
          <w:rFonts w:ascii="Times New Roman" w:hAnsi="Times New Roman" w:cs="Times New Roman"/>
          <w:i/>
          <w:sz w:val="24"/>
        </w:rPr>
        <w:t>Pappa</w:t>
      </w:r>
      <w:r>
        <w:rPr>
          <w:rFonts w:ascii="Times New Roman" w:hAnsi="Times New Roman" w:cs="Times New Roman"/>
          <w:sz w:val="24"/>
        </w:rPr>
        <w:t xml:space="preserve"> expression detected in HCI-013 xenografts is of mouse origin, indicating that it is expressed by mouse fibroblasts present in the tumor stroma. Human </w:t>
      </w:r>
      <w:r w:rsidRPr="00A655FD">
        <w:rPr>
          <w:rFonts w:ascii="Times New Roman" w:hAnsi="Times New Roman" w:cs="Times New Roman"/>
          <w:i/>
          <w:sz w:val="24"/>
        </w:rPr>
        <w:t>PAPPA</w:t>
      </w:r>
      <w:r>
        <w:rPr>
          <w:rFonts w:ascii="Times New Roman" w:hAnsi="Times New Roman" w:cs="Times New Roman"/>
          <w:sz w:val="24"/>
        </w:rPr>
        <w:t xml:space="preserve"> was not detected in any of the tumors. </w:t>
      </w:r>
      <w:r w:rsidRPr="00821D99">
        <w:rPr>
          <w:rFonts w:ascii="Times New Roman" w:hAnsi="Times New Roman" w:cs="Times New Roman"/>
          <w:i/>
          <w:sz w:val="24"/>
        </w:rPr>
        <w:t>Pappa</w:t>
      </w:r>
      <w:r>
        <w:rPr>
          <w:rFonts w:ascii="Times New Roman" w:hAnsi="Times New Roman" w:cs="Times New Roman"/>
          <w:sz w:val="24"/>
        </w:rPr>
        <w:t xml:space="preserve"> in mouse CAFs from the KEP model shown for comparison</w:t>
      </w:r>
      <w:r w:rsidRPr="00EC180C">
        <w:rPr>
          <w:rFonts w:ascii="Times New Roman" w:hAnsi="Times New Roman" w:cs="Times New Roman"/>
          <w:sz w:val="24"/>
        </w:rPr>
        <w:t>.</w:t>
      </w:r>
      <w:r>
        <w:rPr>
          <w:rFonts w:ascii="Times New Roman" w:hAnsi="Times New Roman" w:cs="Times New Roman"/>
          <w:sz w:val="24"/>
        </w:rPr>
        <w:t xml:space="preserve"> </w:t>
      </w:r>
      <w:r w:rsidRPr="00EC180C">
        <w:rPr>
          <w:rFonts w:ascii="Times New Roman" w:hAnsi="Times New Roman" w:cs="Times New Roman"/>
          <w:sz w:val="24"/>
        </w:rPr>
        <w:t>Results are shown as the relative</w:t>
      </w:r>
      <w:r>
        <w:rPr>
          <w:rFonts w:ascii="Times New Roman" w:hAnsi="Times New Roman" w:cs="Times New Roman"/>
          <w:sz w:val="24"/>
        </w:rPr>
        <w:t xml:space="preserve"> </w:t>
      </w:r>
      <w:r w:rsidRPr="00EC180C">
        <w:rPr>
          <w:rFonts w:ascii="Times New Roman" w:hAnsi="Times New Roman" w:cs="Times New Roman"/>
          <w:sz w:val="24"/>
        </w:rPr>
        <w:t>expression in KEP</w:t>
      </w:r>
      <w:r>
        <w:rPr>
          <w:rFonts w:ascii="Times New Roman" w:hAnsi="Times New Roman" w:cs="Times New Roman"/>
          <w:sz w:val="24"/>
        </w:rPr>
        <w:t>-CAFs.</w:t>
      </w:r>
    </w:p>
    <w:p w:rsidR="00D44601" w:rsidRPr="00EC180C" w:rsidRDefault="00D44601" w:rsidP="00D44601">
      <w:pPr>
        <w:spacing w:line="480" w:lineRule="auto"/>
        <w:rPr>
          <w:rFonts w:ascii="Times New Roman" w:hAnsi="Times New Roman" w:cs="Times New Roman"/>
          <w:sz w:val="24"/>
        </w:rPr>
      </w:pPr>
    </w:p>
    <w:p w:rsidR="00D44601" w:rsidRPr="003C3A2A" w:rsidRDefault="00D44601" w:rsidP="00D44601">
      <w:pPr>
        <w:pStyle w:val="Caption"/>
        <w:spacing w:line="480" w:lineRule="auto"/>
        <w:rPr>
          <w:sz w:val="24"/>
          <w:szCs w:val="24"/>
        </w:rPr>
      </w:pPr>
      <w:r w:rsidRPr="005371A7">
        <w:rPr>
          <w:rFonts w:cs="Times New Roman"/>
          <w:sz w:val="24"/>
          <w:szCs w:val="24"/>
        </w:rPr>
        <w:t>Supplementary</w:t>
      </w:r>
      <w:r w:rsidRPr="005371A7">
        <w:rPr>
          <w:sz w:val="24"/>
          <w:szCs w:val="24"/>
        </w:rPr>
        <w:t xml:space="preserve"> </w:t>
      </w:r>
      <w:r w:rsidRPr="003C3A2A">
        <w:rPr>
          <w:sz w:val="24"/>
          <w:szCs w:val="24"/>
        </w:rPr>
        <w:t xml:space="preserve">Figure </w:t>
      </w:r>
      <w:r>
        <w:rPr>
          <w:sz w:val="24"/>
          <w:szCs w:val="24"/>
        </w:rPr>
        <w:t>7:</w:t>
      </w:r>
      <w:r w:rsidRPr="003C3A2A">
        <w:rPr>
          <w:sz w:val="24"/>
          <w:szCs w:val="24"/>
        </w:rPr>
        <w:t xml:space="preserve"> Characterization of ILC KEP mouse model</w:t>
      </w:r>
    </w:p>
    <w:p w:rsidR="00D44601" w:rsidRDefault="00D44601" w:rsidP="00D44601">
      <w:pPr>
        <w:pStyle w:val="Quote"/>
        <w:spacing w:line="480" w:lineRule="auto"/>
        <w:rPr>
          <w:rFonts w:eastAsia="Times New Roman"/>
          <w:color w:val="000000"/>
          <w:sz w:val="24"/>
          <w:szCs w:val="24"/>
        </w:rPr>
      </w:pPr>
      <w:r>
        <w:rPr>
          <w:rFonts w:eastAsia="Times New Roman"/>
          <w:color w:val="000000"/>
          <w:sz w:val="24"/>
          <w:szCs w:val="24"/>
        </w:rPr>
        <w:t xml:space="preserve">A) </w:t>
      </w:r>
      <w:r w:rsidRPr="003C3A2A">
        <w:rPr>
          <w:rFonts w:eastAsia="Times New Roman"/>
          <w:color w:val="000000"/>
          <w:sz w:val="24"/>
          <w:szCs w:val="24"/>
        </w:rPr>
        <w:t xml:space="preserve">Phase contrast and confocal images of KEP </w:t>
      </w:r>
      <w:r>
        <w:rPr>
          <w:rFonts w:eastAsia="Times New Roman"/>
          <w:color w:val="000000"/>
          <w:sz w:val="24"/>
          <w:szCs w:val="24"/>
        </w:rPr>
        <w:t xml:space="preserve">derived </w:t>
      </w:r>
      <w:r w:rsidRPr="0003662C">
        <w:rPr>
          <w:rFonts w:eastAsia="Times New Roman"/>
          <w:color w:val="000000"/>
          <w:sz w:val="24"/>
          <w:szCs w:val="24"/>
        </w:rPr>
        <w:t>epithelial tumor cells (KEP-tumor) and KEP derived fibroblasts (KEP-CAFs). Cells were</w:t>
      </w:r>
      <w:r w:rsidRPr="003C3A2A">
        <w:rPr>
          <w:rFonts w:eastAsia="Times New Roman"/>
          <w:color w:val="000000"/>
          <w:sz w:val="24"/>
          <w:szCs w:val="24"/>
        </w:rPr>
        <w:t xml:space="preserve"> stained for </w:t>
      </w:r>
      <w:r>
        <w:rPr>
          <w:rFonts w:eastAsia="Times New Roman"/>
          <w:color w:val="000000"/>
          <w:sz w:val="24"/>
          <w:szCs w:val="24"/>
        </w:rPr>
        <w:t>v</w:t>
      </w:r>
      <w:r w:rsidRPr="003C3A2A">
        <w:rPr>
          <w:rFonts w:eastAsia="Times New Roman"/>
          <w:color w:val="000000"/>
          <w:sz w:val="24"/>
          <w:szCs w:val="24"/>
        </w:rPr>
        <w:t xml:space="preserve">imentin, </w:t>
      </w:r>
      <w:r w:rsidRPr="00452F26">
        <w:rPr>
          <w:rFonts w:ascii="Symbol" w:eastAsia="Times New Roman" w:hAnsi="Symbol"/>
          <w:color w:val="000000"/>
          <w:sz w:val="24"/>
          <w:szCs w:val="24"/>
        </w:rPr>
        <w:t></w:t>
      </w:r>
      <w:r>
        <w:rPr>
          <w:rFonts w:ascii="Symbol" w:eastAsia="Times New Roman" w:hAnsi="Symbol"/>
          <w:color w:val="000000"/>
          <w:sz w:val="24"/>
          <w:szCs w:val="24"/>
        </w:rPr>
        <w:t></w:t>
      </w:r>
      <w:r>
        <w:rPr>
          <w:rFonts w:eastAsia="Times New Roman"/>
          <w:color w:val="000000"/>
          <w:sz w:val="24"/>
          <w:szCs w:val="24"/>
        </w:rPr>
        <w:t>SMA</w:t>
      </w:r>
      <w:r w:rsidRPr="003C3A2A">
        <w:rPr>
          <w:rFonts w:eastAsia="Times New Roman"/>
          <w:color w:val="000000"/>
          <w:sz w:val="24"/>
          <w:szCs w:val="24"/>
        </w:rPr>
        <w:t xml:space="preserve">, </w:t>
      </w:r>
      <w:r>
        <w:rPr>
          <w:rFonts w:eastAsia="Times New Roman"/>
          <w:color w:val="000000"/>
          <w:sz w:val="24"/>
          <w:szCs w:val="24"/>
        </w:rPr>
        <w:t>cytokeratin 14 (</w:t>
      </w:r>
      <w:r w:rsidRPr="003C3A2A">
        <w:rPr>
          <w:rFonts w:eastAsia="Times New Roman"/>
          <w:color w:val="000000"/>
          <w:sz w:val="24"/>
          <w:szCs w:val="24"/>
        </w:rPr>
        <w:t>CK14</w:t>
      </w:r>
      <w:r>
        <w:rPr>
          <w:rFonts w:eastAsia="Times New Roman"/>
          <w:color w:val="000000"/>
          <w:sz w:val="24"/>
          <w:szCs w:val="24"/>
        </w:rPr>
        <w:t>)</w:t>
      </w:r>
      <w:r w:rsidRPr="003C3A2A">
        <w:rPr>
          <w:rFonts w:eastAsia="Times New Roman"/>
          <w:color w:val="000000"/>
          <w:sz w:val="24"/>
          <w:szCs w:val="24"/>
        </w:rPr>
        <w:t xml:space="preserve">, </w:t>
      </w:r>
      <w:r>
        <w:rPr>
          <w:rFonts w:eastAsia="Times New Roman"/>
          <w:color w:val="000000"/>
          <w:sz w:val="24"/>
          <w:szCs w:val="24"/>
        </w:rPr>
        <w:t>cytokeratin 18 (</w:t>
      </w:r>
      <w:r w:rsidRPr="003C3A2A">
        <w:rPr>
          <w:rFonts w:eastAsia="Times New Roman"/>
          <w:color w:val="000000"/>
          <w:sz w:val="24"/>
          <w:szCs w:val="24"/>
        </w:rPr>
        <w:t>CK18</w:t>
      </w:r>
      <w:r>
        <w:rPr>
          <w:rFonts w:eastAsia="Times New Roman"/>
          <w:color w:val="000000"/>
          <w:sz w:val="24"/>
          <w:szCs w:val="24"/>
        </w:rPr>
        <w:t>)</w:t>
      </w:r>
      <w:r w:rsidRPr="003C3A2A">
        <w:rPr>
          <w:rFonts w:eastAsia="Times New Roman"/>
          <w:color w:val="000000"/>
          <w:sz w:val="24"/>
          <w:szCs w:val="24"/>
        </w:rPr>
        <w:t xml:space="preserve">, </w:t>
      </w:r>
      <w:r>
        <w:rPr>
          <w:rFonts w:eastAsia="Times New Roman"/>
          <w:color w:val="000000"/>
          <w:sz w:val="24"/>
          <w:szCs w:val="24"/>
        </w:rPr>
        <w:t>estrogen receptor (ER)</w:t>
      </w:r>
      <w:r w:rsidRPr="003C3A2A">
        <w:rPr>
          <w:rFonts w:eastAsia="Times New Roman"/>
          <w:color w:val="000000"/>
          <w:sz w:val="24"/>
          <w:szCs w:val="24"/>
        </w:rPr>
        <w:t xml:space="preserve">, </w:t>
      </w:r>
      <w:r>
        <w:rPr>
          <w:rFonts w:eastAsia="Times New Roman"/>
          <w:color w:val="000000"/>
          <w:sz w:val="24"/>
          <w:szCs w:val="24"/>
        </w:rPr>
        <w:t>progesterone receptor (</w:t>
      </w:r>
      <w:r w:rsidRPr="003C3A2A">
        <w:rPr>
          <w:rFonts w:eastAsia="Times New Roman"/>
          <w:color w:val="000000"/>
          <w:sz w:val="24"/>
          <w:szCs w:val="24"/>
        </w:rPr>
        <w:t>PR</w:t>
      </w:r>
      <w:r>
        <w:rPr>
          <w:rFonts w:eastAsia="Times New Roman"/>
          <w:color w:val="000000"/>
          <w:sz w:val="24"/>
          <w:szCs w:val="24"/>
        </w:rPr>
        <w:t>)</w:t>
      </w:r>
      <w:r w:rsidRPr="003C3A2A">
        <w:rPr>
          <w:rFonts w:eastAsia="Times New Roman"/>
          <w:color w:val="000000"/>
          <w:sz w:val="24"/>
          <w:szCs w:val="24"/>
        </w:rPr>
        <w:t xml:space="preserve">, E-cadherin and P-cadherin. Phase </w:t>
      </w:r>
      <w:r>
        <w:rPr>
          <w:rFonts w:eastAsia="Times New Roman" w:cs="Times New Roman"/>
          <w:color w:val="000000"/>
          <w:sz w:val="24"/>
          <w:szCs w:val="24"/>
        </w:rPr>
        <w:t>contrast scale bars,</w:t>
      </w:r>
      <w:r w:rsidRPr="003C3A2A">
        <w:rPr>
          <w:rFonts w:eastAsia="Times New Roman" w:cs="Times New Roman"/>
          <w:color w:val="000000"/>
          <w:sz w:val="24"/>
          <w:szCs w:val="24"/>
        </w:rPr>
        <w:t xml:space="preserve"> 100 </w:t>
      </w:r>
      <w:r w:rsidRPr="003C3A2A">
        <w:rPr>
          <w:rFonts w:cs="Times New Roman"/>
          <w:color w:val="000000"/>
          <w:sz w:val="24"/>
          <w:szCs w:val="24"/>
        </w:rPr>
        <w:t>μ</w:t>
      </w:r>
      <w:r w:rsidRPr="003C3A2A">
        <w:rPr>
          <w:rFonts w:eastAsia="Times New Roman" w:cs="Times New Roman"/>
          <w:color w:val="000000"/>
          <w:sz w:val="24"/>
          <w:szCs w:val="24"/>
        </w:rPr>
        <w:t>m</w:t>
      </w:r>
      <w:r>
        <w:rPr>
          <w:rFonts w:eastAsia="Times New Roman"/>
          <w:color w:val="000000"/>
          <w:sz w:val="24"/>
          <w:szCs w:val="24"/>
        </w:rPr>
        <w:t>. Confocal scale bars,</w:t>
      </w:r>
      <w:r w:rsidRPr="003C3A2A">
        <w:rPr>
          <w:rFonts w:eastAsia="Times New Roman"/>
          <w:color w:val="000000"/>
          <w:sz w:val="24"/>
          <w:szCs w:val="24"/>
        </w:rPr>
        <w:t xml:space="preserve"> 30 </w:t>
      </w:r>
      <w:r w:rsidRPr="003C3A2A">
        <w:rPr>
          <w:rFonts w:cs="Times New Roman"/>
          <w:color w:val="000000"/>
          <w:sz w:val="24"/>
          <w:szCs w:val="24"/>
        </w:rPr>
        <w:t>μ</w:t>
      </w:r>
      <w:r w:rsidRPr="003C3A2A">
        <w:rPr>
          <w:rFonts w:eastAsia="Times New Roman" w:cs="Times New Roman"/>
          <w:color w:val="000000"/>
          <w:sz w:val="24"/>
          <w:szCs w:val="24"/>
        </w:rPr>
        <w:t>m</w:t>
      </w:r>
      <w:r w:rsidRPr="003C3A2A">
        <w:rPr>
          <w:rFonts w:eastAsia="Times New Roman"/>
          <w:color w:val="000000"/>
          <w:sz w:val="24"/>
          <w:szCs w:val="24"/>
        </w:rPr>
        <w:t xml:space="preserve">. </w:t>
      </w:r>
      <w:r>
        <w:rPr>
          <w:sz w:val="24"/>
          <w:szCs w:val="24"/>
        </w:rPr>
        <w:t>B</w:t>
      </w:r>
      <w:r w:rsidRPr="003C3A2A">
        <w:rPr>
          <w:sz w:val="24"/>
          <w:szCs w:val="24"/>
        </w:rPr>
        <w:t xml:space="preserve">) qPCR of </w:t>
      </w:r>
      <w:r w:rsidRPr="003C3A2A">
        <w:rPr>
          <w:i/>
          <w:sz w:val="24"/>
          <w:szCs w:val="24"/>
        </w:rPr>
        <w:t>Pappa</w:t>
      </w:r>
      <w:r w:rsidRPr="003C3A2A">
        <w:rPr>
          <w:sz w:val="24"/>
          <w:szCs w:val="24"/>
        </w:rPr>
        <w:t xml:space="preserve"> and </w:t>
      </w:r>
      <w:r>
        <w:rPr>
          <w:sz w:val="24"/>
          <w:szCs w:val="24"/>
        </w:rPr>
        <w:t>related</w:t>
      </w:r>
      <w:r w:rsidRPr="003C3A2A">
        <w:rPr>
          <w:sz w:val="24"/>
          <w:szCs w:val="24"/>
        </w:rPr>
        <w:t xml:space="preserve"> genes in KEP</w:t>
      </w:r>
      <w:r>
        <w:rPr>
          <w:sz w:val="24"/>
          <w:szCs w:val="24"/>
        </w:rPr>
        <w:t xml:space="preserve">-derived </w:t>
      </w:r>
      <w:r w:rsidRPr="003C3A2A">
        <w:rPr>
          <w:sz w:val="24"/>
          <w:szCs w:val="24"/>
        </w:rPr>
        <w:t xml:space="preserve">epithelial </w:t>
      </w:r>
      <w:r>
        <w:rPr>
          <w:sz w:val="24"/>
          <w:szCs w:val="24"/>
        </w:rPr>
        <w:t xml:space="preserve">cells </w:t>
      </w:r>
      <w:r w:rsidRPr="003C3A2A">
        <w:rPr>
          <w:sz w:val="24"/>
          <w:szCs w:val="24"/>
        </w:rPr>
        <w:t xml:space="preserve">and </w:t>
      </w:r>
      <w:r>
        <w:rPr>
          <w:sz w:val="24"/>
          <w:szCs w:val="24"/>
        </w:rPr>
        <w:t>CAFs</w:t>
      </w:r>
      <w:r w:rsidRPr="003C3A2A">
        <w:rPr>
          <w:sz w:val="24"/>
          <w:szCs w:val="24"/>
        </w:rPr>
        <w:t xml:space="preserve">.  Results are shown as the relative expression </w:t>
      </w:r>
      <w:r>
        <w:rPr>
          <w:sz w:val="24"/>
          <w:szCs w:val="24"/>
        </w:rPr>
        <w:t>in</w:t>
      </w:r>
      <w:r w:rsidRPr="003C3A2A">
        <w:rPr>
          <w:sz w:val="24"/>
          <w:szCs w:val="24"/>
        </w:rPr>
        <w:t xml:space="preserve"> KEP</w:t>
      </w:r>
      <w:r>
        <w:rPr>
          <w:sz w:val="24"/>
          <w:szCs w:val="24"/>
        </w:rPr>
        <w:t>-CAFs</w:t>
      </w:r>
      <w:r w:rsidRPr="003C3A2A">
        <w:rPr>
          <w:sz w:val="24"/>
          <w:szCs w:val="24"/>
        </w:rPr>
        <w:t xml:space="preserve">. </w:t>
      </w:r>
      <w:r>
        <w:rPr>
          <w:sz w:val="24"/>
          <w:szCs w:val="24"/>
          <w:lang w:val="en-US"/>
        </w:rPr>
        <w:t>**</w:t>
      </w:r>
      <w:r w:rsidRPr="003C3A2A">
        <w:rPr>
          <w:sz w:val="24"/>
          <w:szCs w:val="24"/>
          <w:lang w:val="en-US"/>
        </w:rPr>
        <w:t xml:space="preserve">p </w:t>
      </w:r>
      <w:r w:rsidRPr="003C3A2A">
        <w:rPr>
          <w:rFonts w:eastAsia="Times New Roman"/>
          <w:color w:val="000000"/>
          <w:sz w:val="24"/>
          <w:szCs w:val="24"/>
        </w:rPr>
        <w:t xml:space="preserve">≤ 0.01; </w:t>
      </w:r>
      <w:r>
        <w:rPr>
          <w:sz w:val="24"/>
          <w:szCs w:val="24"/>
          <w:lang w:val="en-US"/>
        </w:rPr>
        <w:t>****</w:t>
      </w:r>
      <w:r w:rsidRPr="003C3A2A">
        <w:rPr>
          <w:sz w:val="24"/>
          <w:szCs w:val="24"/>
          <w:lang w:val="en-US"/>
        </w:rPr>
        <w:t xml:space="preserve">p </w:t>
      </w:r>
      <w:r w:rsidRPr="003C3A2A">
        <w:rPr>
          <w:rFonts w:eastAsia="Times New Roman"/>
          <w:color w:val="000000"/>
          <w:sz w:val="24"/>
          <w:szCs w:val="24"/>
        </w:rPr>
        <w:t>≤ 0.0001</w:t>
      </w:r>
      <w:r>
        <w:rPr>
          <w:rFonts w:eastAsia="Times New Roman"/>
          <w:color w:val="000000"/>
          <w:sz w:val="24"/>
          <w:szCs w:val="24"/>
        </w:rPr>
        <w:t xml:space="preserve">, </w:t>
      </w:r>
      <w:r w:rsidRPr="00F11667">
        <w:rPr>
          <w:i/>
          <w:sz w:val="24"/>
          <w:szCs w:val="24"/>
          <w:lang w:val="en-US"/>
        </w:rPr>
        <w:t>t</w:t>
      </w:r>
      <w:r>
        <w:rPr>
          <w:sz w:val="24"/>
          <w:szCs w:val="24"/>
          <w:lang w:val="en-US"/>
        </w:rPr>
        <w:t>-test</w:t>
      </w:r>
      <w:r w:rsidRPr="003C3A2A">
        <w:rPr>
          <w:rFonts w:eastAsia="Times New Roman"/>
          <w:color w:val="000000"/>
          <w:sz w:val="24"/>
          <w:szCs w:val="24"/>
        </w:rPr>
        <w:t xml:space="preserve"> </w:t>
      </w:r>
      <w:r w:rsidRPr="003C3A2A">
        <w:rPr>
          <w:sz w:val="24"/>
          <w:szCs w:val="24"/>
          <w:lang w:val="en-US"/>
        </w:rPr>
        <w:t>compar</w:t>
      </w:r>
      <w:r>
        <w:rPr>
          <w:sz w:val="24"/>
          <w:szCs w:val="24"/>
          <w:lang w:val="en-US"/>
        </w:rPr>
        <w:t>ing</w:t>
      </w:r>
      <w:r w:rsidRPr="003C3A2A">
        <w:rPr>
          <w:sz w:val="24"/>
          <w:szCs w:val="24"/>
          <w:lang w:val="en-US"/>
        </w:rPr>
        <w:t xml:space="preserve"> expression </w:t>
      </w:r>
      <w:r>
        <w:rPr>
          <w:sz w:val="24"/>
          <w:szCs w:val="24"/>
          <w:lang w:val="en-US"/>
        </w:rPr>
        <w:t>in</w:t>
      </w:r>
      <w:r w:rsidRPr="003C3A2A">
        <w:rPr>
          <w:sz w:val="24"/>
          <w:szCs w:val="24"/>
          <w:lang w:val="en-US"/>
        </w:rPr>
        <w:t xml:space="preserve"> KEP</w:t>
      </w:r>
      <w:r>
        <w:rPr>
          <w:sz w:val="24"/>
          <w:szCs w:val="24"/>
          <w:lang w:val="en-US"/>
        </w:rPr>
        <w:t>-CAFs to</w:t>
      </w:r>
      <w:r w:rsidRPr="003C3A2A">
        <w:rPr>
          <w:sz w:val="24"/>
          <w:szCs w:val="24"/>
          <w:lang w:val="en-US"/>
        </w:rPr>
        <w:t xml:space="preserve"> KEP </w:t>
      </w:r>
      <w:r>
        <w:rPr>
          <w:sz w:val="24"/>
          <w:szCs w:val="24"/>
          <w:lang w:val="en-US"/>
        </w:rPr>
        <w:t>tumor</w:t>
      </w:r>
      <w:r>
        <w:rPr>
          <w:rFonts w:eastAsia="Times New Roman"/>
          <w:color w:val="000000"/>
          <w:sz w:val="24"/>
          <w:szCs w:val="24"/>
        </w:rPr>
        <w:t>.</w:t>
      </w:r>
      <w:r w:rsidRPr="003C3A2A">
        <w:rPr>
          <w:rFonts w:eastAsia="Times New Roman"/>
          <w:color w:val="000000"/>
          <w:sz w:val="24"/>
          <w:szCs w:val="24"/>
        </w:rPr>
        <w:t xml:space="preserve"> </w:t>
      </w:r>
    </w:p>
    <w:p w:rsidR="00D44601" w:rsidRPr="009B7369" w:rsidRDefault="00D44601" w:rsidP="00D44601"/>
    <w:p w:rsidR="00D44601" w:rsidRPr="005371A7" w:rsidRDefault="00D44601" w:rsidP="00D44601"/>
    <w:p w:rsidR="00D44601" w:rsidRDefault="00D44601" w:rsidP="00D44601">
      <w:pPr>
        <w:pStyle w:val="Quote"/>
        <w:spacing w:line="480" w:lineRule="auto"/>
        <w:rPr>
          <w:b/>
          <w:bCs/>
          <w:sz w:val="24"/>
        </w:rPr>
      </w:pPr>
      <w:r>
        <w:rPr>
          <w:b/>
          <w:bCs/>
          <w:sz w:val="24"/>
        </w:rPr>
        <w:t xml:space="preserve">Supplementary </w:t>
      </w:r>
      <w:r w:rsidRPr="007E389A">
        <w:rPr>
          <w:b/>
          <w:bCs/>
          <w:sz w:val="24"/>
        </w:rPr>
        <w:t xml:space="preserve">Figure </w:t>
      </w:r>
      <w:r>
        <w:rPr>
          <w:b/>
          <w:bCs/>
          <w:sz w:val="24"/>
        </w:rPr>
        <w:t>8:</w:t>
      </w:r>
      <w:r w:rsidRPr="007E389A">
        <w:rPr>
          <w:b/>
          <w:bCs/>
          <w:sz w:val="24"/>
        </w:rPr>
        <w:t xml:space="preserve"> Comprehensive survival analysis of </w:t>
      </w:r>
      <w:r w:rsidRPr="007E389A">
        <w:rPr>
          <w:b/>
          <w:bCs/>
          <w:i/>
          <w:sz w:val="24"/>
        </w:rPr>
        <w:t>PAPPA</w:t>
      </w:r>
      <w:r w:rsidRPr="007E389A">
        <w:rPr>
          <w:b/>
          <w:bCs/>
          <w:sz w:val="24"/>
        </w:rPr>
        <w:t xml:space="preserve"> highlights low expression in ILC, but not IDC is associated with poor outcome </w:t>
      </w:r>
    </w:p>
    <w:p w:rsidR="009D23A9" w:rsidRPr="00D44601" w:rsidRDefault="00D44601" w:rsidP="00D44601">
      <w:pPr>
        <w:pStyle w:val="Quote"/>
        <w:spacing w:line="480" w:lineRule="auto"/>
        <w:rPr>
          <w:sz w:val="24"/>
        </w:rPr>
      </w:pPr>
      <w:r>
        <w:rPr>
          <w:sz w:val="24"/>
        </w:rPr>
        <w:t xml:space="preserve">A) Hazard ratios of all possible </w:t>
      </w:r>
      <w:r>
        <w:rPr>
          <w:rFonts w:cs="Times New Roman"/>
          <w:sz w:val="24"/>
        </w:rPr>
        <w:t xml:space="preserve">(n − 1) </w:t>
      </w:r>
      <w:r>
        <w:rPr>
          <w:sz w:val="24"/>
        </w:rPr>
        <w:t xml:space="preserve">cut-points to split the 1,904 breast tumors of the METABRIC dataset and 1,098 breast cancers of the TCGA dataset into two groups ranked left-right by </w:t>
      </w:r>
      <w:r w:rsidRPr="007C5FBD">
        <w:rPr>
          <w:i/>
          <w:iCs w:val="0"/>
          <w:sz w:val="24"/>
        </w:rPr>
        <w:t>PAPPA</w:t>
      </w:r>
      <w:r>
        <w:rPr>
          <w:sz w:val="24"/>
        </w:rPr>
        <w:t xml:space="preserve"> expression. Cox proportional hazards p-values &lt; 0.05 are highlighted by yellow-blue colours. B) survivALL plots for </w:t>
      </w:r>
      <w:r>
        <w:rPr>
          <w:i/>
          <w:iCs w:val="0"/>
          <w:sz w:val="24"/>
        </w:rPr>
        <w:t>PAPPA</w:t>
      </w:r>
      <w:r>
        <w:rPr>
          <w:sz w:val="24"/>
        </w:rPr>
        <w:t xml:space="preserve"> expression in ILC tumors from the METABRIC and TCGA studies. C) Representative survivALL plots for 142 and 206 randomly sampled ER+ IDCs from METABRIC and TCGA to compare with the same number of ILCs shown in Supplementary Figure 8B. survivALL plots performed </w:t>
      </w:r>
      <w:r w:rsidRPr="005F7C96">
        <w:rPr>
          <w:rFonts w:cs="Times New Roman"/>
          <w:sz w:val="24"/>
        </w:rPr>
        <w:t xml:space="preserve">to examine all possible points of separation to split cohorts into low and high groups. </w:t>
      </w:r>
      <w:r>
        <w:rPr>
          <w:sz w:val="24"/>
        </w:rPr>
        <w:t xml:space="preserve"> D) </w:t>
      </w:r>
      <w:r w:rsidRPr="00E00B9A">
        <w:rPr>
          <w:i/>
          <w:sz w:val="24"/>
        </w:rPr>
        <w:t>PAPPA</w:t>
      </w:r>
      <w:r>
        <w:rPr>
          <w:sz w:val="24"/>
        </w:rPr>
        <w:t xml:space="preserve"> is expressed at significantly higher levels in tumors assigned to the “</w:t>
      </w:r>
      <w:r w:rsidRPr="00E00B9A">
        <w:rPr>
          <w:i/>
          <w:sz w:val="24"/>
        </w:rPr>
        <w:t>reactive</w:t>
      </w:r>
      <w:r>
        <w:rPr>
          <w:sz w:val="24"/>
        </w:rPr>
        <w:t xml:space="preserve">” ILC subtype (as defined by Ciriello G., </w:t>
      </w:r>
      <w:r w:rsidRPr="008C0889">
        <w:rPr>
          <w:i/>
          <w:sz w:val="24"/>
        </w:rPr>
        <w:t>et al</w:t>
      </w:r>
      <w:r>
        <w:rPr>
          <w:sz w:val="24"/>
        </w:rPr>
        <w:t xml:space="preserve"> 2015) in both datasets.</w:t>
      </w:r>
      <w:bookmarkStart w:id="0" w:name="_GoBack"/>
      <w:bookmarkEnd w:id="0"/>
    </w:p>
    <w:sectPr w:rsidR="009D23A9" w:rsidRPr="00D44601" w:rsidSect="007766B5">
      <w:footerReference w:type="even" r:id="rId4"/>
      <w:footerReference w:type="default" r:id="rId5"/>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ymbol">
    <w:panose1 w:val="05050102010706020507"/>
    <w:charset w:val="00"/>
    <w:family w:val="decorativ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1253862168"/>
      <w:docPartObj>
        <w:docPartGallery w:val="Page Numbers (Bottom of Page)"/>
        <w:docPartUnique/>
      </w:docPartObj>
    </w:sdtPr>
    <w:sdtEndPr>
      <w:rPr>
        <w:rStyle w:val="PageNumber"/>
      </w:rPr>
    </w:sdtEndPr>
    <w:sdtContent>
      <w:p w:rsidR="004207E6" w:rsidRDefault="00D44601" w:rsidP="009C5373">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4207E6" w:rsidRDefault="00D4460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472989893"/>
      <w:docPartObj>
        <w:docPartGallery w:val="Page Numbers (Bottom of Page)"/>
        <w:docPartUnique/>
      </w:docPartObj>
    </w:sdtPr>
    <w:sdtEndPr>
      <w:rPr>
        <w:rStyle w:val="PageNumber"/>
      </w:rPr>
    </w:sdtEndPr>
    <w:sdtContent>
      <w:p w:rsidR="004207E6" w:rsidRDefault="00D44601" w:rsidP="009C5373">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w:t>
        </w:r>
        <w:r>
          <w:rPr>
            <w:rStyle w:val="PageNumber"/>
          </w:rPr>
          <w:fldChar w:fldCharType="end"/>
        </w:r>
      </w:p>
    </w:sdtContent>
  </w:sdt>
  <w:p w:rsidR="004207E6" w:rsidRDefault="00D44601">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4601"/>
    <w:rsid w:val="009D23A9"/>
    <w:rsid w:val="00D446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BF45F4"/>
  <w15:chartTrackingRefBased/>
  <w15:docId w15:val="{53028005-AEC4-4161-9691-BDFF0EBE20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44601"/>
    <w:pPr>
      <w:spacing w:after="0" w:line="240" w:lineRule="auto"/>
      <w:jc w:val="both"/>
    </w:pPr>
    <w:rPr>
      <w:rFonts w:asciiTheme="majorHAnsi" w:eastAsiaTheme="minorEastAsia" w:hAnsiTheme="majorHAnsi"/>
      <w:sz w:val="20"/>
      <w:szCs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D44601"/>
    <w:pPr>
      <w:spacing w:after="200"/>
    </w:pPr>
    <w:rPr>
      <w:rFonts w:ascii="Times New Roman" w:hAnsi="Times New Roman"/>
      <w:b/>
      <w:bCs/>
      <w:sz w:val="18"/>
      <w:szCs w:val="18"/>
    </w:rPr>
  </w:style>
  <w:style w:type="paragraph" w:styleId="Quote">
    <w:name w:val="Quote"/>
    <w:aliases w:val="Figure description"/>
    <w:basedOn w:val="Normal"/>
    <w:next w:val="Normal"/>
    <w:link w:val="QuoteChar"/>
    <w:uiPriority w:val="29"/>
    <w:qFormat/>
    <w:rsid w:val="00D44601"/>
    <w:pPr>
      <w:spacing w:after="240" w:line="360" w:lineRule="auto"/>
    </w:pPr>
    <w:rPr>
      <w:rFonts w:ascii="Times New Roman" w:eastAsiaTheme="minorHAnsi" w:hAnsi="Times New Roman"/>
      <w:iCs/>
      <w:color w:val="000000" w:themeColor="text1"/>
      <w:sz w:val="18"/>
      <w:szCs w:val="22"/>
    </w:rPr>
  </w:style>
  <w:style w:type="character" w:customStyle="1" w:styleId="QuoteChar">
    <w:name w:val="Quote Char"/>
    <w:aliases w:val="Figure description Char"/>
    <w:basedOn w:val="DefaultParagraphFont"/>
    <w:link w:val="Quote"/>
    <w:uiPriority w:val="29"/>
    <w:rsid w:val="00D44601"/>
    <w:rPr>
      <w:rFonts w:ascii="Times New Roman" w:hAnsi="Times New Roman"/>
      <w:iCs/>
      <w:color w:val="000000" w:themeColor="text1"/>
      <w:sz w:val="18"/>
      <w:lang w:val="en-GB"/>
    </w:rPr>
  </w:style>
  <w:style w:type="paragraph" w:styleId="Footer">
    <w:name w:val="footer"/>
    <w:basedOn w:val="Normal"/>
    <w:link w:val="FooterChar"/>
    <w:uiPriority w:val="99"/>
    <w:unhideWhenUsed/>
    <w:rsid w:val="00D44601"/>
    <w:pPr>
      <w:tabs>
        <w:tab w:val="center" w:pos="4680"/>
        <w:tab w:val="right" w:pos="9360"/>
      </w:tabs>
    </w:pPr>
  </w:style>
  <w:style w:type="character" w:customStyle="1" w:styleId="FooterChar">
    <w:name w:val="Footer Char"/>
    <w:basedOn w:val="DefaultParagraphFont"/>
    <w:link w:val="Footer"/>
    <w:uiPriority w:val="99"/>
    <w:rsid w:val="00D44601"/>
    <w:rPr>
      <w:rFonts w:asciiTheme="majorHAnsi" w:eastAsiaTheme="minorEastAsia" w:hAnsiTheme="majorHAnsi"/>
      <w:sz w:val="20"/>
      <w:szCs w:val="24"/>
      <w:lang w:val="en-GB"/>
    </w:rPr>
  </w:style>
  <w:style w:type="character" w:styleId="PageNumber">
    <w:name w:val="page number"/>
    <w:basedOn w:val="DefaultParagraphFont"/>
    <w:uiPriority w:val="99"/>
    <w:semiHidden/>
    <w:unhideWhenUsed/>
    <w:rsid w:val="00D4460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2.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699</Words>
  <Characters>3987</Characters>
  <Application>Microsoft Office Word</Application>
  <DocSecurity>0</DocSecurity>
  <Lines>33</Lines>
  <Paragraphs>9</Paragraphs>
  <ScaleCrop>false</ScaleCrop>
  <Company>Springer Nature</Company>
  <LinksUpToDate>false</LinksUpToDate>
  <CharactersWithSpaces>4677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2020-08-20T09:29:00Z</dcterms:created>
  <dcterms:modified xsi:type="dcterms:W3CDTF">2020-08-20T09:29:00Z</dcterms:modified>
</cp:coreProperties>
</file>