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0ACF0" w14:textId="77777777" w:rsidR="00F56181" w:rsidRPr="00F01B71" w:rsidRDefault="00F56181" w:rsidP="00F56181">
      <w:pPr>
        <w:spacing w:line="360" w:lineRule="auto"/>
        <w:rPr>
          <w:rFonts w:ascii="Times New Roman" w:eastAsia="Times New Roman" w:hAnsi="Times New Roman" w:cs="Times New Roman"/>
        </w:rPr>
      </w:pPr>
      <w:r w:rsidRPr="00F01B71">
        <w:rPr>
          <w:rFonts w:ascii="Times New Roman" w:eastAsia="Times New Roman" w:hAnsi="Times New Roman" w:cs="Times New Roman"/>
        </w:rPr>
        <w:t>Appendix A</w:t>
      </w:r>
    </w:p>
    <w:p w14:paraId="2FC7349A" w14:textId="77777777" w:rsidR="00F56181" w:rsidRPr="00F01B71" w:rsidRDefault="00F56181" w:rsidP="00F56181">
      <w:pPr>
        <w:spacing w:line="360" w:lineRule="auto"/>
        <w:rPr>
          <w:rFonts w:ascii="Times New Roman" w:eastAsia="Times New Roman" w:hAnsi="Times New Roman" w:cs="Times New Roman"/>
        </w:rPr>
      </w:pPr>
      <w:r w:rsidRPr="00F01B71">
        <w:rPr>
          <w:rFonts w:ascii="Times New Roman" w:eastAsia="Times New Roman" w:hAnsi="Times New Roman" w:cs="Times New Roman"/>
        </w:rPr>
        <w:t>Summary of Placement Structures and Demographics Across Allied Health Programs</w:t>
      </w:r>
    </w:p>
    <w:tbl>
      <w:tblPr>
        <w:tblStyle w:val="TableGrid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3165"/>
        <w:gridCol w:w="2959"/>
      </w:tblGrid>
      <w:tr w:rsidR="00F56181" w:rsidRPr="00F01B71" w14:paraId="2D95C01F" w14:textId="77777777" w:rsidTr="00937EB2"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14:paraId="0839C161" w14:textId="77777777" w:rsidR="00F56181" w:rsidRPr="00F01B71" w:rsidRDefault="00F56181" w:rsidP="00937EB2">
            <w:pPr>
              <w:spacing w:before="60"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Program</w:t>
            </w:r>
          </w:p>
        </w:tc>
        <w:tc>
          <w:tcPr>
            <w:tcW w:w="3165" w:type="dxa"/>
            <w:tcBorders>
              <w:top w:val="single" w:sz="4" w:space="0" w:color="auto"/>
              <w:bottom w:val="single" w:sz="4" w:space="0" w:color="auto"/>
            </w:tcBorders>
          </w:tcPr>
          <w:p w14:paraId="2ABC5A04" w14:textId="77777777" w:rsidR="00F56181" w:rsidRPr="00F01B71" w:rsidRDefault="00F56181" w:rsidP="00937EB2">
            <w:pPr>
              <w:spacing w:before="60"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Placement Structure and Duration</w:t>
            </w:r>
          </w:p>
        </w:tc>
        <w:tc>
          <w:tcPr>
            <w:tcW w:w="2959" w:type="dxa"/>
            <w:tcBorders>
              <w:top w:val="single" w:sz="4" w:space="0" w:color="auto"/>
              <w:bottom w:val="single" w:sz="4" w:space="0" w:color="auto"/>
            </w:tcBorders>
          </w:tcPr>
          <w:p w14:paraId="16D612A3" w14:textId="77777777" w:rsidR="00F56181" w:rsidRPr="00F01B71" w:rsidRDefault="00F56181" w:rsidP="00937EB2">
            <w:pPr>
              <w:spacing w:before="60" w:after="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2023 Demographics</w:t>
            </w:r>
          </w:p>
        </w:tc>
      </w:tr>
      <w:tr w:rsidR="00F56181" w:rsidRPr="00F01B71" w14:paraId="3D827BBC" w14:textId="77777777" w:rsidTr="00937EB2">
        <w:tc>
          <w:tcPr>
            <w:tcW w:w="3510" w:type="dxa"/>
            <w:tcBorders>
              <w:top w:val="single" w:sz="4" w:space="0" w:color="auto"/>
            </w:tcBorders>
          </w:tcPr>
          <w:p w14:paraId="64F834FC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Bachelor of Clinical Exercise Physiology</w:t>
            </w:r>
          </w:p>
        </w:tc>
        <w:tc>
          <w:tcPr>
            <w:tcW w:w="3165" w:type="dxa"/>
            <w:tcBorders>
              <w:top w:val="single" w:sz="4" w:space="0" w:color="auto"/>
            </w:tcBorders>
          </w:tcPr>
          <w:p w14:paraId="21158B94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Four-year program: 140 hours (penultimate year) and 360 hours (final year) in two six-week blocks across various pathologies. </w:t>
            </w:r>
          </w:p>
        </w:tc>
        <w:tc>
          <w:tcPr>
            <w:tcW w:w="2959" w:type="dxa"/>
            <w:tcBorders>
              <w:top w:val="single" w:sz="4" w:space="0" w:color="auto"/>
            </w:tcBorders>
          </w:tcPr>
          <w:p w14:paraId="5298730C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54% aged 20–24; 50.8% female, 1.7% First Nations, 5% international, 10% with a disability.</w:t>
            </w:r>
          </w:p>
        </w:tc>
      </w:tr>
      <w:tr w:rsidR="00F56181" w:rsidRPr="00F01B71" w14:paraId="5F823011" w14:textId="77777777" w:rsidTr="00937EB2">
        <w:tc>
          <w:tcPr>
            <w:tcW w:w="3510" w:type="dxa"/>
          </w:tcPr>
          <w:p w14:paraId="51D1B61C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Bachelor of Exercise Science</w:t>
            </w:r>
          </w:p>
        </w:tc>
        <w:tc>
          <w:tcPr>
            <w:tcW w:w="3165" w:type="dxa"/>
          </w:tcPr>
          <w:p w14:paraId="75442FB4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Three-year program: 140 hours in exercise and sports science contexts. </w:t>
            </w:r>
          </w:p>
        </w:tc>
        <w:tc>
          <w:tcPr>
            <w:tcW w:w="2959" w:type="dxa"/>
          </w:tcPr>
          <w:p w14:paraId="53E6FCEF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31% aged 20–24; 72% female, 5.6% First Nations, 9% international, 13% with a disability.</w:t>
            </w:r>
          </w:p>
        </w:tc>
      </w:tr>
      <w:tr w:rsidR="00F56181" w:rsidRPr="00F01B71" w14:paraId="50974D04" w14:textId="77777777" w:rsidTr="00937EB2">
        <w:tc>
          <w:tcPr>
            <w:tcW w:w="3510" w:type="dxa"/>
          </w:tcPr>
          <w:p w14:paraId="207AF4D0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Bachelor of Nutrition and Dietetics and Bachelor of Nutrition and Dietetics (Honours) </w:t>
            </w:r>
          </w:p>
        </w:tc>
        <w:tc>
          <w:tcPr>
            <w:tcW w:w="3165" w:type="dxa"/>
          </w:tcPr>
          <w:p w14:paraId="280E93F9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Four-year program: 21-week placement in final year, divided into four blocks, with competency-based assessment.</w:t>
            </w:r>
          </w:p>
        </w:tc>
        <w:tc>
          <w:tcPr>
            <w:tcW w:w="2959" w:type="dxa"/>
          </w:tcPr>
          <w:p w14:paraId="524F8B14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44% aged 20–24; 82% female, 0.5% First Nations, 9% international, 17% with a disability.</w:t>
            </w:r>
          </w:p>
        </w:tc>
      </w:tr>
      <w:tr w:rsidR="00F56181" w:rsidRPr="00F01B71" w14:paraId="0067ABDA" w14:textId="77777777" w:rsidTr="00937EB2">
        <w:tc>
          <w:tcPr>
            <w:tcW w:w="3510" w:type="dxa"/>
          </w:tcPr>
          <w:p w14:paraId="5772689F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Bachelor of Occupational Therapy and Bachelor of Occupational Therapy (Honours)</w:t>
            </w:r>
          </w:p>
        </w:tc>
        <w:tc>
          <w:tcPr>
            <w:tcW w:w="3165" w:type="dxa"/>
          </w:tcPr>
          <w:p w14:paraId="5B247141" w14:textId="77777777" w:rsidR="00F56181" w:rsidRDefault="00F56181" w:rsidP="00937EB2">
            <w:pPr>
              <w:spacing w:beforeAutospacing="1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2019AE1F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Four-year program: third- and fourth-year placements included two 10-week blocks. </w:t>
            </w:r>
          </w:p>
        </w:tc>
        <w:tc>
          <w:tcPr>
            <w:tcW w:w="2959" w:type="dxa"/>
          </w:tcPr>
          <w:p w14:paraId="14399722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46% aged 20–24; 87% female, 2.2% First Nations, 2% international, 14% with a disability.</w:t>
            </w:r>
          </w:p>
        </w:tc>
      </w:tr>
      <w:tr w:rsidR="00F56181" w:rsidRPr="00F01B71" w14:paraId="0BD312AC" w14:textId="77777777" w:rsidTr="00937EB2">
        <w:tc>
          <w:tcPr>
            <w:tcW w:w="3510" w:type="dxa"/>
          </w:tcPr>
          <w:p w14:paraId="24387C06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Bachelor and Doctor of Physiotherapy</w:t>
            </w:r>
          </w:p>
        </w:tc>
        <w:tc>
          <w:tcPr>
            <w:tcW w:w="3165" w:type="dxa"/>
          </w:tcPr>
          <w:p w14:paraId="25FAC401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Four-year Bachelor’s or two-year Doctorate program: Five to seven 5-week placements, covering a breadth of clinical areas. </w:t>
            </w:r>
          </w:p>
        </w:tc>
        <w:tc>
          <w:tcPr>
            <w:tcW w:w="2959" w:type="dxa"/>
          </w:tcPr>
          <w:p w14:paraId="203E29B7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42% aged 20–24; 50.1% female, 1.5% First Nations, 6% international, 5% with a disability.</w:t>
            </w:r>
          </w:p>
        </w:tc>
      </w:tr>
      <w:tr w:rsidR="00F56181" w:rsidRPr="00F01B71" w14:paraId="7CB3E23D" w14:textId="77777777" w:rsidTr="00937EB2">
        <w:tc>
          <w:tcPr>
            <w:tcW w:w="3510" w:type="dxa"/>
          </w:tcPr>
          <w:p w14:paraId="3B800502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Master of Rehabilitation Counselling</w:t>
            </w:r>
          </w:p>
        </w:tc>
        <w:tc>
          <w:tcPr>
            <w:tcW w:w="3165" w:type="dxa"/>
          </w:tcPr>
          <w:p w14:paraId="394D043B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1.5-year program: 200 hours of supervised practice in rehabilitation counselling. </w:t>
            </w:r>
          </w:p>
        </w:tc>
        <w:tc>
          <w:tcPr>
            <w:tcW w:w="2959" w:type="dxa"/>
          </w:tcPr>
          <w:p w14:paraId="5AA8117E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37% aged 30–39; 70% female, 1.1% First Nations, 1% international, 19% with a disability.</w:t>
            </w:r>
          </w:p>
        </w:tc>
      </w:tr>
      <w:tr w:rsidR="00F56181" w:rsidRPr="00F01B71" w14:paraId="26CB4967" w14:textId="77777777" w:rsidTr="00937EB2">
        <w:tc>
          <w:tcPr>
            <w:tcW w:w="3510" w:type="dxa"/>
          </w:tcPr>
          <w:p w14:paraId="1BFB4BB4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Bachelor and Master of Social Work</w:t>
            </w:r>
          </w:p>
        </w:tc>
        <w:tc>
          <w:tcPr>
            <w:tcW w:w="3165" w:type="dxa"/>
          </w:tcPr>
          <w:p w14:paraId="1293F084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Two 17-week placements (500 hours each) in distinct fields.</w:t>
            </w:r>
          </w:p>
        </w:tc>
        <w:tc>
          <w:tcPr>
            <w:tcW w:w="2959" w:type="dxa"/>
          </w:tcPr>
          <w:p w14:paraId="507EAD4D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28% aged 20–24; 64% female, 6.5% First Nations, 17% international, 18% with a disability.</w:t>
            </w:r>
          </w:p>
        </w:tc>
      </w:tr>
      <w:tr w:rsidR="00F56181" w:rsidRPr="00F01B71" w14:paraId="6D45FA80" w14:textId="77777777" w:rsidTr="00937EB2">
        <w:tc>
          <w:tcPr>
            <w:tcW w:w="3510" w:type="dxa"/>
            <w:tcBorders>
              <w:bottom w:val="single" w:sz="4" w:space="0" w:color="auto"/>
            </w:tcBorders>
          </w:tcPr>
          <w:p w14:paraId="5FCBB382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01B71">
              <w:rPr>
                <w:rFonts w:ascii="Times New Roman" w:eastAsia="Times New Roman" w:hAnsi="Times New Roman" w:cs="Times New Roman"/>
                <w:sz w:val="22"/>
                <w:szCs w:val="22"/>
              </w:rPr>
              <w:t>Master of Speech Pathology</w:t>
            </w:r>
          </w:p>
        </w:tc>
        <w:tc>
          <w:tcPr>
            <w:tcW w:w="3165" w:type="dxa"/>
            <w:tcBorders>
              <w:bottom w:val="single" w:sz="4" w:space="0" w:color="auto"/>
            </w:tcBorders>
          </w:tcPr>
          <w:p w14:paraId="24B259D2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Two-year program: Placements integrated into each trimester, ranging from 4 half-days to 32 days. </w:t>
            </w:r>
          </w:p>
        </w:tc>
        <w:tc>
          <w:tcPr>
            <w:tcW w:w="2959" w:type="dxa"/>
            <w:tcBorders>
              <w:bottom w:val="single" w:sz="4" w:space="0" w:color="auto"/>
            </w:tcBorders>
          </w:tcPr>
          <w:p w14:paraId="692C8DBA" w14:textId="77777777" w:rsidR="00F56181" w:rsidRPr="00F01B71" w:rsidRDefault="00F56181" w:rsidP="00937E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611F69DC">
              <w:rPr>
                <w:rFonts w:ascii="Times New Roman" w:eastAsia="Times New Roman" w:hAnsi="Times New Roman" w:cs="Times New Roman"/>
                <w:sz w:val="22"/>
                <w:szCs w:val="22"/>
              </w:rPr>
              <w:t>68% aged 20–29; 92% female, 19% international, 8% with a disability</w:t>
            </w:r>
          </w:p>
        </w:tc>
      </w:tr>
    </w:tbl>
    <w:p w14:paraId="30A7E9DA" w14:textId="77777777" w:rsidR="00F56181" w:rsidRPr="00F01B71" w:rsidRDefault="00F56181" w:rsidP="00F56181">
      <w:pPr>
        <w:spacing w:line="360" w:lineRule="auto"/>
        <w:rPr>
          <w:rFonts w:ascii="Times New Roman" w:eastAsia="Times New Roman" w:hAnsi="Times New Roman" w:cs="Times New Roman"/>
        </w:rPr>
      </w:pPr>
    </w:p>
    <w:p w14:paraId="34C312A8" w14:textId="77777777" w:rsidR="00F56181" w:rsidRPr="00F01B71" w:rsidRDefault="00F56181" w:rsidP="00F56181">
      <w:pPr>
        <w:spacing w:line="360" w:lineRule="auto"/>
        <w:rPr>
          <w:rFonts w:ascii="Times New Roman" w:eastAsia="Times New Roman" w:hAnsi="Times New Roman" w:cs="Times New Roman"/>
        </w:rPr>
      </w:pPr>
    </w:p>
    <w:p w14:paraId="4A668D90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181"/>
    <w:rsid w:val="00732981"/>
    <w:rsid w:val="00AC0449"/>
    <w:rsid w:val="00AD604E"/>
    <w:rsid w:val="00F56181"/>
    <w:rsid w:val="00FF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EECD1"/>
  <w15:chartTrackingRefBased/>
  <w15:docId w15:val="{B56ADEAB-1617-42BC-9C08-224DD804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181"/>
    <w:pPr>
      <w:spacing w:line="279" w:lineRule="auto"/>
    </w:pPr>
    <w:rPr>
      <w:rFonts w:eastAsiaTheme="minorEastAsia"/>
      <w:kern w:val="0"/>
      <w:sz w:val="24"/>
      <w:szCs w:val="24"/>
      <w:lang w:val="en-AU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618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618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618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18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18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18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18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18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18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1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61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61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1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1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1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1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1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1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1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61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18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61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181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61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181"/>
    <w:pPr>
      <w:spacing w:line="259" w:lineRule="auto"/>
      <w:ind w:left="720"/>
      <w:contextualSpacing/>
    </w:pPr>
    <w:rPr>
      <w:rFonts w:eastAsiaTheme="minorHAns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61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1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1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1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56181"/>
    <w:pPr>
      <w:spacing w:after="0" w:line="240" w:lineRule="auto"/>
    </w:pPr>
    <w:rPr>
      <w:rFonts w:eastAsiaTheme="minorEastAsia"/>
      <w:kern w:val="0"/>
      <w:sz w:val="24"/>
      <w:szCs w:val="24"/>
      <w:lang w:eastAsia="ja-JP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1693</Characters>
  <Application>Microsoft Office Word</Application>
  <DocSecurity>0</DocSecurity>
  <Lines>14</Lines>
  <Paragraphs>3</Paragraphs>
  <ScaleCrop>false</ScaleCrop>
  <Company>Springer Nature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2025-02-17T06:41:00Z</dcterms:created>
  <dcterms:modified xsi:type="dcterms:W3CDTF">2025-02-17T06:41:00Z</dcterms:modified>
</cp:coreProperties>
</file>