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980A7">
      <w:pPr>
        <w:widowControl/>
        <w:spacing w:line="360" w:lineRule="auto"/>
        <w:jc w:val="center"/>
        <w:rPr>
          <w:rFonts w:hint="default" w:ascii="Arial" w:hAnsi="Arial" w:eastAsia="宋体" w:cs="Arial"/>
          <w:b/>
          <w:kern w:val="0"/>
          <w:sz w:val="28"/>
          <w:szCs w:val="28"/>
          <w:lang w:val="en-US" w:eastAsia="zh-CN"/>
        </w:rPr>
      </w:pPr>
      <w:r>
        <w:rPr>
          <w:rFonts w:hint="default" w:ascii="Arial" w:hAnsi="Arial" w:eastAsia="宋体" w:cs="Arial"/>
          <w:b/>
          <w:kern w:val="0"/>
          <w:sz w:val="28"/>
          <w:szCs w:val="28"/>
          <w:lang w:val="en-US" w:eastAsia="zh-CN"/>
        </w:rPr>
        <w:t>Supporting Information</w:t>
      </w:r>
    </w:p>
    <w:p w14:paraId="42FB15AF">
      <w:pPr>
        <w:rPr>
          <w:rFonts w:hint="default" w:ascii="Times New Roman" w:hAnsi="Times New Roman" w:cs="Times New Roman" w:eastAsiaTheme="minorEastAsia"/>
          <w:lang w:eastAsia="zh-CN"/>
        </w:rPr>
      </w:pPr>
    </w:p>
    <w:p w14:paraId="42F3C518">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Arial" w:hAnsi="Arial" w:cs="Arial"/>
          <w:b/>
          <w:bCs/>
          <w:sz w:val="28"/>
          <w:szCs w:val="28"/>
          <w:lang w:val="en-US" w:eastAsia="zh-CN"/>
        </w:rPr>
      </w:pPr>
      <w:r>
        <w:rPr>
          <w:rFonts w:hint="default" w:ascii="Arial" w:hAnsi="Arial" w:cs="Arial"/>
          <w:b/>
          <w:bCs/>
          <w:sz w:val="28"/>
          <w:szCs w:val="28"/>
          <w:lang w:val="en-US" w:eastAsia="zh-CN"/>
        </w:rPr>
        <w:t xml:space="preserve">Bio-inspired core-shell microcapsules enhance storage stability and soil survival of non-spore </w:t>
      </w:r>
      <w:r>
        <w:rPr>
          <w:rFonts w:hint="eastAsia" w:ascii="Arial" w:hAnsi="Arial" w:cs="Arial"/>
          <w:b/>
          <w:bCs/>
          <w:sz w:val="28"/>
          <w:szCs w:val="28"/>
          <w:lang w:val="en-US" w:eastAsia="zh-CN"/>
        </w:rPr>
        <w:t>bacteria</w:t>
      </w:r>
      <w:r>
        <w:rPr>
          <w:rFonts w:hint="default" w:ascii="Arial" w:hAnsi="Arial" w:cs="Arial"/>
          <w:b/>
          <w:bCs/>
          <w:sz w:val="28"/>
          <w:szCs w:val="28"/>
          <w:lang w:val="en-US" w:eastAsia="zh-CN"/>
        </w:rPr>
        <w:t xml:space="preserve"> for improving plant salinity tolerance</w:t>
      </w:r>
    </w:p>
    <w:p w14:paraId="1576DF5B">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ascii="Times New Roman" w:hAnsi="Times New Roman" w:cs="Times New Roman"/>
          <w:b/>
          <w:bCs/>
          <w:sz w:val="30"/>
          <w:szCs w:val="30"/>
        </w:rPr>
      </w:pPr>
      <w:r>
        <w:rPr>
          <w:rFonts w:hint="default" w:ascii="Arial" w:hAnsi="Arial" w:cs="Arial"/>
          <w:sz w:val="20"/>
          <w:szCs w:val="20"/>
        </w:rPr>
        <w:t>Kai Yang</w:t>
      </w:r>
      <w:r>
        <w:rPr>
          <w:rFonts w:hint="default" w:ascii="Arial" w:hAnsi="Arial" w:cs="Arial"/>
          <w:sz w:val="20"/>
          <w:szCs w:val="20"/>
          <w:vertAlign w:val="superscript"/>
        </w:rPr>
        <w:t>a</w:t>
      </w:r>
      <w:r>
        <w:rPr>
          <w:rFonts w:hint="eastAsia" w:ascii="Arial" w:hAnsi="Arial" w:cs="Arial"/>
          <w:sz w:val="20"/>
          <w:szCs w:val="20"/>
          <w:vertAlign w:val="superscript"/>
          <w:lang w:val="en-US" w:eastAsia="zh-CN"/>
        </w:rPr>
        <w:t>#</w:t>
      </w:r>
      <w:r>
        <w:rPr>
          <w:rFonts w:hint="default" w:ascii="Arial" w:hAnsi="Arial" w:cs="Arial"/>
          <w:sz w:val="20"/>
          <w:szCs w:val="20"/>
        </w:rPr>
        <w:t>, Yian Gu</w:t>
      </w:r>
      <w:r>
        <w:rPr>
          <w:rFonts w:hint="default" w:ascii="Arial" w:hAnsi="Arial" w:cs="Arial"/>
          <w:sz w:val="20"/>
          <w:szCs w:val="20"/>
          <w:vertAlign w:val="superscript"/>
        </w:rPr>
        <w:t>a</w:t>
      </w:r>
      <w:r>
        <w:rPr>
          <w:rFonts w:hint="eastAsia" w:ascii="Arial" w:hAnsi="Arial" w:cs="Arial"/>
          <w:sz w:val="20"/>
          <w:szCs w:val="20"/>
          <w:vertAlign w:val="superscript"/>
          <w:lang w:val="en-US" w:eastAsia="zh-CN"/>
        </w:rPr>
        <w:t>#</w:t>
      </w:r>
      <w:r>
        <w:rPr>
          <w:rFonts w:hint="default" w:ascii="Arial" w:hAnsi="Arial" w:cs="Arial"/>
          <w:sz w:val="20"/>
          <w:szCs w:val="20"/>
        </w:rPr>
        <w:t xml:space="preserve">, </w:t>
      </w:r>
      <w:r>
        <w:rPr>
          <w:rFonts w:hint="eastAsia" w:ascii="Arial" w:hAnsi="Arial" w:cs="Arial"/>
          <w:sz w:val="20"/>
          <w:szCs w:val="20"/>
          <w:lang w:val="en-US" w:eastAsia="zh-CN"/>
        </w:rPr>
        <w:t>Chao Tang</w:t>
      </w:r>
      <w:r>
        <w:rPr>
          <w:rFonts w:hint="default" w:ascii="Arial" w:hAnsi="Arial" w:cs="Arial"/>
          <w:sz w:val="20"/>
          <w:szCs w:val="20"/>
          <w:vertAlign w:val="superscript"/>
        </w:rPr>
        <w:t>a</w:t>
      </w:r>
      <w:r>
        <w:rPr>
          <w:rFonts w:hint="eastAsia" w:ascii="Arial" w:hAnsi="Arial" w:cs="Arial"/>
          <w:sz w:val="20"/>
          <w:szCs w:val="20"/>
          <w:lang w:val="en-US" w:eastAsia="zh-CN"/>
        </w:rPr>
        <w:t>, Chen Wang</w:t>
      </w:r>
      <w:r>
        <w:rPr>
          <w:rFonts w:hint="eastAsia" w:ascii="Arial" w:hAnsi="Arial" w:cs="Arial"/>
          <w:sz w:val="20"/>
          <w:szCs w:val="20"/>
          <w:vertAlign w:val="superscript"/>
          <w:lang w:val="en-US" w:eastAsia="zh-CN"/>
        </w:rPr>
        <w:t>a</w:t>
      </w:r>
      <w:r>
        <w:rPr>
          <w:rFonts w:hint="eastAsia" w:ascii="Arial" w:hAnsi="Arial" w:cs="Arial"/>
          <w:sz w:val="20"/>
          <w:szCs w:val="20"/>
          <w:lang w:val="en-US" w:eastAsia="zh-CN"/>
        </w:rPr>
        <w:t xml:space="preserve">, </w:t>
      </w:r>
      <w:r>
        <w:rPr>
          <w:rFonts w:hint="default" w:ascii="Arial" w:hAnsi="Arial" w:cs="Arial"/>
          <w:sz w:val="20"/>
          <w:szCs w:val="20"/>
        </w:rPr>
        <w:t>Zhong Yang</w:t>
      </w:r>
      <w:r>
        <w:rPr>
          <w:rFonts w:hint="default" w:ascii="Arial" w:hAnsi="Arial" w:cs="Arial"/>
          <w:sz w:val="20"/>
          <w:szCs w:val="20"/>
          <w:vertAlign w:val="superscript"/>
        </w:rPr>
        <w:t>a</w:t>
      </w:r>
      <w:r>
        <w:rPr>
          <w:rFonts w:hint="default" w:ascii="Arial" w:hAnsi="Arial" w:cs="Arial"/>
          <w:sz w:val="20"/>
          <w:szCs w:val="20"/>
        </w:rPr>
        <w:t>, Wei Bai</w:t>
      </w:r>
      <w:r>
        <w:rPr>
          <w:rFonts w:hint="default" w:ascii="Arial" w:hAnsi="Arial" w:cs="Arial"/>
          <w:sz w:val="20"/>
          <w:szCs w:val="20"/>
          <w:vertAlign w:val="superscript"/>
        </w:rPr>
        <w:t xml:space="preserve"> </w:t>
      </w:r>
      <w:r>
        <w:rPr>
          <w:rFonts w:hint="eastAsia" w:ascii="Arial" w:hAnsi="Arial" w:cs="Arial"/>
          <w:sz w:val="20"/>
          <w:szCs w:val="20"/>
          <w:vertAlign w:val="superscript"/>
          <w:lang w:val="en-US" w:eastAsia="zh-CN"/>
        </w:rPr>
        <w:t>b</w:t>
      </w:r>
      <w:r>
        <w:rPr>
          <w:rFonts w:hint="default" w:ascii="Arial" w:hAnsi="Arial" w:cs="Arial"/>
          <w:sz w:val="20"/>
          <w:szCs w:val="20"/>
          <w:vertAlign w:val="superscript"/>
        </w:rPr>
        <w:t>,*</w:t>
      </w:r>
      <w:r>
        <w:rPr>
          <w:rFonts w:hint="default" w:ascii="Arial" w:hAnsi="Arial" w:cs="Arial"/>
          <w:sz w:val="20"/>
          <w:szCs w:val="20"/>
        </w:rPr>
        <w:t>, Peng Lei</w:t>
      </w:r>
      <w:r>
        <w:rPr>
          <w:rFonts w:hint="default" w:ascii="Arial" w:hAnsi="Arial" w:cs="Arial"/>
          <w:sz w:val="20"/>
          <w:szCs w:val="20"/>
          <w:vertAlign w:val="superscript"/>
        </w:rPr>
        <w:t xml:space="preserve"> a</w:t>
      </w:r>
      <w:r>
        <w:rPr>
          <w:rFonts w:hint="eastAsia" w:ascii="Arial" w:hAnsi="Arial" w:cs="Arial"/>
          <w:sz w:val="20"/>
          <w:szCs w:val="20"/>
          <w:vertAlign w:val="superscript"/>
          <w:lang w:val="en-US" w:eastAsia="zh-CN"/>
        </w:rPr>
        <w:t>,</w:t>
      </w:r>
      <w:r>
        <w:rPr>
          <w:rFonts w:hint="default" w:ascii="Arial" w:hAnsi="Arial" w:cs="Arial"/>
          <w:sz w:val="20"/>
          <w:szCs w:val="20"/>
        </w:rPr>
        <w:t xml:space="preserve"> Liang Sun</w:t>
      </w:r>
      <w:r>
        <w:rPr>
          <w:rFonts w:hint="default" w:ascii="Arial" w:hAnsi="Arial" w:cs="Arial"/>
          <w:sz w:val="20"/>
          <w:szCs w:val="20"/>
          <w:vertAlign w:val="superscript"/>
        </w:rPr>
        <w:t>a</w:t>
      </w:r>
      <w:r>
        <w:rPr>
          <w:rFonts w:hint="default" w:ascii="Arial" w:hAnsi="Arial" w:cs="Arial"/>
          <w:sz w:val="20"/>
          <w:szCs w:val="20"/>
        </w:rPr>
        <w:t>, Zongqi Xu</w:t>
      </w:r>
      <w:r>
        <w:rPr>
          <w:rFonts w:hint="eastAsia" w:ascii="Arial" w:hAnsi="Arial" w:cs="Arial"/>
          <w:sz w:val="20"/>
          <w:szCs w:val="20"/>
          <w:vertAlign w:val="superscript"/>
          <w:lang w:val="en-US" w:eastAsia="zh-CN"/>
        </w:rPr>
        <w:t>c</w:t>
      </w:r>
      <w:r>
        <w:rPr>
          <w:rFonts w:hint="default" w:ascii="Arial" w:hAnsi="Arial" w:cs="Arial"/>
          <w:sz w:val="20"/>
          <w:szCs w:val="20"/>
        </w:rPr>
        <w:t xml:space="preserve">, Xiaohai </w:t>
      </w:r>
      <w:r>
        <w:rPr>
          <w:rFonts w:hint="eastAsia" w:ascii="Arial" w:hAnsi="Arial" w:cs="Arial"/>
          <w:color w:val="auto"/>
          <w:sz w:val="20"/>
          <w:szCs w:val="20"/>
          <w:lang w:eastAsia="zh-CN"/>
        </w:rPr>
        <w:t>F</w:t>
      </w:r>
      <w:r>
        <w:rPr>
          <w:rFonts w:hint="default" w:ascii="Arial" w:hAnsi="Arial" w:cs="Arial"/>
          <w:sz w:val="20"/>
          <w:szCs w:val="20"/>
        </w:rPr>
        <w:t>eng</w:t>
      </w:r>
      <w:r>
        <w:rPr>
          <w:rFonts w:hint="eastAsia" w:ascii="Arial" w:hAnsi="Arial" w:cs="Arial"/>
          <w:sz w:val="20"/>
          <w:szCs w:val="20"/>
          <w:vertAlign w:val="superscript"/>
          <w:lang w:val="en-US" w:eastAsia="zh-CN"/>
        </w:rPr>
        <w:t>c</w:t>
      </w:r>
      <w:r>
        <w:rPr>
          <w:rFonts w:hint="default" w:ascii="Arial" w:hAnsi="Arial" w:cs="Arial"/>
          <w:sz w:val="20"/>
          <w:szCs w:val="20"/>
        </w:rPr>
        <w:t xml:space="preserve">, </w:t>
      </w:r>
      <w:r>
        <w:rPr>
          <w:rFonts w:hint="eastAsia" w:ascii="Arial" w:hAnsi="Arial" w:cs="Arial"/>
          <w:sz w:val="20"/>
          <w:szCs w:val="20"/>
          <w:lang w:val="en-US" w:eastAsia="zh-CN"/>
        </w:rPr>
        <w:t>Bao Tang</w:t>
      </w:r>
      <w:r>
        <w:rPr>
          <w:rFonts w:hint="eastAsia" w:ascii="Arial" w:hAnsi="Arial" w:cs="Arial"/>
          <w:sz w:val="20"/>
          <w:szCs w:val="20"/>
          <w:vertAlign w:val="superscript"/>
          <w:lang w:val="en-US" w:eastAsia="zh-CN"/>
        </w:rPr>
        <w:t>d</w:t>
      </w:r>
      <w:r>
        <w:rPr>
          <w:rFonts w:hint="eastAsia" w:ascii="Arial" w:hAnsi="Arial" w:cs="Arial"/>
          <w:sz w:val="20"/>
          <w:szCs w:val="20"/>
          <w:lang w:val="en-US" w:eastAsia="zh-CN"/>
        </w:rPr>
        <w:t xml:space="preserve">, </w:t>
      </w:r>
      <w:r>
        <w:rPr>
          <w:rFonts w:hint="default" w:ascii="Arial" w:hAnsi="Arial" w:cs="Arial"/>
          <w:sz w:val="20"/>
          <w:szCs w:val="20"/>
        </w:rPr>
        <w:t>Rui Wang</w:t>
      </w:r>
      <w:r>
        <w:rPr>
          <w:rFonts w:hint="default" w:ascii="Arial" w:hAnsi="Arial" w:cs="Arial"/>
          <w:sz w:val="20"/>
          <w:szCs w:val="20"/>
          <w:vertAlign w:val="superscript"/>
        </w:rPr>
        <w:t>a*</w:t>
      </w:r>
      <w:r>
        <w:rPr>
          <w:rFonts w:hint="default" w:ascii="Arial" w:hAnsi="Arial" w:cs="Arial"/>
          <w:sz w:val="20"/>
          <w:szCs w:val="20"/>
        </w:rPr>
        <w:t>, Hong Xu</w:t>
      </w:r>
      <w:r>
        <w:rPr>
          <w:rFonts w:hint="default" w:ascii="Arial" w:hAnsi="Arial" w:cs="Arial"/>
          <w:sz w:val="20"/>
          <w:szCs w:val="20"/>
          <w:vertAlign w:val="superscript"/>
        </w:rPr>
        <w:t>a*</w:t>
      </w:r>
    </w:p>
    <w:p w14:paraId="1F93AE12">
      <w:pPr>
        <w:adjustRightInd w:val="0"/>
        <w:snapToGrid w:val="0"/>
        <w:jc w:val="both"/>
        <w:rPr>
          <w:rFonts w:ascii="Times New Roman" w:hAnsi="Times New Roman" w:cs="Times New Roman"/>
          <w:b/>
          <w:bCs/>
          <w:sz w:val="30"/>
          <w:szCs w:val="30"/>
        </w:rPr>
      </w:pPr>
    </w:p>
    <w:p w14:paraId="0BC2CA56">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Arial" w:hAnsi="Arial" w:cs="Arial"/>
          <w:b w:val="0"/>
          <w:bCs w:val="0"/>
          <w:sz w:val="20"/>
          <w:szCs w:val="20"/>
        </w:rPr>
      </w:pPr>
      <w:r>
        <w:rPr>
          <w:rFonts w:hint="default" w:ascii="Arial" w:hAnsi="Arial" w:cs="Arial"/>
          <w:b w:val="0"/>
          <w:bCs w:val="0"/>
          <w:sz w:val="20"/>
          <w:szCs w:val="20"/>
        </w:rPr>
        <w:t>Author information</w:t>
      </w:r>
    </w:p>
    <w:p w14:paraId="5BE82BA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Arial" w:hAnsi="Arial" w:eastAsia="宋体" w:cs="Arial"/>
          <w:i w:val="0"/>
          <w:iCs/>
          <w:color w:val="FF0000"/>
          <w:sz w:val="20"/>
          <w:szCs w:val="20"/>
          <w:vertAlign w:val="superscript"/>
        </w:rPr>
      </w:pPr>
      <w:r>
        <w:rPr>
          <w:rFonts w:hint="default" w:ascii="Arial" w:hAnsi="Arial" w:eastAsia="宋体" w:cs="Arial"/>
          <w:i w:val="0"/>
          <w:iCs/>
          <w:color w:val="auto"/>
          <w:sz w:val="20"/>
          <w:szCs w:val="20"/>
          <w:vertAlign w:val="superscript"/>
        </w:rPr>
        <w:t>a</w:t>
      </w:r>
      <w:r>
        <w:rPr>
          <w:rFonts w:hint="default" w:ascii="Arial" w:hAnsi="Arial" w:eastAsia="宋体" w:cs="Arial"/>
          <w:i w:val="0"/>
          <w:iCs/>
          <w:color w:val="auto"/>
          <w:sz w:val="20"/>
          <w:szCs w:val="20"/>
        </w:rPr>
        <w:t xml:space="preserve"> State Key Laboratory of Materials-oriented Chemical Engineering,</w:t>
      </w:r>
      <w:r>
        <w:rPr>
          <w:rFonts w:hint="eastAsia" w:ascii="Arial" w:hAnsi="Arial" w:eastAsia="宋体" w:cs="Arial"/>
          <w:i w:val="0"/>
          <w:iCs/>
          <w:color w:val="auto"/>
          <w:sz w:val="20"/>
          <w:szCs w:val="20"/>
          <w:lang w:val="en-US" w:eastAsia="zh-CN"/>
        </w:rPr>
        <w:t xml:space="preserve"> </w:t>
      </w:r>
      <w:r>
        <w:rPr>
          <w:rFonts w:hint="default" w:ascii="Arial" w:hAnsi="Arial" w:eastAsia="宋体" w:cs="Arial"/>
          <w:i w:val="0"/>
          <w:iCs/>
          <w:color w:val="auto"/>
          <w:sz w:val="20"/>
          <w:szCs w:val="20"/>
        </w:rPr>
        <w:t>College of Food Science and Light Industry, Nanjing Tech University, Nanjing 211816, China</w:t>
      </w:r>
      <w:r>
        <w:rPr>
          <w:rFonts w:hint="default" w:ascii="Arial" w:hAnsi="Arial" w:eastAsia="宋体" w:cs="Arial"/>
          <w:i w:val="0"/>
          <w:iCs/>
          <w:color w:val="FF0000"/>
          <w:sz w:val="20"/>
          <w:szCs w:val="20"/>
          <w:vertAlign w:val="superscript"/>
        </w:rPr>
        <w:t xml:space="preserve"> </w:t>
      </w:r>
    </w:p>
    <w:p w14:paraId="1489F12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Arial" w:hAnsi="Arial" w:cs="Arial"/>
          <w:i w:val="0"/>
          <w:iCs/>
          <w:sz w:val="20"/>
          <w:szCs w:val="20"/>
        </w:rPr>
      </w:pPr>
      <w:r>
        <w:rPr>
          <w:rFonts w:hint="eastAsia" w:ascii="Arial" w:hAnsi="Arial" w:eastAsia="宋体" w:cs="Arial"/>
          <w:i w:val="0"/>
          <w:iCs/>
          <w:sz w:val="20"/>
          <w:szCs w:val="20"/>
          <w:vertAlign w:val="superscript"/>
          <w:lang w:val="en-US" w:eastAsia="zh-CN"/>
        </w:rPr>
        <w:t xml:space="preserve">b </w:t>
      </w:r>
      <w:r>
        <w:rPr>
          <w:rFonts w:hint="default" w:ascii="Arial" w:hAnsi="Arial" w:cs="Arial"/>
          <w:i w:val="0"/>
          <w:iCs/>
          <w:sz w:val="20"/>
          <w:szCs w:val="20"/>
        </w:rPr>
        <w:t>Tillage and Cultivation Research Institute, Liaoning Academy of Agricultural Sciences, Shenyang 110161, China</w:t>
      </w:r>
    </w:p>
    <w:p w14:paraId="0AF52B2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Arial" w:hAnsi="Arial" w:cs="Arial"/>
          <w:i w:val="0"/>
          <w:iCs/>
          <w:sz w:val="20"/>
          <w:szCs w:val="20"/>
          <w:lang w:val="en-US" w:eastAsia="zh-CN"/>
        </w:rPr>
      </w:pPr>
      <w:r>
        <w:rPr>
          <w:rFonts w:hint="eastAsia" w:ascii="Arial" w:hAnsi="Arial" w:cs="Arial"/>
          <w:i w:val="0"/>
          <w:iCs/>
          <w:sz w:val="20"/>
          <w:szCs w:val="20"/>
          <w:vertAlign w:val="superscript"/>
          <w:lang w:val="en-US" w:eastAsia="zh-CN"/>
        </w:rPr>
        <w:t>c</w:t>
      </w:r>
      <w:r>
        <w:rPr>
          <w:rFonts w:hint="default" w:ascii="Arial" w:hAnsi="Arial" w:cs="Arial"/>
          <w:i w:val="0"/>
          <w:iCs/>
          <w:sz w:val="20"/>
          <w:szCs w:val="20"/>
        </w:rPr>
        <w:t xml:space="preserve"> Nanjing Shineking Biotech Co., Ltd.</w:t>
      </w:r>
      <w:r>
        <w:rPr>
          <w:rFonts w:hint="default" w:ascii="Arial" w:hAnsi="Arial" w:cs="Arial"/>
          <w:i w:val="0"/>
          <w:iCs/>
          <w:sz w:val="20"/>
          <w:szCs w:val="20"/>
          <w:lang w:eastAsia="zh-CN"/>
        </w:rPr>
        <w:t>，Nanjing</w:t>
      </w:r>
      <w:r>
        <w:rPr>
          <w:rFonts w:hint="default" w:ascii="Arial" w:hAnsi="Arial" w:cs="Arial"/>
          <w:i w:val="0"/>
          <w:iCs/>
          <w:sz w:val="20"/>
          <w:szCs w:val="20"/>
          <w:lang w:val="en-US" w:eastAsia="zh-CN"/>
        </w:rPr>
        <w:t xml:space="preserve"> </w:t>
      </w:r>
      <w:r>
        <w:rPr>
          <w:rFonts w:hint="default" w:ascii="Arial" w:hAnsi="Arial" w:cs="Arial"/>
          <w:i w:val="0"/>
          <w:iCs/>
          <w:sz w:val="20"/>
          <w:szCs w:val="20"/>
          <w:lang w:eastAsia="zh-CN"/>
        </w:rPr>
        <w:t>210000，</w:t>
      </w:r>
      <w:r>
        <w:rPr>
          <w:rFonts w:hint="default" w:ascii="Arial" w:hAnsi="Arial" w:cs="Arial"/>
          <w:i w:val="0"/>
          <w:iCs/>
          <w:sz w:val="20"/>
          <w:szCs w:val="20"/>
          <w:lang w:val="en-US" w:eastAsia="zh-CN"/>
        </w:rPr>
        <w:t>China</w:t>
      </w:r>
    </w:p>
    <w:p w14:paraId="59053B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Arial" w:hAnsi="Arial" w:cs="Arial"/>
          <w:i w:val="0"/>
          <w:iCs/>
          <w:sz w:val="20"/>
          <w:szCs w:val="20"/>
          <w:vertAlign w:val="superscript"/>
          <w:lang w:val="en-US" w:eastAsia="zh-CN"/>
        </w:rPr>
      </w:pPr>
      <w:r>
        <w:rPr>
          <w:rFonts w:hint="eastAsia" w:ascii="Arial" w:hAnsi="Arial" w:cs="Arial"/>
          <w:i w:val="0"/>
          <w:iCs/>
          <w:sz w:val="20"/>
          <w:szCs w:val="20"/>
          <w:vertAlign w:val="superscript"/>
          <w:lang w:val="en-US" w:eastAsia="zh-CN"/>
        </w:rPr>
        <w:t xml:space="preserve">d </w:t>
      </w:r>
      <w:r>
        <w:rPr>
          <w:rFonts w:hint="eastAsia" w:ascii="Arial" w:hAnsi="Arial" w:cs="Arial"/>
          <w:i w:val="0"/>
          <w:iCs/>
          <w:sz w:val="20"/>
          <w:szCs w:val="20"/>
          <w:vertAlign w:val="baseline"/>
          <w:lang w:val="en-US" w:eastAsia="zh-CN"/>
        </w:rPr>
        <w:t>Institute of Plant Protection, Jiangsu Academy of Agricultural Sciences, Nanjing 210014, China</w:t>
      </w:r>
    </w:p>
    <w:p w14:paraId="4B408566">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Arial" w:hAnsi="Arial" w:cs="Arial"/>
          <w:i w:val="0"/>
          <w:iCs/>
          <w:sz w:val="20"/>
          <w:szCs w:val="20"/>
          <w:lang w:val="en-US" w:eastAsia="zh-CN"/>
        </w:rPr>
      </w:pPr>
      <w:r>
        <w:rPr>
          <w:rFonts w:hint="default" w:ascii="Arial" w:hAnsi="Arial" w:cs="Arial"/>
          <w:i w:val="0"/>
          <w:iCs/>
          <w:sz w:val="20"/>
          <w:szCs w:val="20"/>
          <w:vertAlign w:val="superscript"/>
          <w:lang w:val="en-US" w:eastAsia="zh-CN"/>
        </w:rPr>
        <w:t>#</w:t>
      </w:r>
      <w:r>
        <w:rPr>
          <w:rFonts w:hint="default" w:ascii="Arial" w:hAnsi="Arial" w:cs="Arial"/>
          <w:i w:val="0"/>
          <w:iCs/>
          <w:sz w:val="20"/>
          <w:szCs w:val="20"/>
          <w:lang w:val="en-US" w:eastAsia="zh-CN"/>
        </w:rPr>
        <w:t>These authors contributed to the work equ</w:t>
      </w:r>
      <w:r>
        <w:rPr>
          <w:rFonts w:hint="eastAsia" w:ascii="Arial" w:hAnsi="Arial" w:cs="Arial"/>
          <w:i w:val="0"/>
          <w:iCs/>
          <w:sz w:val="20"/>
          <w:szCs w:val="20"/>
          <w:lang w:val="en-US" w:eastAsia="zh-CN"/>
        </w:rPr>
        <w:t>a</w:t>
      </w:r>
      <w:r>
        <w:rPr>
          <w:rFonts w:hint="default" w:ascii="Arial" w:hAnsi="Arial" w:cs="Arial"/>
          <w:i w:val="0"/>
          <w:iCs/>
          <w:sz w:val="20"/>
          <w:szCs w:val="20"/>
          <w:lang w:val="en-US" w:eastAsia="zh-CN"/>
        </w:rPr>
        <w:t>lly and should be regarded as co-first authors</w:t>
      </w:r>
    </w:p>
    <w:p w14:paraId="1D4C5E1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Arial" w:hAnsi="Arial" w:cs="Arial"/>
          <w:i w:val="0"/>
          <w:iCs/>
          <w:sz w:val="20"/>
          <w:szCs w:val="20"/>
          <w:lang w:val="en-US" w:eastAsia="zh-CN"/>
        </w:rPr>
      </w:pPr>
    </w:p>
    <w:p w14:paraId="1AD8A722">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rPr>
          <w:rFonts w:hint="default" w:ascii="Arial" w:hAnsi="Arial" w:eastAsia="宋体" w:cs="Arial"/>
          <w:b/>
          <w:kern w:val="0"/>
          <w:sz w:val="22"/>
          <w:szCs w:val="22"/>
          <w:lang w:val="en-GB" w:eastAsia="zh-CN"/>
        </w:rPr>
      </w:pPr>
      <w:r>
        <w:rPr>
          <w:rFonts w:hint="default" w:ascii="Arial" w:hAnsi="Arial" w:eastAsia="MS Mincho" w:cs="Arial"/>
          <w:b/>
          <w:kern w:val="0"/>
          <w:sz w:val="22"/>
          <w:szCs w:val="22"/>
          <w:lang w:val="en-GB" w:eastAsia="ja-JP"/>
        </w:rPr>
        <w:t>Experimental</w:t>
      </w:r>
      <w:r>
        <w:rPr>
          <w:rFonts w:hint="default" w:ascii="Arial" w:hAnsi="Arial" w:eastAsia="宋体" w:cs="Arial"/>
          <w:b/>
          <w:kern w:val="0"/>
          <w:sz w:val="22"/>
          <w:szCs w:val="22"/>
          <w:lang w:val="en-GB" w:eastAsia="zh-CN"/>
        </w:rPr>
        <w:t xml:space="preserve"> Section</w:t>
      </w:r>
    </w:p>
    <w:p w14:paraId="0E731D1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Arial" w:hAnsi="Arial" w:cs="Arial"/>
          <w:sz w:val="24"/>
          <w:szCs w:val="24"/>
          <w:lang w:val="en-US" w:eastAsia="zh-CN"/>
        </w:rPr>
      </w:pPr>
      <w:r>
        <w:rPr>
          <w:rFonts w:hint="default" w:ascii="Arial" w:hAnsi="Arial" w:cs="Arial" w:eastAsiaTheme="minorEastAsia"/>
          <w:b/>
          <w:bCs/>
          <w:i/>
          <w:iCs/>
          <w:sz w:val="22"/>
          <w:szCs w:val="22"/>
          <w:lang w:eastAsia="zh-CN"/>
        </w:rPr>
        <w:t>One-factor-at-a-time (OFAT)</w:t>
      </w:r>
      <w:r>
        <w:rPr>
          <w:rFonts w:hint="default" w:ascii="Arial" w:hAnsi="Arial" w:cs="Arial"/>
          <w:b/>
          <w:bCs/>
          <w:i/>
          <w:iCs/>
          <w:sz w:val="22"/>
          <w:szCs w:val="22"/>
          <w:lang w:val="en-US" w:eastAsia="zh-CN"/>
        </w:rPr>
        <w:t xml:space="preserve"> experiments</w:t>
      </w:r>
      <w:r>
        <w:rPr>
          <w:rFonts w:hint="default" w:ascii="Arial" w:hAnsi="Arial" w:cs="Arial"/>
          <w:sz w:val="24"/>
          <w:szCs w:val="24"/>
          <w:lang w:val="en-US" w:eastAsia="zh-CN"/>
        </w:rPr>
        <w:t xml:space="preserve"> </w:t>
      </w:r>
    </w:p>
    <w:p w14:paraId="3026088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Arial" w:hAnsi="Arial" w:cs="Arial"/>
          <w:sz w:val="20"/>
          <w:szCs w:val="20"/>
          <w:lang w:val="en-US" w:eastAsia="zh-CN"/>
        </w:rPr>
      </w:pPr>
      <w:r>
        <w:rPr>
          <w:rFonts w:hint="default" w:ascii="Arial" w:hAnsi="Arial" w:cs="Arial"/>
          <w:sz w:val="20"/>
          <w:szCs w:val="20"/>
          <w:lang w:val="en-US" w:eastAsia="zh-CN"/>
        </w:rPr>
        <w:t>In order to investigate the reliable range of preparation parameters for microcapsules and the influence of individual factors on the encapsulation efficiency and viable cells of microbial agents, OFAT experiments were carried out on concentration of CaCO</w:t>
      </w:r>
      <w:r>
        <w:rPr>
          <w:rFonts w:hint="default" w:ascii="Arial" w:hAnsi="Arial" w:cs="Arial"/>
          <w:sz w:val="20"/>
          <w:szCs w:val="20"/>
          <w:vertAlign w:val="subscript"/>
          <w:lang w:val="en-US" w:eastAsia="zh-CN"/>
        </w:rPr>
        <w:t>3</w:t>
      </w:r>
      <w:r>
        <w:rPr>
          <w:rFonts w:hint="default" w:ascii="Arial" w:hAnsi="Arial" w:cs="Arial"/>
          <w:sz w:val="20"/>
          <w:szCs w:val="20"/>
          <w:lang w:val="en-US" w:eastAsia="zh-CN"/>
        </w:rPr>
        <w:t>, ratio of SA/γ-PGA, concentration of chitosan, ratio of polymers/bacterium, oil-to-water phase ration, concentration of actetic acid, emulsification time, stirring time and concentration of Span 80. The optimization range for each factor was CaCO</w:t>
      </w:r>
      <w:r>
        <w:rPr>
          <w:rFonts w:hint="default" w:ascii="Arial" w:hAnsi="Arial" w:cs="Arial"/>
          <w:sz w:val="20"/>
          <w:szCs w:val="20"/>
          <w:vertAlign w:val="subscript"/>
          <w:lang w:val="en-US" w:eastAsia="zh-CN"/>
        </w:rPr>
        <w:t>3</w:t>
      </w:r>
      <w:r>
        <w:rPr>
          <w:rFonts w:hint="default" w:ascii="Arial" w:hAnsi="Arial" w:cs="Arial"/>
          <w:sz w:val="20"/>
          <w:szCs w:val="20"/>
          <w:lang w:val="en-US" w:eastAsia="zh-CN"/>
        </w:rPr>
        <w:t xml:space="preserve"> concentration of 0.5-2.5wt%, SA/γ-PGA ratio of 1:1-8:1 w/w, chitosan concentration of 0.1-0.5wt%, polymers/bacterium ratio of 1:1-8:1 v/v, oil-water ratio of 1:1-5:1 v/v, actetic acid concentration of 500-2500 </w:t>
      </w:r>
      <w:r>
        <w:rPr>
          <w:rFonts w:hint="default" w:ascii="Arial" w:hAnsi="Arial" w:eastAsia="宋体" w:cs="Arial"/>
          <w:sz w:val="20"/>
          <w:szCs w:val="20"/>
          <w:lang w:val="en-US" w:eastAsia="zh-CN"/>
        </w:rPr>
        <w:t>µ</w:t>
      </w:r>
      <w:r>
        <w:rPr>
          <w:rFonts w:hint="default" w:ascii="Arial" w:hAnsi="Arial" w:cs="Arial"/>
          <w:sz w:val="20"/>
          <w:szCs w:val="20"/>
          <w:lang w:val="en-US" w:eastAsia="zh-CN"/>
        </w:rPr>
        <w:t>L/L, emulsification time of 5-25 min, stirring speed of 250-1250 rpm, and Span 80 concentration of 1-5wt%. Other factors remain unchanged when a single factor is changed during the experiment (concentration of CaCO</w:t>
      </w:r>
      <w:r>
        <w:rPr>
          <w:rFonts w:hint="default" w:ascii="Arial" w:hAnsi="Arial" w:cs="Arial"/>
          <w:sz w:val="20"/>
          <w:szCs w:val="20"/>
          <w:vertAlign w:val="subscript"/>
          <w:lang w:val="en-US" w:eastAsia="zh-CN"/>
        </w:rPr>
        <w:t>3</w:t>
      </w:r>
      <w:r>
        <w:rPr>
          <w:rFonts w:hint="default" w:ascii="Arial" w:hAnsi="Arial" w:cs="Arial"/>
          <w:sz w:val="20"/>
          <w:szCs w:val="20"/>
          <w:lang w:val="en-US" w:eastAsia="zh-CN"/>
        </w:rPr>
        <w:t xml:space="preserve">, 2.0 wt%; ratio of SA/γ-PGA, 4:1; concentration of chitosan, 0.3 wt%; ratio of polymers/bacterium, 4:1; oil-to-water phase ration, 3:1; concentration of actetic acid, 1500 µL/L; emulsification time, 15 min; stirring speed, 750 rpm; concentration of Span 80, 3.0%). In addition, the effect of chitosan on viability and membrane function of bacteria entrapped in microcapsules were evaluated using a live/dead backlight bacterial viability kit. </w:t>
      </w:r>
    </w:p>
    <w:p w14:paraId="1983800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Arial" w:hAnsi="Arial" w:cs="Arial"/>
          <w:sz w:val="20"/>
          <w:szCs w:val="20"/>
          <w:lang w:val="en-US" w:eastAsia="zh-CN"/>
        </w:rPr>
      </w:pPr>
    </w:p>
    <w:p w14:paraId="01C17B6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Arial" w:hAnsi="Arial" w:cs="Arial"/>
          <w:b/>
          <w:bCs/>
          <w:i/>
          <w:iCs/>
          <w:sz w:val="22"/>
          <w:szCs w:val="22"/>
          <w:lang w:val="en-US" w:eastAsia="zh-CN"/>
        </w:rPr>
      </w:pPr>
      <w:r>
        <w:rPr>
          <w:rFonts w:hint="default" w:ascii="Arial" w:hAnsi="Arial" w:cs="Arial"/>
          <w:b/>
          <w:bCs/>
          <w:i/>
          <w:iCs/>
          <w:sz w:val="22"/>
          <w:szCs w:val="22"/>
          <w:lang w:val="en-US" w:eastAsia="zh-CN"/>
        </w:rPr>
        <w:t>Taguchi orthogonal array design</w:t>
      </w:r>
    </w:p>
    <w:p w14:paraId="31BF036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Arial" w:hAnsi="Arial" w:cs="Arial"/>
          <w:sz w:val="20"/>
          <w:szCs w:val="20"/>
          <w:lang w:val="en-US" w:eastAsia="zh-CN"/>
        </w:rPr>
      </w:pPr>
      <w:r>
        <w:rPr>
          <w:rFonts w:hint="default" w:ascii="Arial" w:hAnsi="Arial" w:cs="Arial"/>
          <w:sz w:val="20"/>
          <w:szCs w:val="20"/>
          <w:lang w:val="en-US" w:eastAsia="zh-CN"/>
        </w:rPr>
        <w:t>To determine the optimum condition for preparation of microcapsules, a L</w:t>
      </w:r>
      <w:r>
        <w:rPr>
          <w:rFonts w:hint="default" w:ascii="Arial" w:hAnsi="Arial" w:cs="Arial"/>
          <w:sz w:val="20"/>
          <w:szCs w:val="20"/>
          <w:vertAlign w:val="subscript"/>
          <w:lang w:val="en-US" w:eastAsia="zh-CN"/>
        </w:rPr>
        <w:t>16</w:t>
      </w:r>
      <w:r>
        <w:rPr>
          <w:rFonts w:hint="default" w:ascii="Arial" w:hAnsi="Arial" w:cs="Arial"/>
          <w:sz w:val="20"/>
          <w:szCs w:val="20"/>
          <w:lang w:val="en-US" w:eastAsia="zh-CN"/>
        </w:rPr>
        <w:t xml:space="preserve"> (4</w:t>
      </w:r>
      <w:r>
        <w:rPr>
          <w:rFonts w:hint="default" w:ascii="Arial" w:hAnsi="Arial" w:cs="Arial"/>
          <w:sz w:val="20"/>
          <w:szCs w:val="20"/>
          <w:vertAlign w:val="superscript"/>
          <w:lang w:val="en-US" w:eastAsia="zh-CN"/>
        </w:rPr>
        <w:t>5</w:t>
      </w:r>
      <w:r>
        <w:rPr>
          <w:rFonts w:hint="default" w:ascii="Arial" w:hAnsi="Arial" w:cs="Arial"/>
          <w:sz w:val="20"/>
          <w:szCs w:val="20"/>
          <w:lang w:val="en-US" w:eastAsia="zh-CN"/>
        </w:rPr>
        <w:t>) orthogonal array was employed based on OFAT experiments. Four main factors (concentration of CaCO</w:t>
      </w:r>
      <w:r>
        <w:rPr>
          <w:rFonts w:hint="default" w:ascii="Arial" w:hAnsi="Arial" w:cs="Arial"/>
          <w:sz w:val="20"/>
          <w:szCs w:val="20"/>
          <w:vertAlign w:val="subscript"/>
          <w:lang w:val="en-US" w:eastAsia="zh-CN"/>
        </w:rPr>
        <w:t>3</w:t>
      </w:r>
      <w:r>
        <w:rPr>
          <w:rFonts w:hint="default" w:ascii="Arial" w:hAnsi="Arial" w:cs="Arial"/>
          <w:sz w:val="20"/>
          <w:szCs w:val="20"/>
          <w:lang w:val="en-US" w:eastAsia="zh-CN"/>
        </w:rPr>
        <w:t>, ratio of SA/γ-PGA, concentration of chitosan, ratio of polymers/bacterium) with four different levels were then thoroughly evaluated by means of orthogonal array design to determine the best level of each factor. The encapsulation efficiency and viable cells of microcapsules was selected as the response. The factors and levels were shown in Table 1, and the extra blank column was used as experimental error to manifest the reliability of the total experiments. The statistical analysis contained a range analysis and an analysis of variance (ANOVA). Range analysis was used to identify the optimal level of each factor, and ANOVA was performed to evaluate the significance of each factor. A p-value &lt; 0.05 was considered as statistically significant.</w:t>
      </w:r>
    </w:p>
    <w:p w14:paraId="3265138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Arial" w:hAnsi="Arial" w:cs="Arial"/>
          <w:b/>
          <w:bCs/>
          <w:i/>
          <w:iCs/>
          <w:sz w:val="22"/>
          <w:szCs w:val="22"/>
          <w:lang w:val="en-US" w:eastAsia="zh-CN"/>
        </w:rPr>
      </w:pPr>
      <w:r>
        <w:rPr>
          <w:rFonts w:hint="default" w:ascii="Arial" w:hAnsi="Arial" w:cs="Arial"/>
          <w:b/>
          <w:bCs/>
          <w:i/>
          <w:iCs/>
          <w:sz w:val="22"/>
          <w:szCs w:val="22"/>
          <w:lang w:val="en-US" w:eastAsia="zh-CN"/>
        </w:rPr>
        <w:t>ROS assay</w:t>
      </w:r>
    </w:p>
    <w:p w14:paraId="2FD8CC8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Arial" w:hAnsi="Arial" w:cs="Arial"/>
          <w:sz w:val="20"/>
          <w:szCs w:val="20"/>
          <w:lang w:val="en-US" w:eastAsia="zh-CN"/>
        </w:rPr>
        <w:sectPr>
          <w:footerReference r:id="rId3" w:type="default"/>
          <w:pgSz w:w="11906" w:h="16838"/>
          <w:pgMar w:top="1440" w:right="1800" w:bottom="1440" w:left="1800" w:header="851" w:footer="992" w:gutter="0"/>
          <w:lnNumType w:countBy="1" w:restart="continuous"/>
          <w:pgNumType w:fmt="decimal"/>
          <w:cols w:space="425" w:num="1"/>
          <w:docGrid w:type="lines" w:linePitch="312" w:charSpace="0"/>
        </w:sectPr>
      </w:pPr>
      <w:r>
        <w:rPr>
          <w:rFonts w:hint="default" w:ascii="Arial" w:hAnsi="Arial" w:cs="Arial"/>
          <w:sz w:val="20"/>
          <w:szCs w:val="20"/>
          <w:lang w:val="en-US" w:eastAsia="zh-CN"/>
        </w:rPr>
        <w:t xml:space="preserve">Evaluation of ROS generation during storage was conducted at every four weeksaccording to the methods of Aranda et al. 1 g microcapsules were added into 9 mL PBS solution after washing with deionized water repeatedly. For CK treatment, 1 mL cell suspension was centrifuged to collect the bacteria, and the cell pellet was resuspended in a 9 mL PBS solution. Samples were were incubated with the carboxy-2’,7’-dichloro-dihydro-fluorescein diacetate (DCFHDA, final concentration of 10 μmol/L) at 37 ℃ for 30 min. Then, the samples were observed for each time period at an excitation wavelength of 485 nm and an emission wavelength of 527 nm using confocal fluorescence microscopy (LSM 710, Zeiss, Germany). </w:t>
      </w:r>
    </w:p>
    <w:p w14:paraId="2AC77029">
      <w:pPr>
        <w:rPr>
          <w:rFonts w:hint="eastAsia" w:eastAsiaTheme="minorEastAsia"/>
          <w:lang w:eastAsia="zh-CN"/>
        </w:rPr>
      </w:pPr>
    </w:p>
    <w:p w14:paraId="3A693E3D">
      <w:pPr>
        <w:rPr>
          <w:rFonts w:hint="eastAsia" w:eastAsiaTheme="minorEastAsia"/>
          <w:lang w:eastAsia="zh-CN"/>
        </w:rPr>
      </w:pPr>
      <w:r>
        <w:rPr>
          <w:rFonts w:hint="eastAsia" w:eastAsiaTheme="minorEastAsia"/>
          <w:lang w:eastAsia="zh-CN"/>
        </w:rPr>
        <w:drawing>
          <wp:inline distT="0" distB="0" distL="114300" distR="114300">
            <wp:extent cx="5979795" cy="4364990"/>
            <wp:effectExtent l="0" t="0" r="1905" b="16510"/>
            <wp:docPr id="1" name="图片 1" descr="单因素优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单因素优化"/>
                    <pic:cNvPicPr>
                      <a:picLocks noChangeAspect="1"/>
                    </pic:cNvPicPr>
                  </pic:nvPicPr>
                  <pic:blipFill>
                    <a:blip r:embed="rId5"/>
                    <a:stretch>
                      <a:fillRect/>
                    </a:stretch>
                  </pic:blipFill>
                  <pic:spPr>
                    <a:xfrm>
                      <a:off x="0" y="0"/>
                      <a:ext cx="5979795" cy="4364990"/>
                    </a:xfrm>
                    <a:prstGeom prst="rect">
                      <a:avLst/>
                    </a:prstGeom>
                  </pic:spPr>
                </pic:pic>
              </a:graphicData>
            </a:graphic>
          </wp:inline>
        </w:drawing>
      </w:r>
    </w:p>
    <w:p w14:paraId="6B9455B7">
      <w:pPr>
        <w:rPr>
          <w:rFonts w:hint="default" w:ascii="Arial" w:hAnsi="Arial" w:cs="Arial"/>
          <w:b w:val="0"/>
          <w:bCs w:val="0"/>
          <w:sz w:val="18"/>
          <w:szCs w:val="18"/>
          <w:lang w:val="en-US" w:eastAsia="zh-CN"/>
        </w:rPr>
      </w:pPr>
      <w:r>
        <w:rPr>
          <w:rFonts w:hint="default" w:ascii="Arial" w:hAnsi="Arial" w:cs="Arial"/>
          <w:b w:val="0"/>
          <w:bCs w:val="0"/>
          <w:sz w:val="18"/>
          <w:szCs w:val="18"/>
          <w:lang w:val="en-US" w:eastAsia="zh-CN"/>
        </w:rPr>
        <w:t>Figure. S1</w:t>
      </w:r>
      <w:r>
        <w:rPr>
          <w:rFonts w:hint="eastAsia" w:ascii="Arial" w:hAnsi="Arial" w:cs="Arial"/>
          <w:b w:val="0"/>
          <w:bCs w:val="0"/>
          <w:sz w:val="18"/>
          <w:szCs w:val="18"/>
          <w:lang w:val="en-US" w:eastAsia="zh-CN"/>
        </w:rPr>
        <w:t>.</w:t>
      </w:r>
      <w:r>
        <w:rPr>
          <w:rFonts w:hint="default" w:ascii="Arial" w:hAnsi="Arial" w:cs="Arial"/>
          <w:b w:val="0"/>
          <w:bCs w:val="0"/>
          <w:sz w:val="18"/>
          <w:szCs w:val="18"/>
          <w:lang w:val="en-US" w:eastAsia="zh-CN"/>
        </w:rPr>
        <w:t xml:space="preserve"> One-factor-at-a-time optimization of preparation of microcapsules. (a) Ratio of SA/γ-PGA. (b) concentration of CaCO</w:t>
      </w:r>
      <w:r>
        <w:rPr>
          <w:rFonts w:hint="default" w:ascii="Arial" w:hAnsi="Arial" w:cs="Arial"/>
          <w:b w:val="0"/>
          <w:bCs w:val="0"/>
          <w:sz w:val="18"/>
          <w:szCs w:val="18"/>
          <w:vertAlign w:val="subscript"/>
          <w:lang w:val="en-US" w:eastAsia="zh-CN"/>
        </w:rPr>
        <w:t>3.</w:t>
      </w:r>
      <w:r>
        <w:rPr>
          <w:rFonts w:hint="default" w:ascii="Arial" w:hAnsi="Arial" w:cs="Arial"/>
          <w:b w:val="0"/>
          <w:bCs w:val="0"/>
          <w:sz w:val="18"/>
          <w:szCs w:val="18"/>
          <w:vertAlign w:val="baseline"/>
          <w:lang w:val="en-US" w:eastAsia="zh-CN"/>
        </w:rPr>
        <w:t xml:space="preserve"> (c) </w:t>
      </w:r>
      <w:r>
        <w:rPr>
          <w:rFonts w:hint="default" w:ascii="Arial" w:hAnsi="Arial" w:cs="Arial"/>
          <w:b w:val="0"/>
          <w:bCs w:val="0"/>
          <w:sz w:val="18"/>
          <w:szCs w:val="18"/>
          <w:lang w:val="en-US" w:eastAsia="zh-CN"/>
        </w:rPr>
        <w:t>Ratio of polymers/bacterium. (d) Concentration of chitosan. (e) Oil-to-water phase ration. (f) Concentration of actetic acid. (g) Emulsification time. (h) Stirring speed. (i) Concentration of Span 80.</w:t>
      </w:r>
    </w:p>
    <w:p w14:paraId="2E247D24">
      <w:pPr>
        <w:rPr>
          <w:rFonts w:hint="eastAsia" w:ascii="Times New Roman" w:hAnsi="Times New Roman" w:cs="Times New Roman"/>
          <w:lang w:val="en-US" w:eastAsia="zh-CN"/>
        </w:rPr>
      </w:pPr>
    </w:p>
    <w:p w14:paraId="7C243D1A">
      <w:pPr>
        <w:rPr>
          <w:rFonts w:hint="eastAsia" w:ascii="Times New Roman" w:hAnsi="Times New Roman" w:cs="Times New Roman"/>
          <w:lang w:val="en-US" w:eastAsia="zh-CN"/>
        </w:rPr>
      </w:pPr>
    </w:p>
    <w:p w14:paraId="5FC36C94">
      <w:pPr>
        <w:rPr>
          <w:rFonts w:hint="eastAsia" w:ascii="Times New Roman" w:hAnsi="Times New Roman" w:cs="Times New Roman"/>
          <w:lang w:val="en-US" w:eastAsia="zh-CN"/>
        </w:rPr>
      </w:pPr>
    </w:p>
    <w:p w14:paraId="534B7311">
      <w:pPr>
        <w:rPr>
          <w:rFonts w:hint="eastAsia" w:ascii="Times New Roman" w:hAnsi="Times New Roman" w:cs="Times New Roman"/>
          <w:lang w:val="en-US" w:eastAsia="zh-CN"/>
        </w:rPr>
      </w:pPr>
    </w:p>
    <w:p w14:paraId="0A7082DE">
      <w:pPr>
        <w:rPr>
          <w:rFonts w:hint="eastAsia" w:ascii="Times New Roman" w:hAnsi="Times New Roman" w:cs="Times New Roman"/>
          <w:lang w:val="en-US" w:eastAsia="zh-CN"/>
        </w:rPr>
      </w:pPr>
    </w:p>
    <w:p w14:paraId="0146AA3C">
      <w:pPr>
        <w:rPr>
          <w:rFonts w:hint="eastAsia" w:ascii="Times New Roman" w:hAnsi="Times New Roman" w:cs="Times New Roman"/>
          <w:lang w:val="en-US" w:eastAsia="zh-CN"/>
        </w:rPr>
      </w:pPr>
    </w:p>
    <w:p w14:paraId="7FEBED20">
      <w:pP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671185" cy="2446655"/>
            <wp:effectExtent l="0" t="0" r="5715" b="10795"/>
            <wp:docPr id="2" name="图片 2" descr="新建 PPTX 演示文稿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新建 PPTX 演示文稿_01"/>
                    <pic:cNvPicPr>
                      <a:picLocks noChangeAspect="1"/>
                    </pic:cNvPicPr>
                  </pic:nvPicPr>
                  <pic:blipFill>
                    <a:blip r:embed="rId6"/>
                    <a:srcRect l="8355" t="5336" r="6848" b="29640"/>
                    <a:stretch>
                      <a:fillRect/>
                    </a:stretch>
                  </pic:blipFill>
                  <pic:spPr>
                    <a:xfrm>
                      <a:off x="0" y="0"/>
                      <a:ext cx="5671185" cy="2446655"/>
                    </a:xfrm>
                    <a:prstGeom prst="rect">
                      <a:avLst/>
                    </a:prstGeom>
                  </pic:spPr>
                </pic:pic>
              </a:graphicData>
            </a:graphic>
          </wp:inline>
        </w:drawing>
      </w:r>
    </w:p>
    <w:p w14:paraId="04ED729E">
      <w:pPr>
        <w:rPr>
          <w:rFonts w:hint="default" w:ascii="Arial" w:hAnsi="Arial" w:cs="Arial"/>
          <w:b w:val="0"/>
          <w:bCs w:val="0"/>
          <w:sz w:val="18"/>
          <w:szCs w:val="18"/>
          <w:lang w:val="en-US" w:eastAsia="zh-CN"/>
        </w:rPr>
      </w:pPr>
      <w:r>
        <w:rPr>
          <w:rFonts w:hint="default" w:ascii="Arial" w:hAnsi="Arial" w:cs="Arial"/>
          <w:b w:val="0"/>
          <w:bCs w:val="0"/>
          <w:sz w:val="18"/>
          <w:szCs w:val="18"/>
          <w:lang w:val="en-US" w:eastAsia="zh-CN"/>
        </w:rPr>
        <w:t>Figure. S2</w:t>
      </w:r>
      <w:r>
        <w:rPr>
          <w:rFonts w:hint="eastAsia" w:ascii="Arial" w:hAnsi="Arial" w:cs="Arial"/>
          <w:b w:val="0"/>
          <w:bCs w:val="0"/>
          <w:sz w:val="18"/>
          <w:szCs w:val="18"/>
          <w:lang w:val="en-US" w:eastAsia="zh-CN"/>
        </w:rPr>
        <w:t>.</w:t>
      </w:r>
      <w:r>
        <w:rPr>
          <w:rFonts w:hint="default" w:ascii="Arial" w:hAnsi="Arial" w:cs="Arial"/>
          <w:b w:val="0"/>
          <w:bCs w:val="0"/>
          <w:sz w:val="18"/>
          <w:szCs w:val="18"/>
          <w:lang w:val="en-US" w:eastAsia="zh-CN"/>
        </w:rPr>
        <w:t xml:space="preserve"> Fluorescent micrographs of bacteria encapsulated in microcapsules to determine the effect of chitosan concentration on viability of bacteria: (a) 0.3% chitosan; (b) 0.5% chitosan; (c) 0.7% chitosan.</w:t>
      </w:r>
    </w:p>
    <w:p w14:paraId="3379ED18">
      <w:pPr>
        <w:rPr>
          <w:rFonts w:hint="eastAsia" w:ascii="Times New Roman" w:hAnsi="Times New Roman" w:cs="Times New Roman"/>
          <w:lang w:val="en-US" w:eastAsia="zh-CN"/>
        </w:rPr>
      </w:pPr>
    </w:p>
    <w:p w14:paraId="641A4DE4">
      <w:pPr>
        <w:rPr>
          <w:rFonts w:hint="default" w:ascii="Times New Roman" w:hAnsi="Times New Roman" w:cs="Times New Roman"/>
          <w:lang w:val="en-US" w:eastAsia="zh-CN"/>
        </w:rPr>
      </w:pPr>
      <w:r>
        <w:rPr>
          <w:rFonts w:hint="eastAsia" w:ascii="Times New Roman" w:hAnsi="Times New Roman" w:cs="Times New Roman"/>
          <w:lang w:val="en-US" w:eastAsia="zh-CN"/>
        </w:rPr>
        <w:t xml:space="preserve"> </w:t>
      </w:r>
    </w:p>
    <w:p w14:paraId="2C481BC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1EF6CDF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1728A4E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13CCC7B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67DBB7A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40E1BD3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25B1067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37F7F13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3B0F10C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1C2BD1A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211A4DA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000BA16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410D7B1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6D7CFBF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261EE4E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6BEF5DD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304DA16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7D0881C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3653EC3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68A4B9D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0C42957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4FCC088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7D784D6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157194E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603069F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7F14907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39EE485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0124A6D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b w:val="0"/>
          <w:bCs w:val="0"/>
          <w:sz w:val="18"/>
          <w:szCs w:val="18"/>
          <w:lang w:val="en-US" w:eastAsia="zh-CN"/>
        </w:rPr>
      </w:pPr>
    </w:p>
    <w:p w14:paraId="6CC20CE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Arial" w:hAnsi="Arial" w:cs="Arial"/>
          <w:sz w:val="18"/>
          <w:szCs w:val="18"/>
          <w:lang w:val="en-US" w:eastAsia="zh-CN"/>
        </w:rPr>
      </w:pPr>
      <w:r>
        <w:rPr>
          <w:rFonts w:hint="default" w:ascii="Arial" w:hAnsi="Arial" w:cs="Arial"/>
          <w:b w:val="0"/>
          <w:bCs w:val="0"/>
          <w:sz w:val="18"/>
          <w:szCs w:val="18"/>
          <w:lang w:val="en-US" w:eastAsia="zh-CN"/>
        </w:rPr>
        <w:t xml:space="preserve">Table </w:t>
      </w:r>
      <w:r>
        <w:rPr>
          <w:rFonts w:hint="eastAsia" w:ascii="Arial" w:hAnsi="Arial" w:cs="Arial"/>
          <w:b w:val="0"/>
          <w:bCs w:val="0"/>
          <w:sz w:val="18"/>
          <w:szCs w:val="18"/>
          <w:lang w:val="en-US" w:eastAsia="zh-CN"/>
        </w:rPr>
        <w:t>S</w:t>
      </w:r>
      <w:r>
        <w:rPr>
          <w:rFonts w:hint="default" w:ascii="Arial" w:hAnsi="Arial" w:cs="Arial"/>
          <w:b w:val="0"/>
          <w:bCs w:val="0"/>
          <w:sz w:val="18"/>
          <w:szCs w:val="18"/>
          <w:lang w:val="en-US" w:eastAsia="zh-CN"/>
        </w:rPr>
        <w:t>1</w:t>
      </w:r>
      <w:r>
        <w:rPr>
          <w:rFonts w:hint="default" w:ascii="Arial" w:hAnsi="Arial" w:cs="Arial"/>
          <w:sz w:val="18"/>
          <w:szCs w:val="18"/>
          <w:lang w:val="en-US" w:eastAsia="zh-CN"/>
        </w:rPr>
        <w:t xml:space="preserve"> Experimental results of the optimization of microcapsules preparation based on a Taguchi L</w:t>
      </w:r>
      <w:r>
        <w:rPr>
          <w:rFonts w:hint="default" w:ascii="Arial" w:hAnsi="Arial" w:cs="Arial"/>
          <w:sz w:val="18"/>
          <w:szCs w:val="18"/>
          <w:vertAlign w:val="subscript"/>
          <w:lang w:val="en-US" w:eastAsia="zh-CN"/>
        </w:rPr>
        <w:t>16</w:t>
      </w:r>
      <w:r>
        <w:rPr>
          <w:rFonts w:hint="default" w:ascii="Arial" w:hAnsi="Arial" w:cs="Arial"/>
          <w:sz w:val="18"/>
          <w:szCs w:val="18"/>
          <w:lang w:val="en-US" w:eastAsia="zh-CN"/>
        </w:rPr>
        <w:t xml:space="preserve"> (4</w:t>
      </w:r>
      <w:r>
        <w:rPr>
          <w:rFonts w:hint="default" w:ascii="Arial" w:hAnsi="Arial" w:cs="Arial"/>
          <w:sz w:val="18"/>
          <w:szCs w:val="18"/>
          <w:vertAlign w:val="superscript"/>
          <w:lang w:val="en-US" w:eastAsia="zh-CN"/>
        </w:rPr>
        <w:t>5</w:t>
      </w:r>
      <w:r>
        <w:rPr>
          <w:rFonts w:hint="default" w:ascii="Arial" w:hAnsi="Arial" w:cs="Arial"/>
          <w:sz w:val="18"/>
          <w:szCs w:val="18"/>
          <w:lang w:val="en-US" w:eastAsia="zh-CN"/>
        </w:rPr>
        <w:t>) orthogonal array.</w:t>
      </w:r>
    </w:p>
    <w:p w14:paraId="4EF792D3">
      <w:pPr>
        <w:rPr>
          <w:rFonts w:hint="default" w:ascii="Times New Roman" w:hAnsi="Times New Roman" w:cs="Times New Roman"/>
          <w:lang w:val="en-US" w:eastAsia="zh-CN"/>
        </w:rPr>
      </w:pPr>
    </w:p>
    <w:tbl>
      <w:tblPr>
        <w:tblStyle w:val="5"/>
        <w:tblpPr w:leftFromText="180" w:rightFromText="180" w:vertAnchor="page" w:horzAnchor="page" w:tblpX="676" w:tblpY="2893"/>
        <w:tblOverlap w:val="never"/>
        <w:tblW w:w="1043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759"/>
        <w:gridCol w:w="1447"/>
        <w:gridCol w:w="1438"/>
        <w:gridCol w:w="1359"/>
        <w:gridCol w:w="1491"/>
        <w:gridCol w:w="856"/>
        <w:gridCol w:w="1544"/>
        <w:gridCol w:w="1544"/>
      </w:tblGrid>
      <w:tr w14:paraId="439EDAA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759" w:type="dxa"/>
            <w:vMerge w:val="restart"/>
            <w:tcBorders>
              <w:top w:val="single" w:color="auto" w:sz="12" w:space="0"/>
            </w:tcBorders>
            <w:vAlign w:val="top"/>
          </w:tcPr>
          <w:p w14:paraId="25A6A741">
            <w:pPr>
              <w:jc w:val="center"/>
              <w:rPr>
                <w:rFonts w:hint="default" w:ascii="Arial" w:hAnsi="Arial" w:cs="Arial"/>
                <w:b w:val="0"/>
                <w:bCs w:val="0"/>
                <w:sz w:val="20"/>
                <w:szCs w:val="20"/>
                <w:vertAlign w:val="baseline"/>
              </w:rPr>
            </w:pPr>
            <w:r>
              <w:rPr>
                <w:rFonts w:hint="default" w:ascii="Arial" w:hAnsi="Arial" w:cs="Arial"/>
                <w:b w:val="0"/>
                <w:bCs w:val="0"/>
                <w:sz w:val="20"/>
                <w:szCs w:val="20"/>
                <w:vertAlign w:val="baseline"/>
              </w:rPr>
              <w:t>Trials</w:t>
            </w:r>
          </w:p>
        </w:tc>
        <w:tc>
          <w:tcPr>
            <w:tcW w:w="1447" w:type="dxa"/>
            <w:tcBorders>
              <w:top w:val="single" w:color="auto" w:sz="12" w:space="0"/>
            </w:tcBorders>
            <w:vAlign w:val="top"/>
          </w:tcPr>
          <w:p w14:paraId="33C4785D">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Factors</w:t>
            </w:r>
          </w:p>
        </w:tc>
        <w:tc>
          <w:tcPr>
            <w:tcW w:w="1438" w:type="dxa"/>
            <w:tcBorders>
              <w:top w:val="single" w:color="auto" w:sz="12" w:space="0"/>
            </w:tcBorders>
            <w:vAlign w:val="top"/>
          </w:tcPr>
          <w:p w14:paraId="7DEFAC3C">
            <w:pPr>
              <w:jc w:val="center"/>
              <w:rPr>
                <w:rFonts w:hint="default" w:ascii="Arial" w:hAnsi="Arial" w:cs="Arial"/>
                <w:b w:val="0"/>
                <w:bCs w:val="0"/>
                <w:sz w:val="20"/>
                <w:szCs w:val="20"/>
                <w:vertAlign w:val="baseline"/>
              </w:rPr>
            </w:pPr>
          </w:p>
        </w:tc>
        <w:tc>
          <w:tcPr>
            <w:tcW w:w="1359" w:type="dxa"/>
            <w:tcBorders>
              <w:top w:val="single" w:color="auto" w:sz="12" w:space="0"/>
            </w:tcBorders>
            <w:vAlign w:val="top"/>
          </w:tcPr>
          <w:p w14:paraId="1F1ADB3E">
            <w:pPr>
              <w:jc w:val="center"/>
              <w:rPr>
                <w:rFonts w:hint="default" w:ascii="Arial" w:hAnsi="Arial" w:cs="Arial"/>
                <w:b w:val="0"/>
                <w:bCs w:val="0"/>
                <w:sz w:val="20"/>
                <w:szCs w:val="20"/>
                <w:vertAlign w:val="baseline"/>
              </w:rPr>
            </w:pPr>
          </w:p>
        </w:tc>
        <w:tc>
          <w:tcPr>
            <w:tcW w:w="1491" w:type="dxa"/>
            <w:tcBorders>
              <w:top w:val="single" w:color="auto" w:sz="12" w:space="0"/>
            </w:tcBorders>
            <w:vAlign w:val="top"/>
          </w:tcPr>
          <w:p w14:paraId="4BC66F47">
            <w:pPr>
              <w:jc w:val="center"/>
              <w:rPr>
                <w:rFonts w:hint="default" w:ascii="Arial" w:hAnsi="Arial" w:cs="Arial"/>
                <w:b w:val="0"/>
                <w:bCs w:val="0"/>
                <w:sz w:val="20"/>
                <w:szCs w:val="20"/>
                <w:vertAlign w:val="baseline"/>
              </w:rPr>
            </w:pPr>
          </w:p>
        </w:tc>
        <w:tc>
          <w:tcPr>
            <w:tcW w:w="856" w:type="dxa"/>
            <w:tcBorders>
              <w:top w:val="single" w:color="auto" w:sz="12" w:space="0"/>
            </w:tcBorders>
            <w:vAlign w:val="top"/>
          </w:tcPr>
          <w:p w14:paraId="3CF28C69">
            <w:pPr>
              <w:jc w:val="center"/>
              <w:rPr>
                <w:rFonts w:hint="default" w:ascii="Arial" w:hAnsi="Arial" w:cs="Arial"/>
                <w:b w:val="0"/>
                <w:bCs w:val="0"/>
                <w:sz w:val="20"/>
                <w:szCs w:val="20"/>
                <w:vertAlign w:val="baseline"/>
              </w:rPr>
            </w:pPr>
          </w:p>
        </w:tc>
        <w:tc>
          <w:tcPr>
            <w:tcW w:w="1544" w:type="dxa"/>
            <w:vMerge w:val="restart"/>
            <w:tcBorders>
              <w:top w:val="single" w:color="auto" w:sz="12" w:space="0"/>
            </w:tcBorders>
            <w:vAlign w:val="top"/>
          </w:tcPr>
          <w:p w14:paraId="2461814C">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Encapsulation efficiency(%)</w:t>
            </w:r>
          </w:p>
        </w:tc>
        <w:tc>
          <w:tcPr>
            <w:tcW w:w="1544" w:type="dxa"/>
            <w:vMerge w:val="restart"/>
            <w:tcBorders>
              <w:top w:val="single" w:color="auto" w:sz="12" w:space="0"/>
            </w:tcBorders>
            <w:vAlign w:val="top"/>
          </w:tcPr>
          <w:p w14:paraId="6E240DD3">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Viable Cells</w:t>
            </w:r>
          </w:p>
          <w:p w14:paraId="237EEA48">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(10</w:t>
            </w:r>
            <w:r>
              <w:rPr>
                <w:rFonts w:hint="default" w:ascii="Arial" w:hAnsi="Arial" w:cs="Arial"/>
                <w:b w:val="0"/>
                <w:bCs w:val="0"/>
                <w:sz w:val="20"/>
                <w:szCs w:val="20"/>
                <w:vertAlign w:val="superscript"/>
                <w:lang w:val="en-US" w:eastAsia="zh-CN"/>
              </w:rPr>
              <w:t>7</w:t>
            </w:r>
            <w:r>
              <w:rPr>
                <w:rFonts w:hint="default" w:ascii="Arial" w:hAnsi="Arial" w:cs="Arial"/>
                <w:b w:val="0"/>
                <w:bCs w:val="0"/>
                <w:sz w:val="20"/>
                <w:szCs w:val="20"/>
                <w:vertAlign w:val="baseline"/>
                <w:lang w:val="en-US" w:eastAsia="zh-CN"/>
              </w:rPr>
              <w:t xml:space="preserve"> cells/g)</w:t>
            </w:r>
          </w:p>
        </w:tc>
      </w:tr>
      <w:tr w14:paraId="4EA18FC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759" w:type="dxa"/>
            <w:vMerge w:val="continue"/>
            <w:vAlign w:val="top"/>
          </w:tcPr>
          <w:p w14:paraId="685BCD9F">
            <w:pPr>
              <w:jc w:val="center"/>
              <w:rPr>
                <w:rFonts w:hint="default" w:ascii="Arial" w:hAnsi="Arial" w:cs="Arial"/>
                <w:b w:val="0"/>
                <w:bCs w:val="0"/>
                <w:sz w:val="20"/>
                <w:szCs w:val="20"/>
                <w:vertAlign w:val="baseline"/>
              </w:rPr>
            </w:pPr>
          </w:p>
        </w:tc>
        <w:tc>
          <w:tcPr>
            <w:tcW w:w="1447" w:type="dxa"/>
            <w:vAlign w:val="top"/>
          </w:tcPr>
          <w:p w14:paraId="5DD90397">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A</w:t>
            </w:r>
          </w:p>
          <w:p w14:paraId="167606B1">
            <w:pPr>
              <w:jc w:val="center"/>
              <w:rPr>
                <w:rFonts w:hint="default" w:ascii="Arial" w:hAnsi="Arial" w:cs="Arial"/>
                <w:b w:val="0"/>
                <w:bCs w:val="0"/>
                <w:sz w:val="20"/>
                <w:szCs w:val="20"/>
                <w:lang w:val="en-US" w:eastAsia="zh-CN"/>
              </w:rPr>
            </w:pPr>
            <w:r>
              <w:rPr>
                <w:rFonts w:hint="default" w:ascii="Arial" w:hAnsi="Arial" w:cs="Arial"/>
                <w:b w:val="0"/>
                <w:bCs w:val="0"/>
                <w:sz w:val="20"/>
                <w:szCs w:val="20"/>
                <w:vertAlign w:val="baseline"/>
                <w:lang w:val="en-US" w:eastAsia="zh-CN"/>
              </w:rPr>
              <w:t>(</w:t>
            </w:r>
            <w:r>
              <w:rPr>
                <w:rFonts w:hint="default" w:ascii="Arial" w:hAnsi="Arial" w:cs="Arial"/>
                <w:b w:val="0"/>
                <w:bCs w:val="0"/>
                <w:sz w:val="20"/>
                <w:szCs w:val="20"/>
                <w:lang w:val="en-US" w:eastAsia="zh-CN"/>
              </w:rPr>
              <w:t>ratio of</w:t>
            </w:r>
          </w:p>
          <w:p w14:paraId="18AA89E6">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lang w:val="en-US" w:eastAsia="zh-CN"/>
              </w:rPr>
              <w:t>SA/γ-PGA</w:t>
            </w:r>
            <w:r>
              <w:rPr>
                <w:rFonts w:hint="default" w:ascii="Arial" w:hAnsi="Arial" w:cs="Arial"/>
                <w:b w:val="0"/>
                <w:bCs w:val="0"/>
                <w:sz w:val="20"/>
                <w:szCs w:val="20"/>
                <w:vertAlign w:val="baseline"/>
                <w:lang w:val="en-US" w:eastAsia="zh-CN"/>
              </w:rPr>
              <w:t>)</w:t>
            </w:r>
          </w:p>
        </w:tc>
        <w:tc>
          <w:tcPr>
            <w:tcW w:w="1438" w:type="dxa"/>
            <w:vAlign w:val="top"/>
          </w:tcPr>
          <w:p w14:paraId="7BE8CE3D">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B</w:t>
            </w:r>
          </w:p>
          <w:p w14:paraId="0B9C203F">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w:t>
            </w:r>
            <w:r>
              <w:rPr>
                <w:rFonts w:hint="default" w:ascii="Arial" w:hAnsi="Arial" w:cs="Arial"/>
                <w:b w:val="0"/>
                <w:bCs w:val="0"/>
                <w:sz w:val="20"/>
                <w:szCs w:val="20"/>
                <w:lang w:val="en-US" w:eastAsia="zh-CN"/>
              </w:rPr>
              <w:t>concentration of CaCO</w:t>
            </w:r>
            <w:r>
              <w:rPr>
                <w:rFonts w:hint="default" w:ascii="Arial" w:hAnsi="Arial" w:cs="Arial"/>
                <w:b w:val="0"/>
                <w:bCs w:val="0"/>
                <w:sz w:val="20"/>
                <w:szCs w:val="20"/>
                <w:vertAlign w:val="subscript"/>
                <w:lang w:val="en-US" w:eastAsia="zh-CN"/>
              </w:rPr>
              <w:t>3</w:t>
            </w:r>
            <w:r>
              <w:rPr>
                <w:rFonts w:hint="default" w:ascii="Arial" w:hAnsi="Arial" w:cs="Arial"/>
                <w:b w:val="0"/>
                <w:bCs w:val="0"/>
                <w:sz w:val="20"/>
                <w:szCs w:val="20"/>
                <w:vertAlign w:val="baseline"/>
                <w:lang w:val="en-US" w:eastAsia="zh-CN"/>
              </w:rPr>
              <w:t xml:space="preserve"> )</w:t>
            </w:r>
          </w:p>
        </w:tc>
        <w:tc>
          <w:tcPr>
            <w:tcW w:w="1359" w:type="dxa"/>
            <w:vAlign w:val="top"/>
          </w:tcPr>
          <w:p w14:paraId="0E0CEEA4">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C</w:t>
            </w:r>
          </w:p>
          <w:p w14:paraId="649EFF2B">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 xml:space="preserve">(ratio of </w:t>
            </w:r>
            <w:r>
              <w:rPr>
                <w:rFonts w:hint="default" w:ascii="Arial" w:hAnsi="Arial" w:cs="Arial"/>
                <w:b w:val="0"/>
                <w:bCs w:val="0"/>
                <w:sz w:val="20"/>
                <w:szCs w:val="20"/>
                <w:lang w:val="en-US" w:eastAsia="zh-CN"/>
              </w:rPr>
              <w:t>polymers /bacterium</w:t>
            </w:r>
            <w:r>
              <w:rPr>
                <w:rFonts w:hint="default" w:ascii="Arial" w:hAnsi="Arial" w:cs="Arial"/>
                <w:b w:val="0"/>
                <w:bCs w:val="0"/>
                <w:sz w:val="20"/>
                <w:szCs w:val="20"/>
                <w:vertAlign w:val="baseline"/>
                <w:lang w:val="en-US" w:eastAsia="zh-CN"/>
              </w:rPr>
              <w:t xml:space="preserve"> )</w:t>
            </w:r>
          </w:p>
        </w:tc>
        <w:tc>
          <w:tcPr>
            <w:tcW w:w="1491" w:type="dxa"/>
            <w:vAlign w:val="top"/>
          </w:tcPr>
          <w:p w14:paraId="46DE1456">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D</w:t>
            </w:r>
          </w:p>
          <w:p w14:paraId="6382BA7D">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w:t>
            </w:r>
            <w:r>
              <w:rPr>
                <w:rFonts w:hint="default" w:ascii="Arial" w:hAnsi="Arial" w:cs="Arial"/>
                <w:b w:val="0"/>
                <w:bCs w:val="0"/>
                <w:sz w:val="20"/>
                <w:szCs w:val="20"/>
                <w:lang w:val="en-US" w:eastAsia="zh-CN"/>
              </w:rPr>
              <w:t>concentration of chitosan</w:t>
            </w:r>
            <w:r>
              <w:rPr>
                <w:rFonts w:hint="default" w:ascii="Arial" w:hAnsi="Arial" w:cs="Arial"/>
                <w:b w:val="0"/>
                <w:bCs w:val="0"/>
                <w:sz w:val="20"/>
                <w:szCs w:val="20"/>
                <w:vertAlign w:val="baseline"/>
                <w:lang w:val="en-US" w:eastAsia="zh-CN"/>
              </w:rPr>
              <w:t>)</w:t>
            </w:r>
          </w:p>
        </w:tc>
        <w:tc>
          <w:tcPr>
            <w:tcW w:w="856" w:type="dxa"/>
            <w:vAlign w:val="top"/>
          </w:tcPr>
          <w:p w14:paraId="304CED62">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E</w:t>
            </w:r>
          </w:p>
          <w:p w14:paraId="28D2D676">
            <w:pPr>
              <w:jc w:val="center"/>
              <w:rPr>
                <w:rFonts w:hint="default" w:ascii="Arial" w:hAnsi="Arial" w:cs="Arial"/>
                <w:b w:val="0"/>
                <w:bCs w:val="0"/>
                <w:sz w:val="20"/>
                <w:szCs w:val="20"/>
                <w:vertAlign w:val="baseline"/>
                <w:lang w:val="en-US" w:eastAsia="zh-CN"/>
              </w:rPr>
            </w:pPr>
            <w:r>
              <w:rPr>
                <w:rFonts w:hint="default" w:ascii="Arial" w:hAnsi="Arial" w:cs="Arial"/>
                <w:b w:val="0"/>
                <w:bCs w:val="0"/>
                <w:sz w:val="20"/>
                <w:szCs w:val="20"/>
                <w:vertAlign w:val="baseline"/>
                <w:lang w:val="en-US" w:eastAsia="zh-CN"/>
              </w:rPr>
              <w:t>(blank)</w:t>
            </w:r>
          </w:p>
        </w:tc>
        <w:tc>
          <w:tcPr>
            <w:tcW w:w="1544" w:type="dxa"/>
            <w:vMerge w:val="continue"/>
            <w:vAlign w:val="top"/>
          </w:tcPr>
          <w:p w14:paraId="71D3D1D4">
            <w:pPr>
              <w:jc w:val="center"/>
              <w:rPr>
                <w:rFonts w:hint="default" w:ascii="Arial" w:hAnsi="Arial" w:cs="Arial"/>
                <w:b w:val="0"/>
                <w:bCs w:val="0"/>
                <w:sz w:val="20"/>
                <w:szCs w:val="20"/>
                <w:vertAlign w:val="baseline"/>
              </w:rPr>
            </w:pPr>
          </w:p>
        </w:tc>
        <w:tc>
          <w:tcPr>
            <w:tcW w:w="1544" w:type="dxa"/>
            <w:vMerge w:val="continue"/>
            <w:vAlign w:val="top"/>
          </w:tcPr>
          <w:p w14:paraId="2B4C9288">
            <w:pPr>
              <w:jc w:val="center"/>
              <w:rPr>
                <w:rFonts w:hint="default" w:ascii="Arial" w:hAnsi="Arial" w:cs="Arial"/>
                <w:b w:val="0"/>
                <w:bCs w:val="0"/>
                <w:sz w:val="20"/>
                <w:szCs w:val="20"/>
                <w:vertAlign w:val="baseline"/>
              </w:rPr>
            </w:pPr>
          </w:p>
        </w:tc>
      </w:tr>
      <w:tr w14:paraId="0F7EE2B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bottom w:val="nil"/>
            </w:tcBorders>
          </w:tcPr>
          <w:p w14:paraId="563524C3">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1</w:t>
            </w:r>
          </w:p>
        </w:tc>
        <w:tc>
          <w:tcPr>
            <w:tcW w:w="1447" w:type="dxa"/>
            <w:tcBorders>
              <w:bottom w:val="nil"/>
            </w:tcBorders>
            <w:vAlign w:val="center"/>
          </w:tcPr>
          <w:p w14:paraId="0A494B8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1(2:1)</w:t>
            </w:r>
          </w:p>
        </w:tc>
        <w:tc>
          <w:tcPr>
            <w:tcW w:w="1438" w:type="dxa"/>
            <w:tcBorders>
              <w:bottom w:val="nil"/>
            </w:tcBorders>
            <w:vAlign w:val="center"/>
          </w:tcPr>
          <w:p w14:paraId="51E2BCB8">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1(0.5%)</w:t>
            </w:r>
          </w:p>
        </w:tc>
        <w:tc>
          <w:tcPr>
            <w:tcW w:w="1359" w:type="dxa"/>
            <w:tcBorders>
              <w:bottom w:val="nil"/>
            </w:tcBorders>
            <w:vAlign w:val="center"/>
          </w:tcPr>
          <w:p w14:paraId="76248BD4">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1(2:1)</w:t>
            </w:r>
          </w:p>
        </w:tc>
        <w:tc>
          <w:tcPr>
            <w:tcW w:w="1491" w:type="dxa"/>
            <w:tcBorders>
              <w:bottom w:val="nil"/>
            </w:tcBorders>
            <w:vAlign w:val="center"/>
          </w:tcPr>
          <w:p w14:paraId="0E336509">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1(0.1%)</w:t>
            </w:r>
          </w:p>
        </w:tc>
        <w:tc>
          <w:tcPr>
            <w:tcW w:w="856" w:type="dxa"/>
            <w:tcBorders>
              <w:bottom w:val="nil"/>
            </w:tcBorders>
            <w:vAlign w:val="center"/>
          </w:tcPr>
          <w:p w14:paraId="73AB7E07">
            <w:pPr>
              <w:keepNext w:val="0"/>
              <w:keepLines w:val="0"/>
              <w:widowControl/>
              <w:suppressLineNumbers w:val="0"/>
              <w:jc w:val="center"/>
              <w:textAlignment w:val="center"/>
              <w:rPr>
                <w:rFonts w:hint="default" w:ascii="Arial" w:hAnsi="Arial" w:cs="Arial" w:eastAsiaTheme="minorEastAsia"/>
                <w:b w:val="0"/>
                <w:bCs w:val="0"/>
                <w:sz w:val="20"/>
                <w:szCs w:val="20"/>
                <w:vertAlign w:val="baseline"/>
                <w:lang w:val="en-US" w:eastAsia="zh-CN"/>
              </w:rPr>
            </w:pPr>
            <w:r>
              <w:rPr>
                <w:rFonts w:hint="default" w:ascii="Arial" w:hAnsi="Arial" w:eastAsia="宋体" w:cs="Arial"/>
                <w:b w:val="0"/>
                <w:bCs w:val="0"/>
                <w:i w:val="0"/>
                <w:iCs w:val="0"/>
                <w:color w:val="000000"/>
                <w:kern w:val="0"/>
                <w:sz w:val="20"/>
                <w:szCs w:val="20"/>
                <w:u w:val="none"/>
                <w:lang w:val="en-US" w:eastAsia="zh-CN" w:bidi="ar"/>
              </w:rPr>
              <w:t>1</w:t>
            </w:r>
          </w:p>
        </w:tc>
        <w:tc>
          <w:tcPr>
            <w:tcW w:w="1544" w:type="dxa"/>
            <w:tcBorders>
              <w:bottom w:val="nil"/>
            </w:tcBorders>
            <w:vAlign w:val="center"/>
          </w:tcPr>
          <w:p w14:paraId="0033A0AE">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31.16±2.16</w:t>
            </w:r>
          </w:p>
        </w:tc>
        <w:tc>
          <w:tcPr>
            <w:tcW w:w="1544" w:type="dxa"/>
            <w:tcBorders>
              <w:bottom w:val="nil"/>
            </w:tcBorders>
            <w:vAlign w:val="center"/>
          </w:tcPr>
          <w:p w14:paraId="3B362FB8">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173.5</w:t>
            </w:r>
          </w:p>
        </w:tc>
      </w:tr>
      <w:tr w14:paraId="1E223AE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0D21F827">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2</w:t>
            </w:r>
          </w:p>
        </w:tc>
        <w:tc>
          <w:tcPr>
            <w:tcW w:w="1447" w:type="dxa"/>
            <w:tcBorders>
              <w:top w:val="nil"/>
              <w:bottom w:val="nil"/>
            </w:tcBorders>
            <w:vAlign w:val="center"/>
          </w:tcPr>
          <w:p w14:paraId="49F9A17E">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1(2:1)</w:t>
            </w:r>
          </w:p>
        </w:tc>
        <w:tc>
          <w:tcPr>
            <w:tcW w:w="1438" w:type="dxa"/>
            <w:tcBorders>
              <w:top w:val="nil"/>
              <w:bottom w:val="nil"/>
            </w:tcBorders>
            <w:vAlign w:val="center"/>
          </w:tcPr>
          <w:p w14:paraId="536FB6E3">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2(1.0%)</w:t>
            </w:r>
          </w:p>
        </w:tc>
        <w:tc>
          <w:tcPr>
            <w:tcW w:w="1359" w:type="dxa"/>
            <w:tcBorders>
              <w:top w:val="nil"/>
              <w:bottom w:val="nil"/>
            </w:tcBorders>
            <w:vAlign w:val="center"/>
          </w:tcPr>
          <w:p w14:paraId="3B33ABD9">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2(4:1)</w:t>
            </w:r>
          </w:p>
        </w:tc>
        <w:tc>
          <w:tcPr>
            <w:tcW w:w="1491" w:type="dxa"/>
            <w:tcBorders>
              <w:top w:val="nil"/>
              <w:bottom w:val="nil"/>
            </w:tcBorders>
            <w:vAlign w:val="center"/>
          </w:tcPr>
          <w:p w14:paraId="5383899E">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2(0.3%)</w:t>
            </w:r>
          </w:p>
        </w:tc>
        <w:tc>
          <w:tcPr>
            <w:tcW w:w="856" w:type="dxa"/>
            <w:tcBorders>
              <w:top w:val="nil"/>
              <w:bottom w:val="nil"/>
            </w:tcBorders>
            <w:vAlign w:val="center"/>
          </w:tcPr>
          <w:p w14:paraId="0B413BFE">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2</w:t>
            </w:r>
          </w:p>
        </w:tc>
        <w:tc>
          <w:tcPr>
            <w:tcW w:w="1544" w:type="dxa"/>
            <w:tcBorders>
              <w:top w:val="nil"/>
              <w:bottom w:val="nil"/>
            </w:tcBorders>
            <w:vAlign w:val="center"/>
          </w:tcPr>
          <w:p w14:paraId="0D479127">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71.68±4.11</w:t>
            </w:r>
          </w:p>
        </w:tc>
        <w:tc>
          <w:tcPr>
            <w:tcW w:w="1544" w:type="dxa"/>
            <w:tcBorders>
              <w:top w:val="nil"/>
              <w:bottom w:val="nil"/>
            </w:tcBorders>
            <w:vAlign w:val="center"/>
          </w:tcPr>
          <w:p w14:paraId="718D1C48">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218</w:t>
            </w:r>
          </w:p>
        </w:tc>
      </w:tr>
      <w:tr w14:paraId="4B77B71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6E6B87E8">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3</w:t>
            </w:r>
          </w:p>
        </w:tc>
        <w:tc>
          <w:tcPr>
            <w:tcW w:w="1447" w:type="dxa"/>
            <w:tcBorders>
              <w:top w:val="nil"/>
              <w:bottom w:val="nil"/>
            </w:tcBorders>
            <w:vAlign w:val="center"/>
          </w:tcPr>
          <w:p w14:paraId="4ABC4B92">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1(2:1)</w:t>
            </w:r>
          </w:p>
        </w:tc>
        <w:tc>
          <w:tcPr>
            <w:tcW w:w="1438" w:type="dxa"/>
            <w:tcBorders>
              <w:top w:val="nil"/>
              <w:bottom w:val="nil"/>
            </w:tcBorders>
            <w:vAlign w:val="center"/>
          </w:tcPr>
          <w:p w14:paraId="323555B4">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3(1.5%)</w:t>
            </w:r>
          </w:p>
        </w:tc>
        <w:tc>
          <w:tcPr>
            <w:tcW w:w="1359" w:type="dxa"/>
            <w:tcBorders>
              <w:top w:val="nil"/>
              <w:bottom w:val="nil"/>
            </w:tcBorders>
            <w:vAlign w:val="center"/>
          </w:tcPr>
          <w:p w14:paraId="6988D86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3(6:1)</w:t>
            </w:r>
          </w:p>
        </w:tc>
        <w:tc>
          <w:tcPr>
            <w:tcW w:w="1491" w:type="dxa"/>
            <w:tcBorders>
              <w:top w:val="nil"/>
              <w:bottom w:val="nil"/>
            </w:tcBorders>
            <w:vAlign w:val="center"/>
          </w:tcPr>
          <w:p w14:paraId="6A68B67D">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3(0.5%)</w:t>
            </w:r>
          </w:p>
        </w:tc>
        <w:tc>
          <w:tcPr>
            <w:tcW w:w="856" w:type="dxa"/>
            <w:tcBorders>
              <w:top w:val="nil"/>
              <w:bottom w:val="nil"/>
            </w:tcBorders>
            <w:vAlign w:val="center"/>
          </w:tcPr>
          <w:p w14:paraId="4253D73F">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3</w:t>
            </w:r>
          </w:p>
        </w:tc>
        <w:tc>
          <w:tcPr>
            <w:tcW w:w="1544" w:type="dxa"/>
            <w:tcBorders>
              <w:top w:val="nil"/>
              <w:bottom w:val="nil"/>
            </w:tcBorders>
            <w:vAlign w:val="center"/>
          </w:tcPr>
          <w:p w14:paraId="64C8FE94">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78.15±3.21</w:t>
            </w:r>
          </w:p>
        </w:tc>
        <w:tc>
          <w:tcPr>
            <w:tcW w:w="1544" w:type="dxa"/>
            <w:tcBorders>
              <w:top w:val="nil"/>
              <w:bottom w:val="nil"/>
            </w:tcBorders>
            <w:vAlign w:val="center"/>
          </w:tcPr>
          <w:p w14:paraId="46C99B18">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146</w:t>
            </w:r>
          </w:p>
        </w:tc>
      </w:tr>
      <w:tr w14:paraId="40ABA63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2321AB42">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4</w:t>
            </w:r>
          </w:p>
        </w:tc>
        <w:tc>
          <w:tcPr>
            <w:tcW w:w="1447" w:type="dxa"/>
            <w:tcBorders>
              <w:top w:val="nil"/>
              <w:bottom w:val="nil"/>
            </w:tcBorders>
            <w:vAlign w:val="center"/>
          </w:tcPr>
          <w:p w14:paraId="3095EF38">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1(2:1)</w:t>
            </w:r>
          </w:p>
        </w:tc>
        <w:tc>
          <w:tcPr>
            <w:tcW w:w="1438" w:type="dxa"/>
            <w:tcBorders>
              <w:top w:val="nil"/>
              <w:bottom w:val="nil"/>
            </w:tcBorders>
            <w:vAlign w:val="center"/>
          </w:tcPr>
          <w:p w14:paraId="5103D255">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4(2.0%)</w:t>
            </w:r>
          </w:p>
        </w:tc>
        <w:tc>
          <w:tcPr>
            <w:tcW w:w="1359" w:type="dxa"/>
            <w:tcBorders>
              <w:top w:val="nil"/>
              <w:bottom w:val="nil"/>
            </w:tcBorders>
            <w:vAlign w:val="center"/>
          </w:tcPr>
          <w:p w14:paraId="0A07135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4(8:1)</w:t>
            </w:r>
          </w:p>
        </w:tc>
        <w:tc>
          <w:tcPr>
            <w:tcW w:w="1491" w:type="dxa"/>
            <w:tcBorders>
              <w:top w:val="nil"/>
              <w:bottom w:val="nil"/>
            </w:tcBorders>
            <w:vAlign w:val="center"/>
          </w:tcPr>
          <w:p w14:paraId="6F5090E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4(0.7%)</w:t>
            </w:r>
          </w:p>
        </w:tc>
        <w:tc>
          <w:tcPr>
            <w:tcW w:w="856" w:type="dxa"/>
            <w:tcBorders>
              <w:top w:val="nil"/>
              <w:bottom w:val="nil"/>
            </w:tcBorders>
            <w:vAlign w:val="center"/>
          </w:tcPr>
          <w:p w14:paraId="564C97D6">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4</w:t>
            </w:r>
          </w:p>
        </w:tc>
        <w:tc>
          <w:tcPr>
            <w:tcW w:w="1544" w:type="dxa"/>
            <w:tcBorders>
              <w:top w:val="nil"/>
              <w:bottom w:val="nil"/>
            </w:tcBorders>
            <w:vAlign w:val="center"/>
          </w:tcPr>
          <w:p w14:paraId="1DBA95FB">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42.26±1.80</w:t>
            </w:r>
          </w:p>
        </w:tc>
        <w:tc>
          <w:tcPr>
            <w:tcW w:w="1544" w:type="dxa"/>
            <w:tcBorders>
              <w:top w:val="nil"/>
              <w:bottom w:val="nil"/>
            </w:tcBorders>
            <w:vAlign w:val="center"/>
          </w:tcPr>
          <w:p w14:paraId="58D45CA3">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57.55</w:t>
            </w:r>
          </w:p>
        </w:tc>
      </w:tr>
      <w:tr w14:paraId="1115483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66F44F9F">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5</w:t>
            </w:r>
          </w:p>
        </w:tc>
        <w:tc>
          <w:tcPr>
            <w:tcW w:w="1447" w:type="dxa"/>
            <w:tcBorders>
              <w:top w:val="nil"/>
              <w:bottom w:val="nil"/>
            </w:tcBorders>
            <w:vAlign w:val="center"/>
          </w:tcPr>
          <w:p w14:paraId="07EA66F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2(4:1)</w:t>
            </w:r>
          </w:p>
        </w:tc>
        <w:tc>
          <w:tcPr>
            <w:tcW w:w="1438" w:type="dxa"/>
            <w:tcBorders>
              <w:top w:val="nil"/>
              <w:bottom w:val="nil"/>
            </w:tcBorders>
            <w:vAlign w:val="center"/>
          </w:tcPr>
          <w:p w14:paraId="171F97C9">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1(0.5%)</w:t>
            </w:r>
          </w:p>
        </w:tc>
        <w:tc>
          <w:tcPr>
            <w:tcW w:w="1359" w:type="dxa"/>
            <w:tcBorders>
              <w:top w:val="nil"/>
              <w:bottom w:val="nil"/>
            </w:tcBorders>
            <w:vAlign w:val="center"/>
          </w:tcPr>
          <w:p w14:paraId="17E9831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2(4:1)</w:t>
            </w:r>
          </w:p>
        </w:tc>
        <w:tc>
          <w:tcPr>
            <w:tcW w:w="1491" w:type="dxa"/>
            <w:tcBorders>
              <w:top w:val="nil"/>
              <w:bottom w:val="nil"/>
            </w:tcBorders>
            <w:vAlign w:val="center"/>
          </w:tcPr>
          <w:p w14:paraId="2B3F8CC3">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3(0.5%)</w:t>
            </w:r>
          </w:p>
        </w:tc>
        <w:tc>
          <w:tcPr>
            <w:tcW w:w="856" w:type="dxa"/>
            <w:tcBorders>
              <w:top w:val="nil"/>
              <w:bottom w:val="nil"/>
            </w:tcBorders>
            <w:vAlign w:val="center"/>
          </w:tcPr>
          <w:p w14:paraId="1EE4CC50">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4</w:t>
            </w:r>
          </w:p>
        </w:tc>
        <w:tc>
          <w:tcPr>
            <w:tcW w:w="1544" w:type="dxa"/>
            <w:tcBorders>
              <w:top w:val="nil"/>
              <w:bottom w:val="nil"/>
            </w:tcBorders>
            <w:vAlign w:val="center"/>
          </w:tcPr>
          <w:p w14:paraId="5EE9E8E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49.55±4.20</w:t>
            </w:r>
          </w:p>
        </w:tc>
        <w:tc>
          <w:tcPr>
            <w:tcW w:w="1544" w:type="dxa"/>
            <w:tcBorders>
              <w:top w:val="nil"/>
              <w:bottom w:val="nil"/>
            </w:tcBorders>
            <w:vAlign w:val="center"/>
          </w:tcPr>
          <w:p w14:paraId="297D60EE">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112</w:t>
            </w:r>
          </w:p>
        </w:tc>
      </w:tr>
      <w:tr w14:paraId="5F1A9FA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3D831686">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6</w:t>
            </w:r>
          </w:p>
        </w:tc>
        <w:tc>
          <w:tcPr>
            <w:tcW w:w="1447" w:type="dxa"/>
            <w:tcBorders>
              <w:top w:val="nil"/>
              <w:bottom w:val="nil"/>
            </w:tcBorders>
            <w:vAlign w:val="center"/>
          </w:tcPr>
          <w:p w14:paraId="69A27FF4">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2(4:1)</w:t>
            </w:r>
          </w:p>
        </w:tc>
        <w:tc>
          <w:tcPr>
            <w:tcW w:w="1438" w:type="dxa"/>
            <w:tcBorders>
              <w:top w:val="nil"/>
              <w:bottom w:val="nil"/>
            </w:tcBorders>
            <w:vAlign w:val="center"/>
          </w:tcPr>
          <w:p w14:paraId="4070071D">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2(1.0%)</w:t>
            </w:r>
          </w:p>
        </w:tc>
        <w:tc>
          <w:tcPr>
            <w:tcW w:w="1359" w:type="dxa"/>
            <w:tcBorders>
              <w:top w:val="nil"/>
              <w:bottom w:val="nil"/>
            </w:tcBorders>
            <w:vAlign w:val="center"/>
          </w:tcPr>
          <w:p w14:paraId="35CE1619">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1(2:1)</w:t>
            </w:r>
          </w:p>
        </w:tc>
        <w:tc>
          <w:tcPr>
            <w:tcW w:w="1491" w:type="dxa"/>
            <w:tcBorders>
              <w:top w:val="nil"/>
              <w:bottom w:val="nil"/>
            </w:tcBorders>
            <w:vAlign w:val="center"/>
          </w:tcPr>
          <w:p w14:paraId="7CF9AC0F">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4(0.7%)</w:t>
            </w:r>
          </w:p>
        </w:tc>
        <w:tc>
          <w:tcPr>
            <w:tcW w:w="856" w:type="dxa"/>
            <w:tcBorders>
              <w:top w:val="nil"/>
              <w:bottom w:val="nil"/>
            </w:tcBorders>
            <w:vAlign w:val="center"/>
          </w:tcPr>
          <w:p w14:paraId="7C93D3CE">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3</w:t>
            </w:r>
          </w:p>
        </w:tc>
        <w:tc>
          <w:tcPr>
            <w:tcW w:w="1544" w:type="dxa"/>
            <w:tcBorders>
              <w:top w:val="nil"/>
              <w:bottom w:val="nil"/>
            </w:tcBorders>
            <w:vAlign w:val="center"/>
          </w:tcPr>
          <w:p w14:paraId="42B53032">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32.37±1.66</w:t>
            </w:r>
          </w:p>
        </w:tc>
        <w:tc>
          <w:tcPr>
            <w:tcW w:w="1544" w:type="dxa"/>
            <w:tcBorders>
              <w:top w:val="nil"/>
              <w:bottom w:val="nil"/>
            </w:tcBorders>
            <w:vAlign w:val="center"/>
          </w:tcPr>
          <w:p w14:paraId="464101B2">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195</w:t>
            </w:r>
          </w:p>
        </w:tc>
      </w:tr>
      <w:tr w14:paraId="3A32D68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74A913AA">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7</w:t>
            </w:r>
          </w:p>
        </w:tc>
        <w:tc>
          <w:tcPr>
            <w:tcW w:w="1447" w:type="dxa"/>
            <w:tcBorders>
              <w:top w:val="nil"/>
              <w:bottom w:val="nil"/>
            </w:tcBorders>
            <w:vAlign w:val="center"/>
          </w:tcPr>
          <w:p w14:paraId="3E6DC226">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2(4:1)</w:t>
            </w:r>
          </w:p>
        </w:tc>
        <w:tc>
          <w:tcPr>
            <w:tcW w:w="1438" w:type="dxa"/>
            <w:tcBorders>
              <w:top w:val="nil"/>
              <w:bottom w:val="nil"/>
            </w:tcBorders>
            <w:vAlign w:val="center"/>
          </w:tcPr>
          <w:p w14:paraId="3CAC4223">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3(1.5%)</w:t>
            </w:r>
          </w:p>
        </w:tc>
        <w:tc>
          <w:tcPr>
            <w:tcW w:w="1359" w:type="dxa"/>
            <w:tcBorders>
              <w:top w:val="nil"/>
              <w:bottom w:val="nil"/>
            </w:tcBorders>
            <w:vAlign w:val="center"/>
          </w:tcPr>
          <w:p w14:paraId="5E0272D6">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4(8:1)</w:t>
            </w:r>
          </w:p>
        </w:tc>
        <w:tc>
          <w:tcPr>
            <w:tcW w:w="1491" w:type="dxa"/>
            <w:tcBorders>
              <w:top w:val="nil"/>
              <w:bottom w:val="nil"/>
            </w:tcBorders>
            <w:vAlign w:val="center"/>
          </w:tcPr>
          <w:p w14:paraId="46F04399">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1(0.1%)</w:t>
            </w:r>
          </w:p>
        </w:tc>
        <w:tc>
          <w:tcPr>
            <w:tcW w:w="856" w:type="dxa"/>
            <w:tcBorders>
              <w:top w:val="nil"/>
              <w:bottom w:val="nil"/>
            </w:tcBorders>
            <w:vAlign w:val="center"/>
          </w:tcPr>
          <w:p w14:paraId="30B2E7FF">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2</w:t>
            </w:r>
          </w:p>
        </w:tc>
        <w:tc>
          <w:tcPr>
            <w:tcW w:w="1544" w:type="dxa"/>
            <w:tcBorders>
              <w:top w:val="nil"/>
              <w:bottom w:val="nil"/>
            </w:tcBorders>
            <w:vAlign w:val="center"/>
          </w:tcPr>
          <w:p w14:paraId="15AD6FA0">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86.73±4.30</w:t>
            </w:r>
          </w:p>
        </w:tc>
        <w:tc>
          <w:tcPr>
            <w:tcW w:w="1544" w:type="dxa"/>
            <w:tcBorders>
              <w:top w:val="nil"/>
              <w:bottom w:val="nil"/>
            </w:tcBorders>
            <w:vAlign w:val="center"/>
          </w:tcPr>
          <w:p w14:paraId="715A8EB7">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121</w:t>
            </w:r>
          </w:p>
        </w:tc>
      </w:tr>
      <w:tr w14:paraId="5FEA857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35AC75B0">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8</w:t>
            </w:r>
          </w:p>
        </w:tc>
        <w:tc>
          <w:tcPr>
            <w:tcW w:w="1447" w:type="dxa"/>
            <w:tcBorders>
              <w:top w:val="nil"/>
              <w:bottom w:val="nil"/>
            </w:tcBorders>
            <w:vAlign w:val="center"/>
          </w:tcPr>
          <w:p w14:paraId="094C33C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2(4:1)</w:t>
            </w:r>
          </w:p>
        </w:tc>
        <w:tc>
          <w:tcPr>
            <w:tcW w:w="1438" w:type="dxa"/>
            <w:tcBorders>
              <w:top w:val="nil"/>
              <w:bottom w:val="nil"/>
            </w:tcBorders>
            <w:vAlign w:val="center"/>
          </w:tcPr>
          <w:p w14:paraId="49E87482">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4(2.0%)</w:t>
            </w:r>
          </w:p>
        </w:tc>
        <w:tc>
          <w:tcPr>
            <w:tcW w:w="1359" w:type="dxa"/>
            <w:tcBorders>
              <w:top w:val="nil"/>
              <w:bottom w:val="nil"/>
            </w:tcBorders>
            <w:vAlign w:val="center"/>
          </w:tcPr>
          <w:p w14:paraId="5C8D1383">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3(6:1)</w:t>
            </w:r>
          </w:p>
        </w:tc>
        <w:tc>
          <w:tcPr>
            <w:tcW w:w="1491" w:type="dxa"/>
            <w:tcBorders>
              <w:top w:val="nil"/>
              <w:bottom w:val="nil"/>
            </w:tcBorders>
            <w:vAlign w:val="center"/>
          </w:tcPr>
          <w:p w14:paraId="50A22A0E">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2(0.3%)</w:t>
            </w:r>
          </w:p>
        </w:tc>
        <w:tc>
          <w:tcPr>
            <w:tcW w:w="856" w:type="dxa"/>
            <w:tcBorders>
              <w:top w:val="nil"/>
              <w:bottom w:val="nil"/>
            </w:tcBorders>
            <w:vAlign w:val="center"/>
          </w:tcPr>
          <w:p w14:paraId="620D9620">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1</w:t>
            </w:r>
          </w:p>
        </w:tc>
        <w:tc>
          <w:tcPr>
            <w:tcW w:w="1544" w:type="dxa"/>
            <w:tcBorders>
              <w:top w:val="nil"/>
              <w:bottom w:val="nil"/>
            </w:tcBorders>
            <w:vAlign w:val="center"/>
          </w:tcPr>
          <w:p w14:paraId="207359DC">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88.29±4.59</w:t>
            </w:r>
          </w:p>
        </w:tc>
        <w:tc>
          <w:tcPr>
            <w:tcW w:w="1544" w:type="dxa"/>
            <w:tcBorders>
              <w:top w:val="nil"/>
              <w:bottom w:val="nil"/>
            </w:tcBorders>
            <w:vAlign w:val="center"/>
          </w:tcPr>
          <w:p w14:paraId="23975C5A">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163.57</w:t>
            </w:r>
          </w:p>
        </w:tc>
      </w:tr>
      <w:tr w14:paraId="2FA6C60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5EB6B735">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9</w:t>
            </w:r>
          </w:p>
        </w:tc>
        <w:tc>
          <w:tcPr>
            <w:tcW w:w="1447" w:type="dxa"/>
            <w:tcBorders>
              <w:top w:val="nil"/>
              <w:bottom w:val="nil"/>
            </w:tcBorders>
            <w:vAlign w:val="center"/>
          </w:tcPr>
          <w:p w14:paraId="40ABF6C4">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3(6:1)</w:t>
            </w:r>
          </w:p>
        </w:tc>
        <w:tc>
          <w:tcPr>
            <w:tcW w:w="1438" w:type="dxa"/>
            <w:tcBorders>
              <w:top w:val="nil"/>
              <w:bottom w:val="nil"/>
            </w:tcBorders>
            <w:vAlign w:val="center"/>
          </w:tcPr>
          <w:p w14:paraId="62EBA29B">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1(0.5%)</w:t>
            </w:r>
          </w:p>
        </w:tc>
        <w:tc>
          <w:tcPr>
            <w:tcW w:w="1359" w:type="dxa"/>
            <w:tcBorders>
              <w:top w:val="nil"/>
              <w:bottom w:val="nil"/>
            </w:tcBorders>
            <w:vAlign w:val="center"/>
          </w:tcPr>
          <w:p w14:paraId="38E86EB6">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3(6:1)</w:t>
            </w:r>
          </w:p>
        </w:tc>
        <w:tc>
          <w:tcPr>
            <w:tcW w:w="1491" w:type="dxa"/>
            <w:tcBorders>
              <w:top w:val="nil"/>
              <w:bottom w:val="nil"/>
            </w:tcBorders>
            <w:vAlign w:val="center"/>
          </w:tcPr>
          <w:p w14:paraId="2AB47D55">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4(0.7%)</w:t>
            </w:r>
          </w:p>
        </w:tc>
        <w:tc>
          <w:tcPr>
            <w:tcW w:w="856" w:type="dxa"/>
            <w:tcBorders>
              <w:top w:val="nil"/>
              <w:bottom w:val="nil"/>
            </w:tcBorders>
            <w:vAlign w:val="center"/>
          </w:tcPr>
          <w:p w14:paraId="2BD6FFAD">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2</w:t>
            </w:r>
          </w:p>
        </w:tc>
        <w:tc>
          <w:tcPr>
            <w:tcW w:w="1544" w:type="dxa"/>
            <w:tcBorders>
              <w:top w:val="nil"/>
              <w:bottom w:val="nil"/>
            </w:tcBorders>
            <w:vAlign w:val="center"/>
          </w:tcPr>
          <w:p w14:paraId="662A83DD">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36.39±1.92</w:t>
            </w:r>
          </w:p>
        </w:tc>
        <w:tc>
          <w:tcPr>
            <w:tcW w:w="1544" w:type="dxa"/>
            <w:tcBorders>
              <w:top w:val="nil"/>
              <w:bottom w:val="nil"/>
            </w:tcBorders>
            <w:vAlign w:val="center"/>
          </w:tcPr>
          <w:p w14:paraId="6C027EC9">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76</w:t>
            </w:r>
          </w:p>
        </w:tc>
      </w:tr>
      <w:tr w14:paraId="60B47B7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4AD1F7B5">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10</w:t>
            </w:r>
          </w:p>
        </w:tc>
        <w:tc>
          <w:tcPr>
            <w:tcW w:w="1447" w:type="dxa"/>
            <w:tcBorders>
              <w:top w:val="nil"/>
              <w:bottom w:val="nil"/>
            </w:tcBorders>
            <w:vAlign w:val="center"/>
          </w:tcPr>
          <w:p w14:paraId="6E03BE1D">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3(6:1)</w:t>
            </w:r>
          </w:p>
        </w:tc>
        <w:tc>
          <w:tcPr>
            <w:tcW w:w="1438" w:type="dxa"/>
            <w:tcBorders>
              <w:top w:val="nil"/>
              <w:bottom w:val="nil"/>
            </w:tcBorders>
            <w:vAlign w:val="center"/>
          </w:tcPr>
          <w:p w14:paraId="4284818A">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2(1.0%)</w:t>
            </w:r>
          </w:p>
        </w:tc>
        <w:tc>
          <w:tcPr>
            <w:tcW w:w="1359" w:type="dxa"/>
            <w:tcBorders>
              <w:top w:val="nil"/>
              <w:bottom w:val="nil"/>
            </w:tcBorders>
            <w:vAlign w:val="center"/>
          </w:tcPr>
          <w:p w14:paraId="1B870175">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4(8:1)</w:t>
            </w:r>
          </w:p>
        </w:tc>
        <w:tc>
          <w:tcPr>
            <w:tcW w:w="1491" w:type="dxa"/>
            <w:tcBorders>
              <w:top w:val="nil"/>
              <w:bottom w:val="nil"/>
            </w:tcBorders>
            <w:vAlign w:val="center"/>
          </w:tcPr>
          <w:p w14:paraId="62FAC751">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3(0.5%)</w:t>
            </w:r>
          </w:p>
        </w:tc>
        <w:tc>
          <w:tcPr>
            <w:tcW w:w="856" w:type="dxa"/>
            <w:tcBorders>
              <w:top w:val="nil"/>
              <w:bottom w:val="nil"/>
            </w:tcBorders>
            <w:vAlign w:val="center"/>
          </w:tcPr>
          <w:p w14:paraId="777CEF7A">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1</w:t>
            </w:r>
          </w:p>
        </w:tc>
        <w:tc>
          <w:tcPr>
            <w:tcW w:w="1544" w:type="dxa"/>
            <w:tcBorders>
              <w:top w:val="nil"/>
              <w:bottom w:val="nil"/>
            </w:tcBorders>
            <w:vAlign w:val="center"/>
          </w:tcPr>
          <w:p w14:paraId="53B47E79">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72.92±1.35</w:t>
            </w:r>
          </w:p>
        </w:tc>
        <w:tc>
          <w:tcPr>
            <w:tcW w:w="1544" w:type="dxa"/>
            <w:tcBorders>
              <w:top w:val="nil"/>
              <w:bottom w:val="nil"/>
            </w:tcBorders>
            <w:vAlign w:val="center"/>
          </w:tcPr>
          <w:p w14:paraId="5C0AA5F8">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108</w:t>
            </w:r>
          </w:p>
        </w:tc>
      </w:tr>
      <w:tr w14:paraId="108D24D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3ECE7BBB">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11</w:t>
            </w:r>
          </w:p>
        </w:tc>
        <w:tc>
          <w:tcPr>
            <w:tcW w:w="1447" w:type="dxa"/>
            <w:tcBorders>
              <w:top w:val="nil"/>
              <w:bottom w:val="nil"/>
            </w:tcBorders>
            <w:vAlign w:val="center"/>
          </w:tcPr>
          <w:p w14:paraId="6649D211">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3(6:1)</w:t>
            </w:r>
          </w:p>
        </w:tc>
        <w:tc>
          <w:tcPr>
            <w:tcW w:w="1438" w:type="dxa"/>
            <w:tcBorders>
              <w:top w:val="nil"/>
              <w:bottom w:val="nil"/>
            </w:tcBorders>
            <w:vAlign w:val="center"/>
          </w:tcPr>
          <w:p w14:paraId="283D84BD">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3(1.5%)</w:t>
            </w:r>
          </w:p>
        </w:tc>
        <w:tc>
          <w:tcPr>
            <w:tcW w:w="1359" w:type="dxa"/>
            <w:tcBorders>
              <w:top w:val="nil"/>
              <w:bottom w:val="nil"/>
            </w:tcBorders>
            <w:vAlign w:val="center"/>
          </w:tcPr>
          <w:p w14:paraId="2D8577CD">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1(2:1)</w:t>
            </w:r>
          </w:p>
        </w:tc>
        <w:tc>
          <w:tcPr>
            <w:tcW w:w="1491" w:type="dxa"/>
            <w:tcBorders>
              <w:top w:val="nil"/>
              <w:bottom w:val="nil"/>
            </w:tcBorders>
            <w:vAlign w:val="center"/>
          </w:tcPr>
          <w:p w14:paraId="35DC84AE">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2(0.3%)</w:t>
            </w:r>
          </w:p>
        </w:tc>
        <w:tc>
          <w:tcPr>
            <w:tcW w:w="856" w:type="dxa"/>
            <w:tcBorders>
              <w:top w:val="nil"/>
              <w:bottom w:val="nil"/>
            </w:tcBorders>
            <w:vAlign w:val="center"/>
          </w:tcPr>
          <w:p w14:paraId="7C59424D">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4</w:t>
            </w:r>
          </w:p>
        </w:tc>
        <w:tc>
          <w:tcPr>
            <w:tcW w:w="1544" w:type="dxa"/>
            <w:tcBorders>
              <w:top w:val="nil"/>
              <w:bottom w:val="nil"/>
            </w:tcBorders>
            <w:vAlign w:val="center"/>
          </w:tcPr>
          <w:p w14:paraId="35B22C0B">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50.10±1.56</w:t>
            </w:r>
          </w:p>
        </w:tc>
        <w:tc>
          <w:tcPr>
            <w:tcW w:w="1544" w:type="dxa"/>
            <w:tcBorders>
              <w:top w:val="nil"/>
              <w:bottom w:val="nil"/>
            </w:tcBorders>
            <w:vAlign w:val="center"/>
          </w:tcPr>
          <w:p w14:paraId="4C65DAAD">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264.25</w:t>
            </w:r>
          </w:p>
        </w:tc>
      </w:tr>
      <w:tr w14:paraId="34D61DE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7E9E85E5">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12</w:t>
            </w:r>
          </w:p>
        </w:tc>
        <w:tc>
          <w:tcPr>
            <w:tcW w:w="1447" w:type="dxa"/>
            <w:tcBorders>
              <w:top w:val="nil"/>
              <w:bottom w:val="nil"/>
            </w:tcBorders>
            <w:vAlign w:val="center"/>
          </w:tcPr>
          <w:p w14:paraId="0F32949E">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3(6:1)</w:t>
            </w:r>
          </w:p>
        </w:tc>
        <w:tc>
          <w:tcPr>
            <w:tcW w:w="1438" w:type="dxa"/>
            <w:tcBorders>
              <w:top w:val="nil"/>
              <w:bottom w:val="nil"/>
            </w:tcBorders>
            <w:vAlign w:val="center"/>
          </w:tcPr>
          <w:p w14:paraId="2AA93FE6">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4(2.0%)</w:t>
            </w:r>
          </w:p>
        </w:tc>
        <w:tc>
          <w:tcPr>
            <w:tcW w:w="1359" w:type="dxa"/>
            <w:tcBorders>
              <w:top w:val="nil"/>
              <w:bottom w:val="nil"/>
            </w:tcBorders>
            <w:vAlign w:val="center"/>
          </w:tcPr>
          <w:p w14:paraId="3F31C8AE">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2(4:1)</w:t>
            </w:r>
          </w:p>
        </w:tc>
        <w:tc>
          <w:tcPr>
            <w:tcW w:w="1491" w:type="dxa"/>
            <w:tcBorders>
              <w:top w:val="nil"/>
              <w:bottom w:val="nil"/>
            </w:tcBorders>
            <w:vAlign w:val="center"/>
          </w:tcPr>
          <w:p w14:paraId="58109F40">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1(0.1%)</w:t>
            </w:r>
          </w:p>
        </w:tc>
        <w:tc>
          <w:tcPr>
            <w:tcW w:w="856" w:type="dxa"/>
            <w:tcBorders>
              <w:top w:val="nil"/>
              <w:bottom w:val="nil"/>
            </w:tcBorders>
            <w:vAlign w:val="center"/>
          </w:tcPr>
          <w:p w14:paraId="119127E0">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3</w:t>
            </w:r>
          </w:p>
        </w:tc>
        <w:tc>
          <w:tcPr>
            <w:tcW w:w="1544" w:type="dxa"/>
            <w:tcBorders>
              <w:top w:val="nil"/>
              <w:bottom w:val="nil"/>
            </w:tcBorders>
            <w:vAlign w:val="center"/>
          </w:tcPr>
          <w:p w14:paraId="2D92B419">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67.38±2.75</w:t>
            </w:r>
          </w:p>
        </w:tc>
        <w:tc>
          <w:tcPr>
            <w:tcW w:w="1544" w:type="dxa"/>
            <w:tcBorders>
              <w:top w:val="nil"/>
              <w:bottom w:val="nil"/>
            </w:tcBorders>
            <w:vAlign w:val="center"/>
          </w:tcPr>
          <w:p w14:paraId="119737E6">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183.5</w:t>
            </w:r>
          </w:p>
        </w:tc>
      </w:tr>
      <w:tr w14:paraId="1AB42B6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1DEB7E24">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13</w:t>
            </w:r>
          </w:p>
        </w:tc>
        <w:tc>
          <w:tcPr>
            <w:tcW w:w="1447" w:type="dxa"/>
            <w:tcBorders>
              <w:top w:val="nil"/>
              <w:bottom w:val="nil"/>
            </w:tcBorders>
            <w:vAlign w:val="center"/>
          </w:tcPr>
          <w:p w14:paraId="461345D9">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4(8:1)</w:t>
            </w:r>
          </w:p>
        </w:tc>
        <w:tc>
          <w:tcPr>
            <w:tcW w:w="1438" w:type="dxa"/>
            <w:tcBorders>
              <w:top w:val="nil"/>
              <w:bottom w:val="nil"/>
            </w:tcBorders>
            <w:vAlign w:val="center"/>
          </w:tcPr>
          <w:p w14:paraId="40ED255C">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1(0.5%)</w:t>
            </w:r>
          </w:p>
        </w:tc>
        <w:tc>
          <w:tcPr>
            <w:tcW w:w="1359" w:type="dxa"/>
            <w:tcBorders>
              <w:top w:val="nil"/>
              <w:bottom w:val="nil"/>
            </w:tcBorders>
            <w:vAlign w:val="center"/>
          </w:tcPr>
          <w:p w14:paraId="7BA2D794">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4(8:1)</w:t>
            </w:r>
          </w:p>
        </w:tc>
        <w:tc>
          <w:tcPr>
            <w:tcW w:w="1491" w:type="dxa"/>
            <w:tcBorders>
              <w:top w:val="nil"/>
              <w:bottom w:val="nil"/>
            </w:tcBorders>
            <w:vAlign w:val="center"/>
          </w:tcPr>
          <w:p w14:paraId="612603F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2(0.3%)</w:t>
            </w:r>
          </w:p>
        </w:tc>
        <w:tc>
          <w:tcPr>
            <w:tcW w:w="856" w:type="dxa"/>
            <w:tcBorders>
              <w:top w:val="nil"/>
              <w:bottom w:val="nil"/>
            </w:tcBorders>
            <w:vAlign w:val="center"/>
          </w:tcPr>
          <w:p w14:paraId="1BA2B2D5">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3</w:t>
            </w:r>
          </w:p>
        </w:tc>
        <w:tc>
          <w:tcPr>
            <w:tcW w:w="1544" w:type="dxa"/>
            <w:tcBorders>
              <w:top w:val="nil"/>
              <w:bottom w:val="nil"/>
            </w:tcBorders>
            <w:vAlign w:val="center"/>
          </w:tcPr>
          <w:p w14:paraId="52B93EC6">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47.37±5.51</w:t>
            </w:r>
          </w:p>
        </w:tc>
        <w:tc>
          <w:tcPr>
            <w:tcW w:w="1544" w:type="dxa"/>
            <w:tcBorders>
              <w:top w:val="nil"/>
              <w:bottom w:val="nil"/>
            </w:tcBorders>
            <w:vAlign w:val="center"/>
          </w:tcPr>
          <w:p w14:paraId="31E68C20">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64.5</w:t>
            </w:r>
          </w:p>
        </w:tc>
      </w:tr>
      <w:tr w14:paraId="3C5D9FA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33C61E99">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14</w:t>
            </w:r>
          </w:p>
        </w:tc>
        <w:tc>
          <w:tcPr>
            <w:tcW w:w="1447" w:type="dxa"/>
            <w:tcBorders>
              <w:top w:val="nil"/>
              <w:bottom w:val="nil"/>
            </w:tcBorders>
            <w:vAlign w:val="center"/>
          </w:tcPr>
          <w:p w14:paraId="7F6E6580">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4(8:1)</w:t>
            </w:r>
          </w:p>
        </w:tc>
        <w:tc>
          <w:tcPr>
            <w:tcW w:w="1438" w:type="dxa"/>
            <w:tcBorders>
              <w:top w:val="nil"/>
              <w:bottom w:val="nil"/>
            </w:tcBorders>
            <w:vAlign w:val="center"/>
          </w:tcPr>
          <w:p w14:paraId="40DDE15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2(1.0%)</w:t>
            </w:r>
          </w:p>
        </w:tc>
        <w:tc>
          <w:tcPr>
            <w:tcW w:w="1359" w:type="dxa"/>
            <w:tcBorders>
              <w:top w:val="nil"/>
              <w:bottom w:val="nil"/>
            </w:tcBorders>
            <w:vAlign w:val="center"/>
          </w:tcPr>
          <w:p w14:paraId="63D73015">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3(6:1)</w:t>
            </w:r>
          </w:p>
        </w:tc>
        <w:tc>
          <w:tcPr>
            <w:tcW w:w="1491" w:type="dxa"/>
            <w:tcBorders>
              <w:top w:val="nil"/>
              <w:bottom w:val="nil"/>
            </w:tcBorders>
            <w:vAlign w:val="center"/>
          </w:tcPr>
          <w:p w14:paraId="0AAC789F">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1(0.1%)</w:t>
            </w:r>
          </w:p>
        </w:tc>
        <w:tc>
          <w:tcPr>
            <w:tcW w:w="856" w:type="dxa"/>
            <w:tcBorders>
              <w:top w:val="nil"/>
              <w:bottom w:val="nil"/>
            </w:tcBorders>
            <w:vAlign w:val="center"/>
          </w:tcPr>
          <w:p w14:paraId="46F98B2B">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4</w:t>
            </w:r>
          </w:p>
        </w:tc>
        <w:tc>
          <w:tcPr>
            <w:tcW w:w="1544" w:type="dxa"/>
            <w:tcBorders>
              <w:top w:val="nil"/>
              <w:bottom w:val="nil"/>
            </w:tcBorders>
            <w:vAlign w:val="center"/>
          </w:tcPr>
          <w:p w14:paraId="67F7C9A0">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68.04±5.94</w:t>
            </w:r>
          </w:p>
        </w:tc>
        <w:tc>
          <w:tcPr>
            <w:tcW w:w="1544" w:type="dxa"/>
            <w:tcBorders>
              <w:top w:val="nil"/>
              <w:bottom w:val="nil"/>
            </w:tcBorders>
            <w:vAlign w:val="center"/>
          </w:tcPr>
          <w:p w14:paraId="78D70E6E">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126</w:t>
            </w:r>
          </w:p>
        </w:tc>
      </w:tr>
      <w:tr w14:paraId="263CF82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nil"/>
            </w:tcBorders>
          </w:tcPr>
          <w:p w14:paraId="605E9D82">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15</w:t>
            </w:r>
          </w:p>
        </w:tc>
        <w:tc>
          <w:tcPr>
            <w:tcW w:w="1447" w:type="dxa"/>
            <w:tcBorders>
              <w:top w:val="nil"/>
              <w:bottom w:val="nil"/>
            </w:tcBorders>
            <w:vAlign w:val="center"/>
          </w:tcPr>
          <w:p w14:paraId="26E06DA2">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4(8:1)</w:t>
            </w:r>
          </w:p>
        </w:tc>
        <w:tc>
          <w:tcPr>
            <w:tcW w:w="1438" w:type="dxa"/>
            <w:tcBorders>
              <w:top w:val="nil"/>
              <w:bottom w:val="nil"/>
            </w:tcBorders>
            <w:vAlign w:val="center"/>
          </w:tcPr>
          <w:p w14:paraId="5521AF0B">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3(1.5%)</w:t>
            </w:r>
          </w:p>
        </w:tc>
        <w:tc>
          <w:tcPr>
            <w:tcW w:w="1359" w:type="dxa"/>
            <w:tcBorders>
              <w:top w:val="nil"/>
              <w:bottom w:val="nil"/>
            </w:tcBorders>
            <w:vAlign w:val="center"/>
          </w:tcPr>
          <w:p w14:paraId="7CDB8163">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2(4:1)</w:t>
            </w:r>
          </w:p>
        </w:tc>
        <w:tc>
          <w:tcPr>
            <w:tcW w:w="1491" w:type="dxa"/>
            <w:tcBorders>
              <w:top w:val="nil"/>
              <w:bottom w:val="nil"/>
            </w:tcBorders>
            <w:vAlign w:val="center"/>
          </w:tcPr>
          <w:p w14:paraId="448E9961">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4(0.7%)</w:t>
            </w:r>
          </w:p>
        </w:tc>
        <w:tc>
          <w:tcPr>
            <w:tcW w:w="856" w:type="dxa"/>
            <w:tcBorders>
              <w:top w:val="nil"/>
              <w:bottom w:val="nil"/>
            </w:tcBorders>
            <w:vAlign w:val="center"/>
          </w:tcPr>
          <w:p w14:paraId="5D7F93AF">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1</w:t>
            </w:r>
          </w:p>
        </w:tc>
        <w:tc>
          <w:tcPr>
            <w:tcW w:w="1544" w:type="dxa"/>
            <w:tcBorders>
              <w:top w:val="nil"/>
              <w:bottom w:val="nil"/>
            </w:tcBorders>
            <w:vAlign w:val="center"/>
          </w:tcPr>
          <w:p w14:paraId="41A1D3C2">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40.39±3.30</w:t>
            </w:r>
          </w:p>
        </w:tc>
        <w:tc>
          <w:tcPr>
            <w:tcW w:w="1544" w:type="dxa"/>
            <w:tcBorders>
              <w:top w:val="nil"/>
              <w:bottom w:val="nil"/>
            </w:tcBorders>
            <w:vAlign w:val="center"/>
          </w:tcPr>
          <w:p w14:paraId="02979FA1">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110</w:t>
            </w:r>
          </w:p>
        </w:tc>
      </w:tr>
      <w:tr w14:paraId="7D71F60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759" w:type="dxa"/>
            <w:tcBorders>
              <w:top w:val="nil"/>
              <w:bottom w:val="single" w:color="auto" w:sz="12" w:space="0"/>
            </w:tcBorders>
          </w:tcPr>
          <w:p w14:paraId="40FD557F">
            <w:pPr>
              <w:jc w:val="center"/>
              <w:rPr>
                <w:rFonts w:hint="default" w:ascii="Arial" w:hAnsi="Arial" w:cs="Arial" w:eastAsiaTheme="minorEastAsia"/>
                <w:b w:val="0"/>
                <w:bCs w:val="0"/>
                <w:sz w:val="20"/>
                <w:szCs w:val="20"/>
                <w:vertAlign w:val="baseline"/>
                <w:lang w:val="en-US" w:eastAsia="zh-CN"/>
              </w:rPr>
            </w:pPr>
            <w:r>
              <w:rPr>
                <w:rFonts w:hint="default" w:ascii="Arial" w:hAnsi="Arial" w:cs="Arial"/>
                <w:b w:val="0"/>
                <w:bCs w:val="0"/>
                <w:sz w:val="20"/>
                <w:szCs w:val="20"/>
                <w:vertAlign w:val="baseline"/>
                <w:lang w:val="en-US" w:eastAsia="zh-CN"/>
              </w:rPr>
              <w:t>16</w:t>
            </w:r>
          </w:p>
        </w:tc>
        <w:tc>
          <w:tcPr>
            <w:tcW w:w="1447" w:type="dxa"/>
            <w:tcBorders>
              <w:top w:val="nil"/>
              <w:bottom w:val="single" w:color="auto" w:sz="12" w:space="0"/>
            </w:tcBorders>
            <w:vAlign w:val="center"/>
          </w:tcPr>
          <w:p w14:paraId="260FD220">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4(8:1)</w:t>
            </w:r>
          </w:p>
        </w:tc>
        <w:tc>
          <w:tcPr>
            <w:tcW w:w="1438" w:type="dxa"/>
            <w:tcBorders>
              <w:top w:val="nil"/>
              <w:bottom w:val="single" w:color="auto" w:sz="12" w:space="0"/>
            </w:tcBorders>
            <w:vAlign w:val="center"/>
          </w:tcPr>
          <w:p w14:paraId="5D94DB84">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4(2.0%)</w:t>
            </w:r>
          </w:p>
        </w:tc>
        <w:tc>
          <w:tcPr>
            <w:tcW w:w="1359" w:type="dxa"/>
            <w:tcBorders>
              <w:top w:val="nil"/>
              <w:bottom w:val="single" w:color="auto" w:sz="12" w:space="0"/>
            </w:tcBorders>
            <w:vAlign w:val="center"/>
          </w:tcPr>
          <w:p w14:paraId="2EDED8F7">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1(2:1)</w:t>
            </w:r>
          </w:p>
        </w:tc>
        <w:tc>
          <w:tcPr>
            <w:tcW w:w="1491" w:type="dxa"/>
            <w:tcBorders>
              <w:top w:val="nil"/>
              <w:bottom w:val="single" w:color="auto" w:sz="12" w:space="0"/>
            </w:tcBorders>
            <w:vAlign w:val="center"/>
          </w:tcPr>
          <w:p w14:paraId="34F5689F">
            <w:pPr>
              <w:keepNext w:val="0"/>
              <w:keepLines w:val="0"/>
              <w:widowControl/>
              <w:suppressLineNumbers w:val="0"/>
              <w:jc w:val="center"/>
              <w:textAlignment w:val="center"/>
              <w:rPr>
                <w:rFonts w:hint="default" w:ascii="Arial" w:hAnsi="Arial" w:cs="Arial"/>
                <w:b w:val="0"/>
                <w:bCs w:val="0"/>
                <w:sz w:val="20"/>
                <w:szCs w:val="20"/>
                <w:vertAlign w:val="baseline"/>
                <w:lang w:val="en-US"/>
              </w:rPr>
            </w:pPr>
            <w:r>
              <w:rPr>
                <w:rFonts w:hint="default" w:ascii="Arial" w:hAnsi="Arial" w:eastAsia="宋体" w:cs="Arial"/>
                <w:b w:val="0"/>
                <w:bCs w:val="0"/>
                <w:i w:val="0"/>
                <w:iCs w:val="0"/>
                <w:color w:val="000000"/>
                <w:kern w:val="0"/>
                <w:sz w:val="20"/>
                <w:szCs w:val="20"/>
                <w:u w:val="none"/>
                <w:lang w:val="en-US" w:eastAsia="zh-CN" w:bidi="ar"/>
              </w:rPr>
              <w:t>3(0.5%)</w:t>
            </w:r>
          </w:p>
        </w:tc>
        <w:tc>
          <w:tcPr>
            <w:tcW w:w="856" w:type="dxa"/>
            <w:tcBorders>
              <w:top w:val="nil"/>
              <w:bottom w:val="single" w:color="auto" w:sz="12" w:space="0"/>
            </w:tcBorders>
            <w:vAlign w:val="center"/>
          </w:tcPr>
          <w:p w14:paraId="2B455D2A">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2</w:t>
            </w:r>
          </w:p>
        </w:tc>
        <w:tc>
          <w:tcPr>
            <w:tcW w:w="1544" w:type="dxa"/>
            <w:tcBorders>
              <w:top w:val="nil"/>
              <w:bottom w:val="single" w:color="auto" w:sz="12" w:space="0"/>
            </w:tcBorders>
            <w:vAlign w:val="center"/>
          </w:tcPr>
          <w:p w14:paraId="610D29E2">
            <w:pPr>
              <w:keepNext w:val="0"/>
              <w:keepLines w:val="0"/>
              <w:widowControl/>
              <w:suppressLineNumbers w:val="0"/>
              <w:jc w:val="center"/>
              <w:textAlignment w:val="center"/>
              <w:rPr>
                <w:rFonts w:hint="default" w:ascii="Arial" w:hAnsi="Arial" w:cs="Arial"/>
                <w:b w:val="0"/>
                <w:bCs w:val="0"/>
                <w:sz w:val="20"/>
                <w:szCs w:val="20"/>
                <w:vertAlign w:val="baseline"/>
              </w:rPr>
            </w:pPr>
            <w:r>
              <w:rPr>
                <w:rFonts w:hint="default" w:ascii="Arial" w:hAnsi="Arial" w:eastAsia="宋体" w:cs="Arial"/>
                <w:b w:val="0"/>
                <w:bCs w:val="0"/>
                <w:i w:val="0"/>
                <w:iCs w:val="0"/>
                <w:color w:val="000000"/>
                <w:kern w:val="0"/>
                <w:sz w:val="20"/>
                <w:szCs w:val="20"/>
                <w:u w:val="none"/>
                <w:lang w:val="en-US" w:eastAsia="zh-CN" w:bidi="ar"/>
              </w:rPr>
              <w:t>42.69±0.28</w:t>
            </w:r>
          </w:p>
        </w:tc>
        <w:tc>
          <w:tcPr>
            <w:tcW w:w="1544" w:type="dxa"/>
            <w:tcBorders>
              <w:top w:val="nil"/>
              <w:bottom w:val="single" w:color="auto" w:sz="12" w:space="0"/>
            </w:tcBorders>
            <w:vAlign w:val="center"/>
          </w:tcPr>
          <w:p w14:paraId="6D0B59CA">
            <w:pPr>
              <w:keepNext w:val="0"/>
              <w:keepLines w:val="0"/>
              <w:widowControl/>
              <w:suppressLineNumbers w:val="0"/>
              <w:jc w:val="center"/>
              <w:textAlignment w:val="center"/>
              <w:rPr>
                <w:rFonts w:hint="default" w:ascii="Arial" w:hAnsi="Arial" w:eastAsia="宋体" w:cs="Arial"/>
                <w:b w:val="0"/>
                <w:bCs w:val="0"/>
                <w:i w:val="0"/>
                <w:iCs w:val="0"/>
                <w:color w:val="000000"/>
                <w:kern w:val="0"/>
                <w:sz w:val="20"/>
                <w:szCs w:val="20"/>
                <w:u w:val="none"/>
                <w:lang w:val="en-US" w:eastAsia="zh-CN" w:bidi="ar"/>
              </w:rPr>
            </w:pPr>
            <w:r>
              <w:rPr>
                <w:rFonts w:hint="default" w:ascii="Arial" w:hAnsi="Arial" w:eastAsia="宋体" w:cs="Arial"/>
                <w:b w:val="0"/>
                <w:bCs w:val="0"/>
                <w:i w:val="0"/>
                <w:iCs w:val="0"/>
                <w:color w:val="000000"/>
                <w:kern w:val="0"/>
                <w:sz w:val="20"/>
                <w:szCs w:val="20"/>
                <w:u w:val="none"/>
                <w:lang w:val="en-US" w:eastAsia="zh-CN" w:bidi="ar"/>
              </w:rPr>
              <w:t>232.5</w:t>
            </w:r>
          </w:p>
        </w:tc>
      </w:tr>
    </w:tbl>
    <w:p w14:paraId="674539E7">
      <w:pPr>
        <w:rPr>
          <w:rFonts w:hint="default" w:ascii="Times New Roman" w:hAnsi="Times New Roman" w:cs="Times New Roman"/>
          <w:lang w:val="en-US" w:eastAsia="zh-CN"/>
        </w:rPr>
      </w:pPr>
    </w:p>
    <w:p w14:paraId="2D9FC560">
      <w:pPr>
        <w:rPr>
          <w:rFonts w:hint="default" w:ascii="Times New Roman" w:hAnsi="Times New Roman" w:cs="Times New Roman"/>
          <w:lang w:val="en-US" w:eastAsia="zh-CN"/>
        </w:rPr>
      </w:pPr>
    </w:p>
    <w:p w14:paraId="1B6D221E">
      <w:pPr>
        <w:rPr>
          <w:rFonts w:hint="default" w:ascii="Times New Roman" w:hAnsi="Times New Roman" w:cs="Times New Roman"/>
          <w:lang w:val="en-US" w:eastAsia="zh-CN"/>
        </w:rPr>
      </w:pPr>
    </w:p>
    <w:p w14:paraId="244945C8">
      <w:pPr>
        <w:rPr>
          <w:rFonts w:hint="default" w:ascii="Times New Roman" w:hAnsi="Times New Roman" w:cs="Times New Roman"/>
          <w:lang w:val="en-US" w:eastAsia="zh-CN"/>
        </w:rPr>
      </w:pPr>
    </w:p>
    <w:p w14:paraId="1C12E5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25A9A59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5E111AB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5C1CA0A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08578E7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33DFF45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5F2002A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5115F4C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0B5AADF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330A768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1B45109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p>
    <w:p w14:paraId="6366673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r>
        <w:rPr>
          <w:rFonts w:hint="default" w:ascii="Arial" w:hAnsi="Arial" w:cs="Arial"/>
          <w:b w:val="0"/>
          <w:bCs w:val="0"/>
          <w:sz w:val="18"/>
          <w:szCs w:val="18"/>
          <w:lang w:val="en-US" w:eastAsia="zh-CN"/>
        </w:rPr>
        <w:t>Table S2  Range analysis of process factors in Taguchi L</w:t>
      </w:r>
      <w:r>
        <w:rPr>
          <w:rFonts w:hint="default" w:ascii="Arial" w:hAnsi="Arial" w:cs="Arial"/>
          <w:b w:val="0"/>
          <w:bCs w:val="0"/>
          <w:sz w:val="18"/>
          <w:szCs w:val="18"/>
          <w:vertAlign w:val="subscript"/>
          <w:lang w:val="en-US" w:eastAsia="zh-CN"/>
        </w:rPr>
        <w:t>16</w:t>
      </w:r>
      <w:r>
        <w:rPr>
          <w:rFonts w:hint="default" w:ascii="Arial" w:hAnsi="Arial" w:cs="Arial"/>
          <w:b w:val="0"/>
          <w:bCs w:val="0"/>
          <w:sz w:val="18"/>
          <w:szCs w:val="18"/>
          <w:lang w:val="en-US" w:eastAsia="zh-CN"/>
        </w:rPr>
        <w:t xml:space="preserve"> (4</w:t>
      </w:r>
      <w:r>
        <w:rPr>
          <w:rFonts w:hint="default" w:ascii="Arial" w:hAnsi="Arial" w:cs="Arial"/>
          <w:b w:val="0"/>
          <w:bCs w:val="0"/>
          <w:sz w:val="18"/>
          <w:szCs w:val="18"/>
          <w:vertAlign w:val="superscript"/>
          <w:lang w:val="en-US" w:eastAsia="zh-CN"/>
        </w:rPr>
        <w:t>5</w:t>
      </w:r>
      <w:r>
        <w:rPr>
          <w:rFonts w:hint="default" w:ascii="Arial" w:hAnsi="Arial" w:cs="Arial"/>
          <w:b w:val="0"/>
          <w:bCs w:val="0"/>
          <w:sz w:val="18"/>
          <w:szCs w:val="18"/>
          <w:lang w:val="en-US" w:eastAsia="zh-CN"/>
        </w:rPr>
        <w:t>) orthogonal array (effect on</w:t>
      </w:r>
      <w:r>
        <w:rPr>
          <w:rFonts w:hint="eastAsia" w:ascii="Arial" w:hAnsi="Arial" w:cs="Arial"/>
          <w:b w:val="0"/>
          <w:bCs w:val="0"/>
          <w:sz w:val="18"/>
          <w:szCs w:val="18"/>
          <w:lang w:val="en-US" w:eastAsia="zh-CN"/>
        </w:rPr>
        <w:t xml:space="preserve"> </w:t>
      </w:r>
      <w:r>
        <w:rPr>
          <w:rFonts w:hint="default" w:ascii="Arial" w:hAnsi="Arial" w:cs="Arial"/>
          <w:b w:val="0"/>
          <w:bCs w:val="0"/>
          <w:sz w:val="18"/>
          <w:szCs w:val="18"/>
          <w:lang w:val="en-US" w:eastAsia="zh-CN"/>
        </w:rPr>
        <w:t>encapsulation efficieny).</w:t>
      </w:r>
    </w:p>
    <w:tbl>
      <w:tblPr>
        <w:tblStyle w:val="5"/>
        <w:tblW w:w="89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774"/>
        <w:gridCol w:w="1509"/>
        <w:gridCol w:w="1711"/>
        <w:gridCol w:w="1456"/>
        <w:gridCol w:w="1456"/>
      </w:tblGrid>
      <w:tr w14:paraId="7A18E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6" w:type="dxa"/>
            <w:vMerge w:val="restart"/>
            <w:tcBorders>
              <w:top w:val="single" w:color="auto" w:sz="12" w:space="0"/>
              <w:left w:val="nil"/>
              <w:right w:val="nil"/>
            </w:tcBorders>
          </w:tcPr>
          <w:p w14:paraId="390CCDCA">
            <w:pPr>
              <w:jc w:val="left"/>
              <w:rPr>
                <w:rFonts w:hint="default" w:ascii="Arial" w:hAnsi="Arial" w:cs="Arial"/>
                <w:sz w:val="21"/>
                <w:szCs w:val="21"/>
                <w:vertAlign w:val="baseline"/>
              </w:rPr>
            </w:pPr>
          </w:p>
        </w:tc>
        <w:tc>
          <w:tcPr>
            <w:tcW w:w="1774" w:type="dxa"/>
            <w:tcBorders>
              <w:top w:val="single" w:color="auto" w:sz="12" w:space="0"/>
              <w:left w:val="nil"/>
              <w:right w:val="nil"/>
            </w:tcBorders>
          </w:tcPr>
          <w:p w14:paraId="2594923C">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A</w:t>
            </w:r>
          </w:p>
        </w:tc>
        <w:tc>
          <w:tcPr>
            <w:tcW w:w="1509" w:type="dxa"/>
            <w:tcBorders>
              <w:top w:val="single" w:color="auto" w:sz="12" w:space="0"/>
              <w:left w:val="nil"/>
              <w:right w:val="nil"/>
            </w:tcBorders>
          </w:tcPr>
          <w:p w14:paraId="5946677A">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B</w:t>
            </w:r>
          </w:p>
        </w:tc>
        <w:tc>
          <w:tcPr>
            <w:tcW w:w="1711" w:type="dxa"/>
            <w:tcBorders>
              <w:top w:val="single" w:color="auto" w:sz="12" w:space="0"/>
              <w:left w:val="nil"/>
              <w:right w:val="nil"/>
            </w:tcBorders>
          </w:tcPr>
          <w:p w14:paraId="1257616D">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C</w:t>
            </w:r>
          </w:p>
        </w:tc>
        <w:tc>
          <w:tcPr>
            <w:tcW w:w="1456" w:type="dxa"/>
            <w:tcBorders>
              <w:top w:val="single" w:color="auto" w:sz="12" w:space="0"/>
              <w:left w:val="nil"/>
              <w:right w:val="nil"/>
            </w:tcBorders>
          </w:tcPr>
          <w:p w14:paraId="4E830768">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D</w:t>
            </w:r>
          </w:p>
        </w:tc>
        <w:tc>
          <w:tcPr>
            <w:tcW w:w="1456" w:type="dxa"/>
            <w:tcBorders>
              <w:top w:val="single" w:color="auto" w:sz="12" w:space="0"/>
              <w:left w:val="nil"/>
              <w:right w:val="nil"/>
            </w:tcBorders>
          </w:tcPr>
          <w:p w14:paraId="4CED16B8">
            <w:pPr>
              <w:jc w:val="left"/>
              <w:rPr>
                <w:rFonts w:hint="default" w:ascii="Arial" w:hAnsi="Arial" w:cs="Arial"/>
                <w:sz w:val="21"/>
                <w:szCs w:val="21"/>
                <w:vertAlign w:val="baseline"/>
                <w:lang w:val="en-US" w:eastAsia="zh-CN"/>
              </w:rPr>
            </w:pPr>
            <w:r>
              <w:rPr>
                <w:rFonts w:hint="default" w:ascii="Arial" w:hAnsi="Arial" w:cs="Arial"/>
                <w:sz w:val="21"/>
                <w:szCs w:val="21"/>
                <w:vertAlign w:val="baseline"/>
                <w:lang w:val="en-US" w:eastAsia="zh-CN"/>
              </w:rPr>
              <w:t>E</w:t>
            </w:r>
          </w:p>
        </w:tc>
      </w:tr>
      <w:tr w14:paraId="72594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6" w:type="dxa"/>
            <w:vMerge w:val="continue"/>
            <w:tcBorders>
              <w:left w:val="nil"/>
              <w:right w:val="nil"/>
            </w:tcBorders>
          </w:tcPr>
          <w:p w14:paraId="33B54B8F">
            <w:pPr>
              <w:jc w:val="left"/>
              <w:rPr>
                <w:rFonts w:hint="default" w:ascii="Arial" w:hAnsi="Arial" w:cs="Arial"/>
                <w:sz w:val="21"/>
                <w:szCs w:val="21"/>
                <w:vertAlign w:val="baseline"/>
              </w:rPr>
            </w:pPr>
          </w:p>
        </w:tc>
        <w:tc>
          <w:tcPr>
            <w:tcW w:w="1774" w:type="dxa"/>
            <w:tcBorders>
              <w:left w:val="nil"/>
              <w:right w:val="nil"/>
            </w:tcBorders>
          </w:tcPr>
          <w:p w14:paraId="15329FCB">
            <w:pPr>
              <w:jc w:val="left"/>
              <w:rPr>
                <w:rFonts w:hint="default" w:ascii="Arial" w:hAnsi="Arial" w:cs="Arial"/>
                <w:sz w:val="21"/>
                <w:szCs w:val="21"/>
                <w:vertAlign w:val="baseline"/>
              </w:rPr>
            </w:pPr>
            <w:r>
              <w:rPr>
                <w:rFonts w:hint="default" w:ascii="Arial" w:hAnsi="Arial" w:cs="Arial"/>
                <w:b w:val="0"/>
                <w:bCs w:val="0"/>
                <w:sz w:val="21"/>
                <w:szCs w:val="21"/>
                <w:lang w:val="en-US" w:eastAsia="zh-CN"/>
              </w:rPr>
              <w:t>ratio of SA/γ-PGA</w:t>
            </w:r>
          </w:p>
        </w:tc>
        <w:tc>
          <w:tcPr>
            <w:tcW w:w="1509" w:type="dxa"/>
            <w:tcBorders>
              <w:left w:val="nil"/>
              <w:right w:val="nil"/>
            </w:tcBorders>
          </w:tcPr>
          <w:p w14:paraId="20B0C9F2">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rPr>
              <w:t xml:space="preserve">concentration of </w:t>
            </w:r>
            <w:r>
              <w:rPr>
                <w:rFonts w:hint="default" w:ascii="Arial" w:hAnsi="Arial" w:cs="Arial"/>
                <w:sz w:val="21"/>
                <w:szCs w:val="21"/>
                <w:vertAlign w:val="baseline"/>
                <w:lang w:val="en-US" w:eastAsia="zh-CN"/>
              </w:rPr>
              <w:t>CaCO</w:t>
            </w:r>
            <w:r>
              <w:rPr>
                <w:rFonts w:hint="default" w:ascii="Arial" w:hAnsi="Arial" w:cs="Arial"/>
                <w:sz w:val="21"/>
                <w:szCs w:val="21"/>
                <w:vertAlign w:val="subscript"/>
                <w:lang w:val="en-US" w:eastAsia="zh-CN"/>
              </w:rPr>
              <w:t>3</w:t>
            </w:r>
          </w:p>
        </w:tc>
        <w:tc>
          <w:tcPr>
            <w:tcW w:w="1711" w:type="dxa"/>
            <w:tcBorders>
              <w:left w:val="nil"/>
              <w:right w:val="nil"/>
            </w:tcBorders>
          </w:tcPr>
          <w:p w14:paraId="059DE208">
            <w:pPr>
              <w:jc w:val="left"/>
              <w:rPr>
                <w:rFonts w:hint="default" w:ascii="Arial" w:hAnsi="Arial" w:cs="Arial"/>
                <w:sz w:val="21"/>
                <w:szCs w:val="21"/>
                <w:vertAlign w:val="baseline"/>
              </w:rPr>
            </w:pPr>
            <w:r>
              <w:rPr>
                <w:rFonts w:hint="default" w:ascii="Arial" w:hAnsi="Arial" w:cs="Arial"/>
                <w:b w:val="0"/>
                <w:bCs w:val="0"/>
                <w:sz w:val="21"/>
                <w:szCs w:val="21"/>
                <w:vertAlign w:val="baseline"/>
                <w:lang w:val="en-US" w:eastAsia="zh-CN"/>
              </w:rPr>
              <w:t xml:space="preserve">ratio of </w:t>
            </w:r>
            <w:r>
              <w:rPr>
                <w:rFonts w:hint="default" w:ascii="Arial" w:hAnsi="Arial" w:cs="Arial"/>
                <w:b w:val="0"/>
                <w:bCs w:val="0"/>
                <w:sz w:val="21"/>
                <w:szCs w:val="21"/>
                <w:lang w:val="en-US" w:eastAsia="zh-CN"/>
              </w:rPr>
              <w:t>polymers /bacterium</w:t>
            </w:r>
          </w:p>
        </w:tc>
        <w:tc>
          <w:tcPr>
            <w:tcW w:w="1456" w:type="dxa"/>
            <w:tcBorders>
              <w:left w:val="nil"/>
              <w:right w:val="nil"/>
            </w:tcBorders>
          </w:tcPr>
          <w:p w14:paraId="6362CE1E">
            <w:pPr>
              <w:jc w:val="left"/>
              <w:rPr>
                <w:rFonts w:hint="default" w:ascii="Arial" w:hAnsi="Arial" w:cs="Arial"/>
                <w:sz w:val="21"/>
                <w:szCs w:val="21"/>
                <w:vertAlign w:val="baseline"/>
              </w:rPr>
            </w:pPr>
            <w:r>
              <w:rPr>
                <w:rFonts w:hint="default" w:ascii="Arial" w:hAnsi="Arial" w:cs="Arial"/>
                <w:b w:val="0"/>
                <w:bCs w:val="0"/>
                <w:sz w:val="21"/>
                <w:szCs w:val="21"/>
                <w:lang w:val="en-US" w:eastAsia="zh-CN"/>
              </w:rPr>
              <w:t>concentration of chitosan</w:t>
            </w:r>
          </w:p>
        </w:tc>
        <w:tc>
          <w:tcPr>
            <w:tcW w:w="1456" w:type="dxa"/>
            <w:tcBorders>
              <w:left w:val="nil"/>
              <w:right w:val="nil"/>
            </w:tcBorders>
          </w:tcPr>
          <w:p w14:paraId="6469B769">
            <w:pPr>
              <w:jc w:val="left"/>
              <w:rPr>
                <w:rFonts w:hint="default" w:ascii="Arial" w:hAnsi="Arial" w:cs="Arial"/>
                <w:b w:val="0"/>
                <w:bCs w:val="0"/>
                <w:sz w:val="21"/>
                <w:szCs w:val="21"/>
                <w:lang w:val="en-US" w:eastAsia="zh-CN"/>
              </w:rPr>
            </w:pPr>
            <w:r>
              <w:rPr>
                <w:rFonts w:hint="default" w:ascii="Arial" w:hAnsi="Arial" w:cs="Arial"/>
                <w:b w:val="0"/>
                <w:bCs w:val="0"/>
                <w:sz w:val="21"/>
                <w:szCs w:val="21"/>
                <w:lang w:val="en-US" w:eastAsia="zh-CN"/>
              </w:rPr>
              <w:t>blank</w:t>
            </w:r>
          </w:p>
        </w:tc>
      </w:tr>
      <w:tr w14:paraId="4A3E2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left w:val="nil"/>
              <w:bottom w:val="nil"/>
              <w:right w:val="nil"/>
            </w:tcBorders>
          </w:tcPr>
          <w:p w14:paraId="651E5314">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K</w:t>
            </w:r>
            <w:r>
              <w:rPr>
                <w:rFonts w:hint="default" w:ascii="Arial" w:hAnsi="Arial" w:cs="Arial"/>
                <w:sz w:val="21"/>
                <w:szCs w:val="21"/>
                <w:vertAlign w:val="subscript"/>
                <w:lang w:val="en-US" w:eastAsia="zh-CN"/>
              </w:rPr>
              <w:t>1</w:t>
            </w:r>
          </w:p>
        </w:tc>
        <w:tc>
          <w:tcPr>
            <w:tcW w:w="1774" w:type="dxa"/>
            <w:tcBorders>
              <w:left w:val="nil"/>
              <w:bottom w:val="nil"/>
              <w:right w:val="nil"/>
            </w:tcBorders>
            <w:vAlign w:val="center"/>
          </w:tcPr>
          <w:p w14:paraId="5C6F8EAA">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223.26</w:t>
            </w:r>
          </w:p>
        </w:tc>
        <w:tc>
          <w:tcPr>
            <w:tcW w:w="1509" w:type="dxa"/>
            <w:tcBorders>
              <w:left w:val="nil"/>
              <w:bottom w:val="nil"/>
              <w:right w:val="nil"/>
            </w:tcBorders>
            <w:vAlign w:val="center"/>
          </w:tcPr>
          <w:p w14:paraId="445986C8">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164.47</w:t>
            </w:r>
          </w:p>
        </w:tc>
        <w:tc>
          <w:tcPr>
            <w:tcW w:w="1711" w:type="dxa"/>
            <w:tcBorders>
              <w:left w:val="nil"/>
              <w:bottom w:val="nil"/>
              <w:right w:val="nil"/>
            </w:tcBorders>
            <w:vAlign w:val="center"/>
          </w:tcPr>
          <w:p w14:paraId="4411817C">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156.32</w:t>
            </w:r>
          </w:p>
        </w:tc>
        <w:tc>
          <w:tcPr>
            <w:tcW w:w="1456" w:type="dxa"/>
            <w:tcBorders>
              <w:left w:val="nil"/>
              <w:bottom w:val="nil"/>
              <w:right w:val="nil"/>
            </w:tcBorders>
            <w:vAlign w:val="center"/>
          </w:tcPr>
          <w:p w14:paraId="39E12E73">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253.31</w:t>
            </w:r>
          </w:p>
        </w:tc>
        <w:tc>
          <w:tcPr>
            <w:tcW w:w="1456" w:type="dxa"/>
            <w:tcBorders>
              <w:left w:val="nil"/>
              <w:bottom w:val="nil"/>
              <w:right w:val="nil"/>
            </w:tcBorders>
            <w:vAlign w:val="center"/>
          </w:tcPr>
          <w:p w14:paraId="4B669996">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223.26</w:t>
            </w:r>
          </w:p>
        </w:tc>
      </w:tr>
      <w:tr w14:paraId="6F6F2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top w:val="nil"/>
              <w:left w:val="nil"/>
              <w:bottom w:val="nil"/>
              <w:right w:val="nil"/>
            </w:tcBorders>
          </w:tcPr>
          <w:p w14:paraId="660206EB">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K</w:t>
            </w:r>
            <w:r>
              <w:rPr>
                <w:rFonts w:hint="default" w:ascii="Arial" w:hAnsi="Arial" w:cs="Arial"/>
                <w:sz w:val="21"/>
                <w:szCs w:val="21"/>
                <w:vertAlign w:val="subscript"/>
                <w:lang w:val="en-US" w:eastAsia="zh-CN"/>
              </w:rPr>
              <w:t>2</w:t>
            </w:r>
          </w:p>
        </w:tc>
        <w:tc>
          <w:tcPr>
            <w:tcW w:w="1774" w:type="dxa"/>
            <w:tcBorders>
              <w:top w:val="nil"/>
              <w:left w:val="nil"/>
              <w:bottom w:val="nil"/>
              <w:right w:val="nil"/>
            </w:tcBorders>
            <w:vAlign w:val="center"/>
          </w:tcPr>
          <w:p w14:paraId="73E0CCE7">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256.98</w:t>
            </w:r>
          </w:p>
        </w:tc>
        <w:tc>
          <w:tcPr>
            <w:tcW w:w="1509" w:type="dxa"/>
            <w:tcBorders>
              <w:top w:val="nil"/>
              <w:left w:val="nil"/>
              <w:bottom w:val="nil"/>
              <w:right w:val="nil"/>
            </w:tcBorders>
            <w:vAlign w:val="center"/>
          </w:tcPr>
          <w:p w14:paraId="6C9A2206">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245.01</w:t>
            </w:r>
          </w:p>
        </w:tc>
        <w:tc>
          <w:tcPr>
            <w:tcW w:w="1711" w:type="dxa"/>
            <w:tcBorders>
              <w:top w:val="nil"/>
              <w:left w:val="nil"/>
              <w:bottom w:val="nil"/>
              <w:right w:val="nil"/>
            </w:tcBorders>
            <w:vAlign w:val="center"/>
          </w:tcPr>
          <w:p w14:paraId="3C9152DC">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229</w:t>
            </w:r>
          </w:p>
        </w:tc>
        <w:tc>
          <w:tcPr>
            <w:tcW w:w="1456" w:type="dxa"/>
            <w:tcBorders>
              <w:top w:val="nil"/>
              <w:left w:val="nil"/>
              <w:bottom w:val="nil"/>
              <w:right w:val="nil"/>
            </w:tcBorders>
            <w:vAlign w:val="center"/>
          </w:tcPr>
          <w:p w14:paraId="768D3333">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257.48</w:t>
            </w:r>
          </w:p>
        </w:tc>
        <w:tc>
          <w:tcPr>
            <w:tcW w:w="1456" w:type="dxa"/>
            <w:tcBorders>
              <w:top w:val="nil"/>
              <w:left w:val="nil"/>
              <w:bottom w:val="nil"/>
              <w:right w:val="nil"/>
            </w:tcBorders>
            <w:vAlign w:val="center"/>
          </w:tcPr>
          <w:p w14:paraId="64B10095">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256.98</w:t>
            </w:r>
          </w:p>
        </w:tc>
      </w:tr>
      <w:tr w14:paraId="66849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top w:val="nil"/>
              <w:left w:val="nil"/>
              <w:bottom w:val="nil"/>
              <w:right w:val="nil"/>
            </w:tcBorders>
          </w:tcPr>
          <w:p w14:paraId="3D18E46B">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K</w:t>
            </w:r>
            <w:r>
              <w:rPr>
                <w:rFonts w:hint="default" w:ascii="Arial" w:hAnsi="Arial" w:cs="Arial"/>
                <w:sz w:val="21"/>
                <w:szCs w:val="21"/>
                <w:vertAlign w:val="subscript"/>
                <w:lang w:val="en-US" w:eastAsia="zh-CN"/>
              </w:rPr>
              <w:t>3</w:t>
            </w:r>
          </w:p>
        </w:tc>
        <w:tc>
          <w:tcPr>
            <w:tcW w:w="1774" w:type="dxa"/>
            <w:tcBorders>
              <w:top w:val="nil"/>
              <w:left w:val="nil"/>
              <w:bottom w:val="nil"/>
              <w:right w:val="nil"/>
            </w:tcBorders>
            <w:vAlign w:val="center"/>
          </w:tcPr>
          <w:p w14:paraId="1DAB68A5">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226.8</w:t>
            </w:r>
          </w:p>
        </w:tc>
        <w:tc>
          <w:tcPr>
            <w:tcW w:w="1509" w:type="dxa"/>
            <w:tcBorders>
              <w:top w:val="nil"/>
              <w:left w:val="nil"/>
              <w:bottom w:val="nil"/>
              <w:right w:val="nil"/>
            </w:tcBorders>
            <w:vAlign w:val="center"/>
          </w:tcPr>
          <w:p w14:paraId="36F8194A">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255.38</w:t>
            </w:r>
          </w:p>
        </w:tc>
        <w:tc>
          <w:tcPr>
            <w:tcW w:w="1711" w:type="dxa"/>
            <w:tcBorders>
              <w:top w:val="nil"/>
              <w:left w:val="nil"/>
              <w:bottom w:val="nil"/>
              <w:right w:val="nil"/>
            </w:tcBorders>
            <w:vAlign w:val="center"/>
          </w:tcPr>
          <w:p w14:paraId="2AD28ED4">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270.91</w:t>
            </w:r>
          </w:p>
        </w:tc>
        <w:tc>
          <w:tcPr>
            <w:tcW w:w="1456" w:type="dxa"/>
            <w:tcBorders>
              <w:top w:val="nil"/>
              <w:left w:val="nil"/>
              <w:bottom w:val="nil"/>
              <w:right w:val="nil"/>
            </w:tcBorders>
            <w:vAlign w:val="center"/>
          </w:tcPr>
          <w:p w14:paraId="451B1609">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243.31</w:t>
            </w:r>
          </w:p>
        </w:tc>
        <w:tc>
          <w:tcPr>
            <w:tcW w:w="1456" w:type="dxa"/>
            <w:tcBorders>
              <w:top w:val="nil"/>
              <w:left w:val="nil"/>
              <w:bottom w:val="nil"/>
              <w:right w:val="nil"/>
            </w:tcBorders>
            <w:vAlign w:val="center"/>
          </w:tcPr>
          <w:p w14:paraId="07FF64BD">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226.8</w:t>
            </w:r>
          </w:p>
        </w:tc>
      </w:tr>
      <w:tr w14:paraId="2C3B4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top w:val="nil"/>
              <w:left w:val="nil"/>
              <w:bottom w:val="nil"/>
              <w:right w:val="nil"/>
            </w:tcBorders>
          </w:tcPr>
          <w:p w14:paraId="2A3CB612">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K</w:t>
            </w:r>
            <w:r>
              <w:rPr>
                <w:rFonts w:hint="default" w:ascii="Arial" w:hAnsi="Arial" w:cs="Arial"/>
                <w:sz w:val="21"/>
                <w:szCs w:val="21"/>
                <w:vertAlign w:val="subscript"/>
                <w:lang w:val="en-US" w:eastAsia="zh-CN"/>
              </w:rPr>
              <w:t>4</w:t>
            </w:r>
          </w:p>
        </w:tc>
        <w:tc>
          <w:tcPr>
            <w:tcW w:w="1774" w:type="dxa"/>
            <w:tcBorders>
              <w:top w:val="nil"/>
              <w:left w:val="nil"/>
              <w:bottom w:val="nil"/>
              <w:right w:val="nil"/>
            </w:tcBorders>
            <w:vAlign w:val="center"/>
          </w:tcPr>
          <w:p w14:paraId="1E05BA32">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198.49</w:t>
            </w:r>
          </w:p>
        </w:tc>
        <w:tc>
          <w:tcPr>
            <w:tcW w:w="1509" w:type="dxa"/>
            <w:tcBorders>
              <w:top w:val="nil"/>
              <w:left w:val="nil"/>
              <w:bottom w:val="nil"/>
              <w:right w:val="nil"/>
            </w:tcBorders>
            <w:vAlign w:val="center"/>
          </w:tcPr>
          <w:p w14:paraId="45A831B0">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240.66</w:t>
            </w:r>
          </w:p>
        </w:tc>
        <w:tc>
          <w:tcPr>
            <w:tcW w:w="1711" w:type="dxa"/>
            <w:tcBorders>
              <w:top w:val="nil"/>
              <w:left w:val="nil"/>
              <w:bottom w:val="nil"/>
              <w:right w:val="nil"/>
            </w:tcBorders>
            <w:vAlign w:val="center"/>
          </w:tcPr>
          <w:p w14:paraId="1C0CBA8C">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249.29</w:t>
            </w:r>
          </w:p>
        </w:tc>
        <w:tc>
          <w:tcPr>
            <w:tcW w:w="1456" w:type="dxa"/>
            <w:tcBorders>
              <w:top w:val="nil"/>
              <w:left w:val="nil"/>
              <w:bottom w:val="nil"/>
              <w:right w:val="nil"/>
            </w:tcBorders>
            <w:vAlign w:val="center"/>
          </w:tcPr>
          <w:p w14:paraId="0DED7985">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151.42</w:t>
            </w:r>
          </w:p>
        </w:tc>
        <w:tc>
          <w:tcPr>
            <w:tcW w:w="1456" w:type="dxa"/>
            <w:tcBorders>
              <w:top w:val="nil"/>
              <w:left w:val="nil"/>
              <w:bottom w:val="nil"/>
              <w:right w:val="nil"/>
            </w:tcBorders>
            <w:vAlign w:val="center"/>
          </w:tcPr>
          <w:p w14:paraId="6CE08D7E">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198.49</w:t>
            </w:r>
          </w:p>
        </w:tc>
      </w:tr>
      <w:tr w14:paraId="13B7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top w:val="nil"/>
              <w:left w:val="nil"/>
              <w:bottom w:val="nil"/>
              <w:right w:val="nil"/>
            </w:tcBorders>
          </w:tcPr>
          <w:p w14:paraId="70FB0ABC">
            <w:pPr>
              <w:jc w:val="left"/>
              <w:rPr>
                <w:rFonts w:hint="default" w:ascii="Arial" w:hAnsi="Arial" w:cs="Arial"/>
                <w:sz w:val="21"/>
                <w:szCs w:val="21"/>
                <w:vertAlign w:val="baseline"/>
                <w:lang w:val="en-US" w:eastAsia="zh-CN"/>
              </w:rPr>
            </w:pPr>
            <w:r>
              <w:rPr>
                <w:rFonts w:hint="default" w:ascii="Arial" w:hAnsi="Arial" w:cs="Arial"/>
                <w:sz w:val="21"/>
                <w:szCs w:val="21"/>
                <w:vertAlign w:val="baseline"/>
                <w:lang w:val="en-US" w:eastAsia="zh-CN"/>
              </w:rPr>
              <w:t>k</w:t>
            </w:r>
            <w:r>
              <w:rPr>
                <w:rFonts w:hint="default" w:ascii="Arial" w:hAnsi="Arial" w:cs="Arial"/>
                <w:sz w:val="21"/>
                <w:szCs w:val="21"/>
                <w:vertAlign w:val="subscript"/>
                <w:lang w:val="en-US" w:eastAsia="zh-CN"/>
              </w:rPr>
              <w:t>1</w:t>
            </w:r>
          </w:p>
        </w:tc>
        <w:tc>
          <w:tcPr>
            <w:tcW w:w="1774" w:type="dxa"/>
            <w:tcBorders>
              <w:top w:val="nil"/>
              <w:left w:val="nil"/>
              <w:bottom w:val="nil"/>
              <w:right w:val="nil"/>
            </w:tcBorders>
            <w:vAlign w:val="center"/>
          </w:tcPr>
          <w:p w14:paraId="0C1413EC">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55.81</w:t>
            </w:r>
          </w:p>
        </w:tc>
        <w:tc>
          <w:tcPr>
            <w:tcW w:w="1509" w:type="dxa"/>
            <w:tcBorders>
              <w:top w:val="nil"/>
              <w:left w:val="nil"/>
              <w:bottom w:val="nil"/>
              <w:right w:val="nil"/>
            </w:tcBorders>
            <w:vAlign w:val="center"/>
          </w:tcPr>
          <w:p w14:paraId="564170D4">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41.12</w:t>
            </w:r>
          </w:p>
        </w:tc>
        <w:tc>
          <w:tcPr>
            <w:tcW w:w="1711" w:type="dxa"/>
            <w:tcBorders>
              <w:top w:val="nil"/>
              <w:left w:val="nil"/>
              <w:bottom w:val="nil"/>
              <w:right w:val="nil"/>
            </w:tcBorders>
            <w:vAlign w:val="center"/>
          </w:tcPr>
          <w:p w14:paraId="4C04AA6E">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39.08</w:t>
            </w:r>
          </w:p>
        </w:tc>
        <w:tc>
          <w:tcPr>
            <w:tcW w:w="1456" w:type="dxa"/>
            <w:tcBorders>
              <w:top w:val="nil"/>
              <w:left w:val="nil"/>
              <w:bottom w:val="nil"/>
              <w:right w:val="nil"/>
            </w:tcBorders>
            <w:vAlign w:val="center"/>
          </w:tcPr>
          <w:p w14:paraId="7FE9D7B8">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63.33</w:t>
            </w:r>
          </w:p>
        </w:tc>
        <w:tc>
          <w:tcPr>
            <w:tcW w:w="1456" w:type="dxa"/>
            <w:tcBorders>
              <w:top w:val="nil"/>
              <w:left w:val="nil"/>
              <w:bottom w:val="nil"/>
              <w:right w:val="nil"/>
            </w:tcBorders>
            <w:vAlign w:val="center"/>
          </w:tcPr>
          <w:p w14:paraId="571F7785">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55.81</w:t>
            </w:r>
          </w:p>
        </w:tc>
      </w:tr>
      <w:tr w14:paraId="5F5F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top w:val="nil"/>
              <w:left w:val="nil"/>
              <w:bottom w:val="nil"/>
              <w:right w:val="nil"/>
            </w:tcBorders>
          </w:tcPr>
          <w:p w14:paraId="2003AE71">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k</w:t>
            </w:r>
            <w:r>
              <w:rPr>
                <w:rFonts w:hint="default" w:ascii="Arial" w:hAnsi="Arial" w:cs="Arial"/>
                <w:sz w:val="21"/>
                <w:szCs w:val="21"/>
                <w:vertAlign w:val="subscript"/>
                <w:lang w:val="en-US" w:eastAsia="zh-CN"/>
              </w:rPr>
              <w:t>2</w:t>
            </w:r>
          </w:p>
        </w:tc>
        <w:tc>
          <w:tcPr>
            <w:tcW w:w="1774" w:type="dxa"/>
            <w:tcBorders>
              <w:top w:val="nil"/>
              <w:left w:val="nil"/>
              <w:bottom w:val="nil"/>
              <w:right w:val="nil"/>
            </w:tcBorders>
            <w:vAlign w:val="center"/>
          </w:tcPr>
          <w:p w14:paraId="2DA0C5E9">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64.24</w:t>
            </w:r>
          </w:p>
        </w:tc>
        <w:tc>
          <w:tcPr>
            <w:tcW w:w="1509" w:type="dxa"/>
            <w:tcBorders>
              <w:top w:val="nil"/>
              <w:left w:val="nil"/>
              <w:bottom w:val="nil"/>
              <w:right w:val="nil"/>
            </w:tcBorders>
            <w:vAlign w:val="center"/>
          </w:tcPr>
          <w:p w14:paraId="0BC47573">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61.25</w:t>
            </w:r>
          </w:p>
        </w:tc>
        <w:tc>
          <w:tcPr>
            <w:tcW w:w="1711" w:type="dxa"/>
            <w:tcBorders>
              <w:top w:val="nil"/>
              <w:left w:val="nil"/>
              <w:bottom w:val="nil"/>
              <w:right w:val="nil"/>
            </w:tcBorders>
            <w:vAlign w:val="center"/>
          </w:tcPr>
          <w:p w14:paraId="6DF787AB">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57.25</w:t>
            </w:r>
          </w:p>
        </w:tc>
        <w:tc>
          <w:tcPr>
            <w:tcW w:w="1456" w:type="dxa"/>
            <w:tcBorders>
              <w:top w:val="nil"/>
              <w:left w:val="nil"/>
              <w:bottom w:val="nil"/>
              <w:right w:val="nil"/>
            </w:tcBorders>
            <w:vAlign w:val="center"/>
          </w:tcPr>
          <w:p w14:paraId="7A850DCF">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64.37</w:t>
            </w:r>
          </w:p>
        </w:tc>
        <w:tc>
          <w:tcPr>
            <w:tcW w:w="1456" w:type="dxa"/>
            <w:tcBorders>
              <w:top w:val="nil"/>
              <w:left w:val="nil"/>
              <w:bottom w:val="nil"/>
              <w:right w:val="nil"/>
            </w:tcBorders>
            <w:vAlign w:val="center"/>
          </w:tcPr>
          <w:p w14:paraId="6BDD2B62">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64.24</w:t>
            </w:r>
          </w:p>
        </w:tc>
      </w:tr>
      <w:tr w14:paraId="20762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top w:val="nil"/>
              <w:left w:val="nil"/>
              <w:bottom w:val="nil"/>
              <w:right w:val="nil"/>
            </w:tcBorders>
          </w:tcPr>
          <w:p w14:paraId="37E8B27E">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k</w:t>
            </w:r>
            <w:r>
              <w:rPr>
                <w:rFonts w:hint="default" w:ascii="Arial" w:hAnsi="Arial" w:cs="Arial"/>
                <w:sz w:val="21"/>
                <w:szCs w:val="21"/>
                <w:vertAlign w:val="subscript"/>
                <w:lang w:val="en-US" w:eastAsia="zh-CN"/>
              </w:rPr>
              <w:t>3</w:t>
            </w:r>
          </w:p>
        </w:tc>
        <w:tc>
          <w:tcPr>
            <w:tcW w:w="1774" w:type="dxa"/>
            <w:tcBorders>
              <w:top w:val="nil"/>
              <w:left w:val="nil"/>
              <w:bottom w:val="nil"/>
              <w:right w:val="nil"/>
            </w:tcBorders>
            <w:vAlign w:val="center"/>
          </w:tcPr>
          <w:p w14:paraId="0446B74B">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56.7</w:t>
            </w:r>
          </w:p>
        </w:tc>
        <w:tc>
          <w:tcPr>
            <w:tcW w:w="1509" w:type="dxa"/>
            <w:tcBorders>
              <w:top w:val="nil"/>
              <w:left w:val="nil"/>
              <w:bottom w:val="nil"/>
              <w:right w:val="nil"/>
            </w:tcBorders>
            <w:vAlign w:val="center"/>
          </w:tcPr>
          <w:p w14:paraId="116382FE">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63.84</w:t>
            </w:r>
          </w:p>
        </w:tc>
        <w:tc>
          <w:tcPr>
            <w:tcW w:w="1711" w:type="dxa"/>
            <w:tcBorders>
              <w:top w:val="nil"/>
              <w:left w:val="nil"/>
              <w:bottom w:val="nil"/>
              <w:right w:val="nil"/>
            </w:tcBorders>
            <w:vAlign w:val="center"/>
          </w:tcPr>
          <w:p w14:paraId="0D9F3ED9">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67.73</w:t>
            </w:r>
          </w:p>
        </w:tc>
        <w:tc>
          <w:tcPr>
            <w:tcW w:w="1456" w:type="dxa"/>
            <w:tcBorders>
              <w:top w:val="nil"/>
              <w:left w:val="nil"/>
              <w:bottom w:val="nil"/>
              <w:right w:val="nil"/>
            </w:tcBorders>
            <w:vAlign w:val="center"/>
          </w:tcPr>
          <w:p w14:paraId="6432E921">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60.83</w:t>
            </w:r>
          </w:p>
        </w:tc>
        <w:tc>
          <w:tcPr>
            <w:tcW w:w="1456" w:type="dxa"/>
            <w:tcBorders>
              <w:top w:val="nil"/>
              <w:left w:val="nil"/>
              <w:bottom w:val="nil"/>
              <w:right w:val="nil"/>
            </w:tcBorders>
            <w:vAlign w:val="center"/>
          </w:tcPr>
          <w:p w14:paraId="7F96B61C">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56.7</w:t>
            </w:r>
          </w:p>
        </w:tc>
      </w:tr>
      <w:tr w14:paraId="7D108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top w:val="nil"/>
              <w:left w:val="nil"/>
              <w:bottom w:val="nil"/>
              <w:right w:val="nil"/>
            </w:tcBorders>
          </w:tcPr>
          <w:p w14:paraId="550A8A3A">
            <w:pPr>
              <w:jc w:val="left"/>
              <w:rPr>
                <w:rFonts w:hint="default" w:ascii="Arial" w:hAnsi="Arial" w:cs="Arial" w:eastAsiaTheme="minorEastAsia"/>
                <w:sz w:val="21"/>
                <w:szCs w:val="21"/>
                <w:vertAlign w:val="baseline"/>
                <w:lang w:val="en-US" w:eastAsia="zh-CN"/>
              </w:rPr>
            </w:pPr>
            <w:r>
              <w:rPr>
                <w:rFonts w:hint="default" w:ascii="Arial" w:hAnsi="Arial" w:cs="Arial"/>
                <w:sz w:val="21"/>
                <w:szCs w:val="21"/>
                <w:vertAlign w:val="baseline"/>
                <w:lang w:val="en-US" w:eastAsia="zh-CN"/>
              </w:rPr>
              <w:t>k</w:t>
            </w:r>
            <w:r>
              <w:rPr>
                <w:rFonts w:hint="default" w:ascii="Arial" w:hAnsi="Arial" w:cs="Arial"/>
                <w:sz w:val="21"/>
                <w:szCs w:val="21"/>
                <w:vertAlign w:val="subscript"/>
                <w:lang w:val="en-US" w:eastAsia="zh-CN"/>
              </w:rPr>
              <w:t>4</w:t>
            </w:r>
          </w:p>
        </w:tc>
        <w:tc>
          <w:tcPr>
            <w:tcW w:w="1774" w:type="dxa"/>
            <w:tcBorders>
              <w:top w:val="nil"/>
              <w:left w:val="nil"/>
              <w:bottom w:val="nil"/>
              <w:right w:val="nil"/>
            </w:tcBorders>
            <w:vAlign w:val="center"/>
          </w:tcPr>
          <w:p w14:paraId="13C918FD">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49.62</w:t>
            </w:r>
          </w:p>
        </w:tc>
        <w:tc>
          <w:tcPr>
            <w:tcW w:w="1509" w:type="dxa"/>
            <w:tcBorders>
              <w:top w:val="nil"/>
              <w:left w:val="nil"/>
              <w:bottom w:val="nil"/>
              <w:right w:val="nil"/>
            </w:tcBorders>
            <w:vAlign w:val="center"/>
          </w:tcPr>
          <w:p w14:paraId="3B5066DB">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60.17</w:t>
            </w:r>
          </w:p>
        </w:tc>
        <w:tc>
          <w:tcPr>
            <w:tcW w:w="1711" w:type="dxa"/>
            <w:tcBorders>
              <w:top w:val="nil"/>
              <w:left w:val="nil"/>
              <w:bottom w:val="nil"/>
              <w:right w:val="nil"/>
            </w:tcBorders>
            <w:vAlign w:val="center"/>
          </w:tcPr>
          <w:p w14:paraId="32BFD743">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62.32</w:t>
            </w:r>
          </w:p>
        </w:tc>
        <w:tc>
          <w:tcPr>
            <w:tcW w:w="1456" w:type="dxa"/>
            <w:tcBorders>
              <w:top w:val="nil"/>
              <w:left w:val="nil"/>
              <w:bottom w:val="nil"/>
              <w:right w:val="nil"/>
            </w:tcBorders>
            <w:vAlign w:val="center"/>
          </w:tcPr>
          <w:p w14:paraId="56B95C83">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37.85</w:t>
            </w:r>
          </w:p>
        </w:tc>
        <w:tc>
          <w:tcPr>
            <w:tcW w:w="1456" w:type="dxa"/>
            <w:tcBorders>
              <w:top w:val="nil"/>
              <w:left w:val="nil"/>
              <w:bottom w:val="nil"/>
              <w:right w:val="nil"/>
            </w:tcBorders>
            <w:vAlign w:val="center"/>
          </w:tcPr>
          <w:p w14:paraId="70681007">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49.62</w:t>
            </w:r>
          </w:p>
        </w:tc>
      </w:tr>
      <w:tr w14:paraId="72F63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6" w:type="dxa"/>
            <w:tcBorders>
              <w:top w:val="nil"/>
              <w:left w:val="nil"/>
              <w:bottom w:val="nil"/>
              <w:right w:val="nil"/>
            </w:tcBorders>
          </w:tcPr>
          <w:p w14:paraId="18D8BADF">
            <w:pPr>
              <w:jc w:val="left"/>
              <w:rPr>
                <w:rFonts w:hint="default" w:ascii="Arial" w:hAnsi="Arial" w:cs="Arial"/>
                <w:sz w:val="21"/>
                <w:szCs w:val="21"/>
                <w:vertAlign w:val="baseline"/>
                <w:lang w:val="en-US" w:eastAsia="zh-CN"/>
              </w:rPr>
            </w:pPr>
            <w:r>
              <w:rPr>
                <w:rFonts w:hint="default" w:ascii="Arial" w:hAnsi="Arial" w:cs="Arial"/>
                <w:sz w:val="21"/>
                <w:szCs w:val="21"/>
                <w:vertAlign w:val="baseline"/>
                <w:lang w:val="en-US" w:eastAsia="zh-CN"/>
              </w:rPr>
              <w:t>R</w:t>
            </w:r>
          </w:p>
        </w:tc>
        <w:tc>
          <w:tcPr>
            <w:tcW w:w="1774" w:type="dxa"/>
            <w:tcBorders>
              <w:top w:val="nil"/>
              <w:left w:val="nil"/>
              <w:bottom w:val="nil"/>
              <w:right w:val="nil"/>
            </w:tcBorders>
            <w:vAlign w:val="center"/>
          </w:tcPr>
          <w:p w14:paraId="4B133C3C">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14.62</w:t>
            </w:r>
          </w:p>
        </w:tc>
        <w:tc>
          <w:tcPr>
            <w:tcW w:w="1509" w:type="dxa"/>
            <w:tcBorders>
              <w:top w:val="nil"/>
              <w:left w:val="nil"/>
              <w:bottom w:val="nil"/>
              <w:right w:val="nil"/>
            </w:tcBorders>
            <w:vAlign w:val="center"/>
          </w:tcPr>
          <w:p w14:paraId="18A85807">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22.73</w:t>
            </w:r>
          </w:p>
        </w:tc>
        <w:tc>
          <w:tcPr>
            <w:tcW w:w="1711" w:type="dxa"/>
            <w:tcBorders>
              <w:top w:val="nil"/>
              <w:left w:val="nil"/>
              <w:bottom w:val="nil"/>
              <w:right w:val="nil"/>
            </w:tcBorders>
            <w:vAlign w:val="center"/>
          </w:tcPr>
          <w:p w14:paraId="517A7C77">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28.65</w:t>
            </w:r>
          </w:p>
        </w:tc>
        <w:tc>
          <w:tcPr>
            <w:tcW w:w="1456" w:type="dxa"/>
            <w:tcBorders>
              <w:top w:val="nil"/>
              <w:left w:val="nil"/>
              <w:bottom w:val="nil"/>
              <w:right w:val="nil"/>
            </w:tcBorders>
            <w:vAlign w:val="center"/>
          </w:tcPr>
          <w:p w14:paraId="71408EC3">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26.51</w:t>
            </w:r>
          </w:p>
        </w:tc>
        <w:tc>
          <w:tcPr>
            <w:tcW w:w="1456" w:type="dxa"/>
            <w:tcBorders>
              <w:top w:val="nil"/>
              <w:left w:val="nil"/>
              <w:bottom w:val="nil"/>
              <w:right w:val="nil"/>
            </w:tcBorders>
            <w:vAlign w:val="center"/>
          </w:tcPr>
          <w:p w14:paraId="4183D13E">
            <w:pPr>
              <w:keepNext w:val="0"/>
              <w:keepLines w:val="0"/>
              <w:widowControl/>
              <w:suppressLineNumbers w:val="0"/>
              <w:jc w:val="left"/>
              <w:textAlignment w:val="center"/>
              <w:rPr>
                <w:rFonts w:hint="default" w:ascii="Arial" w:hAnsi="Arial" w:cs="Arial"/>
                <w:sz w:val="21"/>
                <w:szCs w:val="21"/>
                <w:vertAlign w:val="baseline"/>
              </w:rPr>
            </w:pPr>
            <w:r>
              <w:rPr>
                <w:rFonts w:hint="default" w:ascii="Arial" w:hAnsi="Arial" w:eastAsia="宋体" w:cs="Arial"/>
                <w:i w:val="0"/>
                <w:iCs w:val="0"/>
                <w:color w:val="000000"/>
                <w:kern w:val="0"/>
                <w:sz w:val="21"/>
                <w:szCs w:val="21"/>
                <w:u w:val="none"/>
                <w:lang w:val="en-US" w:eastAsia="zh-CN" w:bidi="ar"/>
              </w:rPr>
              <w:t>14.62</w:t>
            </w:r>
          </w:p>
        </w:tc>
      </w:tr>
      <w:tr w14:paraId="11B11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12" w:type="dxa"/>
            <w:gridSpan w:val="6"/>
            <w:tcBorders>
              <w:top w:val="nil"/>
              <w:left w:val="nil"/>
              <w:bottom w:val="single" w:color="auto" w:sz="12" w:space="0"/>
              <w:right w:val="nil"/>
            </w:tcBorders>
          </w:tcPr>
          <w:p w14:paraId="40315862">
            <w:pPr>
              <w:jc w:val="left"/>
              <w:rPr>
                <w:rFonts w:hint="default" w:ascii="Arial" w:hAnsi="Arial" w:cs="Arial"/>
                <w:sz w:val="20"/>
                <w:szCs w:val="22"/>
                <w:vertAlign w:val="baseline"/>
              </w:rPr>
            </w:pPr>
            <w:r>
              <w:rPr>
                <w:rFonts w:hint="default" w:ascii="Arial" w:hAnsi="Arial" w:cs="Arial"/>
                <w:sz w:val="20"/>
                <w:szCs w:val="22"/>
                <w:vertAlign w:val="baseline"/>
                <w:lang w:val="en-US" w:eastAsia="zh-CN"/>
              </w:rPr>
              <w:t>C</w:t>
            </w:r>
            <w:r>
              <w:rPr>
                <w:rFonts w:hint="default" w:ascii="Arial" w:hAnsi="Arial" w:cs="Arial"/>
                <w:sz w:val="20"/>
                <w:szCs w:val="22"/>
                <w:vertAlign w:val="subscript"/>
                <w:lang w:val="en-US" w:eastAsia="zh-CN"/>
              </w:rPr>
              <w:t>3</w:t>
            </w:r>
            <w:r>
              <w:rPr>
                <w:rFonts w:hint="default" w:ascii="Arial" w:hAnsi="Arial" w:cs="Arial"/>
                <w:sz w:val="20"/>
                <w:szCs w:val="22"/>
                <w:vertAlign w:val="baseline"/>
                <w:lang w:val="en-US" w:eastAsia="zh-CN"/>
              </w:rPr>
              <w:t>&gt;D</w:t>
            </w:r>
            <w:r>
              <w:rPr>
                <w:rFonts w:hint="default" w:ascii="Arial" w:hAnsi="Arial" w:cs="Arial"/>
                <w:sz w:val="20"/>
                <w:szCs w:val="22"/>
                <w:vertAlign w:val="subscript"/>
                <w:lang w:val="en-US" w:eastAsia="zh-CN"/>
              </w:rPr>
              <w:t>2</w:t>
            </w:r>
            <w:r>
              <w:rPr>
                <w:rFonts w:hint="default" w:ascii="Arial" w:hAnsi="Arial" w:cs="Arial"/>
                <w:sz w:val="20"/>
                <w:szCs w:val="22"/>
                <w:vertAlign w:val="baseline"/>
                <w:lang w:val="en-US" w:eastAsia="zh-CN"/>
              </w:rPr>
              <w:t>&gt;B</w:t>
            </w:r>
            <w:r>
              <w:rPr>
                <w:rFonts w:hint="default" w:ascii="Arial" w:hAnsi="Arial" w:cs="Arial"/>
                <w:sz w:val="20"/>
                <w:szCs w:val="22"/>
                <w:vertAlign w:val="subscript"/>
                <w:lang w:val="en-US" w:eastAsia="zh-CN"/>
              </w:rPr>
              <w:t>3</w:t>
            </w:r>
            <w:r>
              <w:rPr>
                <w:rFonts w:hint="default" w:ascii="Arial" w:hAnsi="Arial" w:cs="Arial"/>
                <w:sz w:val="20"/>
                <w:szCs w:val="22"/>
                <w:vertAlign w:val="baseline"/>
                <w:lang w:val="en-US" w:eastAsia="zh-CN"/>
              </w:rPr>
              <w:t>&gt;A</w:t>
            </w:r>
            <w:r>
              <w:rPr>
                <w:rFonts w:hint="default" w:ascii="Arial" w:hAnsi="Arial" w:cs="Arial"/>
                <w:sz w:val="20"/>
                <w:szCs w:val="22"/>
                <w:vertAlign w:val="subscript"/>
                <w:lang w:val="en-US" w:eastAsia="zh-CN"/>
              </w:rPr>
              <w:t>2</w:t>
            </w:r>
          </w:p>
        </w:tc>
      </w:tr>
    </w:tbl>
    <w:p w14:paraId="29F5A659">
      <w:pPr>
        <w:rPr>
          <w:rFonts w:hint="default" w:ascii="Times New Roman" w:hAnsi="Times New Roman" w:cs="Times New Roman"/>
          <w:lang w:val="en-US" w:eastAsia="zh-CN"/>
        </w:rPr>
      </w:pPr>
    </w:p>
    <w:p w14:paraId="47F27D64">
      <w:pPr>
        <w:rPr>
          <w:rFonts w:hint="default" w:ascii="Times New Roman" w:hAnsi="Times New Roman" w:cs="Times New Roman"/>
          <w:b w:val="0"/>
          <w:bCs w:val="0"/>
          <w:lang w:val="en-US" w:eastAsia="zh-CN"/>
        </w:rPr>
      </w:pPr>
    </w:p>
    <w:p w14:paraId="3253ECE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Arial" w:hAnsi="Arial" w:cs="Arial"/>
          <w:b w:val="0"/>
          <w:bCs w:val="0"/>
          <w:sz w:val="18"/>
          <w:szCs w:val="18"/>
          <w:lang w:val="en-US" w:eastAsia="zh-CN"/>
        </w:rPr>
      </w:pPr>
      <w:r>
        <w:rPr>
          <w:rFonts w:hint="default" w:ascii="Arial" w:hAnsi="Arial" w:cs="Arial"/>
          <w:b w:val="0"/>
          <w:bCs w:val="0"/>
          <w:sz w:val="18"/>
          <w:szCs w:val="18"/>
          <w:lang w:val="en-US" w:eastAsia="zh-CN"/>
        </w:rPr>
        <w:t>Table S3 ANOVA of process factors in Taguchi L</w:t>
      </w:r>
      <w:r>
        <w:rPr>
          <w:rFonts w:hint="default" w:ascii="Arial" w:hAnsi="Arial" w:cs="Arial"/>
          <w:b w:val="0"/>
          <w:bCs w:val="0"/>
          <w:sz w:val="18"/>
          <w:szCs w:val="18"/>
          <w:vertAlign w:val="subscript"/>
          <w:lang w:val="en-US" w:eastAsia="zh-CN"/>
        </w:rPr>
        <w:t>16</w:t>
      </w:r>
      <w:r>
        <w:rPr>
          <w:rFonts w:hint="default" w:ascii="Arial" w:hAnsi="Arial" w:cs="Arial"/>
          <w:b w:val="0"/>
          <w:bCs w:val="0"/>
          <w:sz w:val="18"/>
          <w:szCs w:val="18"/>
          <w:lang w:val="en-US" w:eastAsia="zh-CN"/>
        </w:rPr>
        <w:t xml:space="preserve"> (4</w:t>
      </w:r>
      <w:r>
        <w:rPr>
          <w:rFonts w:hint="default" w:ascii="Arial" w:hAnsi="Arial" w:cs="Arial"/>
          <w:b w:val="0"/>
          <w:bCs w:val="0"/>
          <w:sz w:val="18"/>
          <w:szCs w:val="18"/>
          <w:vertAlign w:val="superscript"/>
          <w:lang w:val="en-US" w:eastAsia="zh-CN"/>
        </w:rPr>
        <w:t>5</w:t>
      </w:r>
      <w:r>
        <w:rPr>
          <w:rFonts w:hint="default" w:ascii="Arial" w:hAnsi="Arial" w:cs="Arial"/>
          <w:b w:val="0"/>
          <w:bCs w:val="0"/>
          <w:sz w:val="18"/>
          <w:szCs w:val="18"/>
          <w:lang w:val="en-US" w:eastAsia="zh-CN"/>
        </w:rPr>
        <w:t>) orthogonal array (effect on encapsulation efficieny).</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247"/>
        <w:gridCol w:w="1359"/>
        <w:gridCol w:w="1297"/>
        <w:gridCol w:w="979"/>
        <w:gridCol w:w="874"/>
      </w:tblGrid>
      <w:tr w14:paraId="70721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Borders>
              <w:top w:val="single" w:color="auto" w:sz="12" w:space="0"/>
              <w:left w:val="nil"/>
              <w:right w:val="nil"/>
            </w:tcBorders>
          </w:tcPr>
          <w:p w14:paraId="5CAE1306">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Factors</w:t>
            </w:r>
          </w:p>
        </w:tc>
        <w:tc>
          <w:tcPr>
            <w:tcW w:w="1247" w:type="dxa"/>
            <w:tcBorders>
              <w:top w:val="single" w:color="auto" w:sz="12" w:space="0"/>
              <w:left w:val="nil"/>
              <w:right w:val="nil"/>
            </w:tcBorders>
          </w:tcPr>
          <w:p w14:paraId="5E73F2D6">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Sum of squares</w:t>
            </w:r>
          </w:p>
        </w:tc>
        <w:tc>
          <w:tcPr>
            <w:tcW w:w="1359" w:type="dxa"/>
            <w:tcBorders>
              <w:top w:val="single" w:color="auto" w:sz="12" w:space="0"/>
              <w:left w:val="nil"/>
              <w:right w:val="nil"/>
            </w:tcBorders>
          </w:tcPr>
          <w:p w14:paraId="674F0D7A">
            <w:pPr>
              <w:keepNext w:val="0"/>
              <w:keepLines w:val="0"/>
              <w:widowControl/>
              <w:suppressLineNumbers w:val="0"/>
              <w:jc w:val="left"/>
              <w:rPr>
                <w:rFonts w:hint="default" w:ascii="Arial" w:hAnsi="Arial" w:cs="Arial"/>
                <w:sz w:val="20"/>
                <w:szCs w:val="20"/>
                <w:shd w:val="clear" w:color="auto" w:fill="auto"/>
              </w:rPr>
            </w:pPr>
            <w:r>
              <w:rPr>
                <w:rFonts w:hint="default" w:ascii="Arial" w:hAnsi="Arial" w:eastAsia="AdvTT5235d5a9" w:cs="Arial"/>
                <w:color w:val="231F20"/>
                <w:kern w:val="0"/>
                <w:sz w:val="20"/>
                <w:szCs w:val="20"/>
                <w:shd w:val="clear" w:color="auto" w:fill="auto"/>
                <w:lang w:val="en-US" w:eastAsia="zh-CN" w:bidi="ar"/>
              </w:rPr>
              <w:t xml:space="preserve">Degrees of </w:t>
            </w:r>
          </w:p>
          <w:p w14:paraId="2D42AD5F">
            <w:pPr>
              <w:keepNext w:val="0"/>
              <w:keepLines w:val="0"/>
              <w:widowControl/>
              <w:suppressLineNumbers w:val="0"/>
              <w:jc w:val="left"/>
              <w:rPr>
                <w:rFonts w:hint="default" w:ascii="Arial" w:hAnsi="Arial" w:cs="Arial"/>
                <w:sz w:val="20"/>
                <w:szCs w:val="20"/>
                <w:shd w:val="clear" w:color="auto" w:fill="auto"/>
              </w:rPr>
            </w:pPr>
            <w:r>
              <w:rPr>
                <w:rFonts w:hint="default" w:ascii="Arial" w:hAnsi="Arial" w:eastAsia="AdvTT5235d5a9" w:cs="Arial"/>
                <w:color w:val="231F20"/>
                <w:kern w:val="0"/>
                <w:sz w:val="20"/>
                <w:szCs w:val="20"/>
                <w:shd w:val="clear" w:color="auto" w:fill="auto"/>
                <w:lang w:val="en-US" w:eastAsia="zh-CN" w:bidi="ar"/>
              </w:rPr>
              <w:t>freedom</w:t>
            </w:r>
          </w:p>
          <w:p w14:paraId="314A028F">
            <w:pPr>
              <w:rPr>
                <w:rFonts w:hint="default" w:ascii="Arial" w:hAnsi="Arial" w:cs="Arial"/>
                <w:sz w:val="20"/>
                <w:szCs w:val="20"/>
                <w:shd w:val="clear" w:color="auto" w:fill="auto"/>
                <w:vertAlign w:val="baseline"/>
              </w:rPr>
            </w:pPr>
          </w:p>
        </w:tc>
        <w:tc>
          <w:tcPr>
            <w:tcW w:w="1297" w:type="dxa"/>
            <w:tcBorders>
              <w:top w:val="single" w:color="auto" w:sz="12" w:space="0"/>
              <w:left w:val="nil"/>
              <w:right w:val="nil"/>
            </w:tcBorders>
          </w:tcPr>
          <w:p w14:paraId="3C6C1643">
            <w:pPr>
              <w:keepNext w:val="0"/>
              <w:keepLines w:val="0"/>
              <w:widowControl/>
              <w:suppressLineNumbers w:val="0"/>
              <w:jc w:val="left"/>
              <w:rPr>
                <w:rFonts w:hint="default" w:ascii="Arial" w:hAnsi="Arial" w:cs="Arial"/>
                <w:sz w:val="20"/>
                <w:szCs w:val="20"/>
                <w:shd w:val="clear" w:color="auto" w:fill="auto"/>
              </w:rPr>
            </w:pPr>
            <w:r>
              <w:rPr>
                <w:rFonts w:hint="default" w:ascii="Arial" w:hAnsi="Arial" w:eastAsia="AdvTT5235d5a9" w:cs="Arial"/>
                <w:color w:val="231F20"/>
                <w:kern w:val="0"/>
                <w:sz w:val="20"/>
                <w:szCs w:val="20"/>
                <w:shd w:val="clear" w:color="auto" w:fill="auto"/>
                <w:lang w:val="en-US" w:eastAsia="zh-CN" w:bidi="ar"/>
              </w:rPr>
              <w:t>Variance</w:t>
            </w:r>
          </w:p>
          <w:p w14:paraId="21BB6A0D">
            <w:pPr>
              <w:rPr>
                <w:rFonts w:hint="default" w:ascii="Arial" w:hAnsi="Arial" w:cs="Arial"/>
                <w:sz w:val="20"/>
                <w:szCs w:val="20"/>
                <w:shd w:val="clear" w:color="auto" w:fill="auto"/>
                <w:vertAlign w:val="baseline"/>
              </w:rPr>
            </w:pPr>
          </w:p>
        </w:tc>
        <w:tc>
          <w:tcPr>
            <w:tcW w:w="979" w:type="dxa"/>
            <w:tcBorders>
              <w:top w:val="single" w:color="auto" w:sz="12" w:space="0"/>
              <w:left w:val="nil"/>
              <w:right w:val="nil"/>
            </w:tcBorders>
          </w:tcPr>
          <w:p w14:paraId="4F945985">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F</w:t>
            </w:r>
          </w:p>
        </w:tc>
        <w:tc>
          <w:tcPr>
            <w:tcW w:w="874" w:type="dxa"/>
            <w:tcBorders>
              <w:top w:val="single" w:color="auto" w:sz="12" w:space="0"/>
              <w:left w:val="nil"/>
              <w:right w:val="nil"/>
            </w:tcBorders>
          </w:tcPr>
          <w:p w14:paraId="2F554DA1">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P</w:t>
            </w:r>
          </w:p>
        </w:tc>
      </w:tr>
      <w:tr w14:paraId="0BD3E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Borders>
              <w:left w:val="nil"/>
              <w:bottom w:val="nil"/>
              <w:right w:val="nil"/>
            </w:tcBorders>
          </w:tcPr>
          <w:p w14:paraId="7A9C5D76">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A</w:t>
            </w:r>
          </w:p>
        </w:tc>
        <w:tc>
          <w:tcPr>
            <w:tcW w:w="1247" w:type="dxa"/>
            <w:tcBorders>
              <w:left w:val="nil"/>
              <w:bottom w:val="nil"/>
              <w:right w:val="nil"/>
            </w:tcBorders>
          </w:tcPr>
          <w:p w14:paraId="3121E2B0">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rPr>
              <w:t>1250.35</w:t>
            </w:r>
            <w:r>
              <w:rPr>
                <w:rFonts w:hint="default" w:ascii="Arial" w:hAnsi="Arial" w:cs="Arial"/>
                <w:sz w:val="20"/>
                <w:szCs w:val="20"/>
                <w:lang w:val="en-US" w:eastAsia="zh-CN"/>
              </w:rPr>
              <w:t>3</w:t>
            </w:r>
          </w:p>
        </w:tc>
        <w:tc>
          <w:tcPr>
            <w:tcW w:w="1359" w:type="dxa"/>
            <w:tcBorders>
              <w:left w:val="nil"/>
              <w:bottom w:val="nil"/>
              <w:right w:val="nil"/>
            </w:tcBorders>
          </w:tcPr>
          <w:p w14:paraId="2899E845">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3</w:t>
            </w:r>
          </w:p>
        </w:tc>
        <w:tc>
          <w:tcPr>
            <w:tcW w:w="1297" w:type="dxa"/>
            <w:tcBorders>
              <w:left w:val="nil"/>
              <w:bottom w:val="nil"/>
              <w:right w:val="nil"/>
            </w:tcBorders>
          </w:tcPr>
          <w:p w14:paraId="71669A2A">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416.784</w:t>
            </w:r>
          </w:p>
        </w:tc>
        <w:tc>
          <w:tcPr>
            <w:tcW w:w="979" w:type="dxa"/>
            <w:tcBorders>
              <w:left w:val="nil"/>
              <w:bottom w:val="nil"/>
              <w:right w:val="nil"/>
            </w:tcBorders>
          </w:tcPr>
          <w:p w14:paraId="7DFDEAF7">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0.923</w:t>
            </w:r>
          </w:p>
        </w:tc>
        <w:tc>
          <w:tcPr>
            <w:tcW w:w="874" w:type="dxa"/>
            <w:tcBorders>
              <w:left w:val="nil"/>
              <w:bottom w:val="nil"/>
              <w:right w:val="nil"/>
            </w:tcBorders>
          </w:tcPr>
          <w:p w14:paraId="2DD6F213">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lang w:val="en-US" w:eastAsia="zh-CN"/>
              </w:rPr>
              <w:t>0</w:t>
            </w:r>
            <w:r>
              <w:rPr>
                <w:rFonts w:hint="default" w:ascii="Arial" w:hAnsi="Arial" w:cs="Arial"/>
                <w:sz w:val="20"/>
                <w:szCs w:val="20"/>
              </w:rPr>
              <w:t>.526</w:t>
            </w:r>
          </w:p>
        </w:tc>
      </w:tr>
      <w:tr w14:paraId="4B811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Borders>
              <w:top w:val="nil"/>
              <w:left w:val="nil"/>
              <w:bottom w:val="nil"/>
              <w:right w:val="nil"/>
            </w:tcBorders>
          </w:tcPr>
          <w:p w14:paraId="52CE1977">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B</w:t>
            </w:r>
          </w:p>
        </w:tc>
        <w:tc>
          <w:tcPr>
            <w:tcW w:w="1247" w:type="dxa"/>
            <w:tcBorders>
              <w:top w:val="nil"/>
              <w:left w:val="nil"/>
              <w:bottom w:val="nil"/>
              <w:right w:val="nil"/>
            </w:tcBorders>
          </w:tcPr>
          <w:p w14:paraId="392BA9BB">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8743.309</w:t>
            </w:r>
          </w:p>
        </w:tc>
        <w:tc>
          <w:tcPr>
            <w:tcW w:w="1359" w:type="dxa"/>
            <w:tcBorders>
              <w:top w:val="nil"/>
              <w:left w:val="nil"/>
              <w:bottom w:val="nil"/>
              <w:right w:val="nil"/>
            </w:tcBorders>
          </w:tcPr>
          <w:p w14:paraId="0D819567">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3</w:t>
            </w:r>
          </w:p>
        </w:tc>
        <w:tc>
          <w:tcPr>
            <w:tcW w:w="1297" w:type="dxa"/>
            <w:tcBorders>
              <w:top w:val="nil"/>
              <w:left w:val="nil"/>
              <w:bottom w:val="nil"/>
              <w:right w:val="nil"/>
            </w:tcBorders>
          </w:tcPr>
          <w:p w14:paraId="0C333138">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2914.436</w:t>
            </w:r>
          </w:p>
        </w:tc>
        <w:tc>
          <w:tcPr>
            <w:tcW w:w="979" w:type="dxa"/>
            <w:tcBorders>
              <w:top w:val="nil"/>
              <w:left w:val="nil"/>
              <w:bottom w:val="nil"/>
              <w:right w:val="nil"/>
            </w:tcBorders>
          </w:tcPr>
          <w:p w14:paraId="33777028">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6.452</w:t>
            </w:r>
          </w:p>
        </w:tc>
        <w:tc>
          <w:tcPr>
            <w:tcW w:w="874" w:type="dxa"/>
            <w:tcBorders>
              <w:top w:val="nil"/>
              <w:left w:val="nil"/>
              <w:bottom w:val="nil"/>
              <w:right w:val="nil"/>
            </w:tcBorders>
          </w:tcPr>
          <w:p w14:paraId="6DF439F6">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0.080</w:t>
            </w:r>
          </w:p>
        </w:tc>
      </w:tr>
      <w:tr w14:paraId="01E4C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Borders>
              <w:top w:val="nil"/>
              <w:left w:val="nil"/>
              <w:bottom w:val="nil"/>
              <w:right w:val="nil"/>
            </w:tcBorders>
          </w:tcPr>
          <w:p w14:paraId="30C4B098">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C</w:t>
            </w:r>
          </w:p>
        </w:tc>
        <w:tc>
          <w:tcPr>
            <w:tcW w:w="1247" w:type="dxa"/>
            <w:tcBorders>
              <w:top w:val="nil"/>
              <w:left w:val="nil"/>
              <w:bottom w:val="nil"/>
              <w:right w:val="nil"/>
            </w:tcBorders>
          </w:tcPr>
          <w:p w14:paraId="67842695">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35028.640</w:t>
            </w:r>
          </w:p>
        </w:tc>
        <w:tc>
          <w:tcPr>
            <w:tcW w:w="1359" w:type="dxa"/>
            <w:tcBorders>
              <w:top w:val="nil"/>
              <w:left w:val="nil"/>
              <w:bottom w:val="nil"/>
              <w:right w:val="nil"/>
            </w:tcBorders>
          </w:tcPr>
          <w:p w14:paraId="3AF98988">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3</w:t>
            </w:r>
          </w:p>
        </w:tc>
        <w:tc>
          <w:tcPr>
            <w:tcW w:w="1297" w:type="dxa"/>
            <w:tcBorders>
              <w:top w:val="nil"/>
              <w:left w:val="nil"/>
              <w:bottom w:val="nil"/>
              <w:right w:val="nil"/>
            </w:tcBorders>
          </w:tcPr>
          <w:p w14:paraId="35F151D4">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rPr>
              <w:t>11676.213</w:t>
            </w:r>
          </w:p>
        </w:tc>
        <w:tc>
          <w:tcPr>
            <w:tcW w:w="979" w:type="dxa"/>
            <w:tcBorders>
              <w:top w:val="nil"/>
              <w:left w:val="nil"/>
              <w:bottom w:val="nil"/>
              <w:right w:val="nil"/>
            </w:tcBorders>
          </w:tcPr>
          <w:p w14:paraId="22F55A1B">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25.848</w:t>
            </w:r>
          </w:p>
        </w:tc>
        <w:tc>
          <w:tcPr>
            <w:tcW w:w="874" w:type="dxa"/>
            <w:tcBorders>
              <w:top w:val="nil"/>
              <w:left w:val="nil"/>
              <w:bottom w:val="nil"/>
              <w:right w:val="nil"/>
            </w:tcBorders>
          </w:tcPr>
          <w:p w14:paraId="3450854A">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0.012*</w:t>
            </w:r>
          </w:p>
        </w:tc>
      </w:tr>
      <w:tr w14:paraId="4FEE3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 w:type="dxa"/>
            <w:tcBorders>
              <w:top w:val="nil"/>
              <w:left w:val="nil"/>
              <w:bottom w:val="single" w:color="auto" w:sz="12" w:space="0"/>
              <w:right w:val="nil"/>
            </w:tcBorders>
          </w:tcPr>
          <w:p w14:paraId="23A29CD6">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D</w:t>
            </w:r>
          </w:p>
        </w:tc>
        <w:tc>
          <w:tcPr>
            <w:tcW w:w="1247" w:type="dxa"/>
            <w:tcBorders>
              <w:top w:val="nil"/>
              <w:left w:val="nil"/>
              <w:bottom w:val="single" w:color="auto" w:sz="12" w:space="0"/>
              <w:right w:val="nil"/>
            </w:tcBorders>
          </w:tcPr>
          <w:p w14:paraId="705D0880">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rPr>
              <w:t>9415.9</w:t>
            </w:r>
            <w:r>
              <w:rPr>
                <w:rFonts w:hint="default" w:ascii="Arial" w:hAnsi="Arial" w:cs="Arial"/>
                <w:sz w:val="20"/>
                <w:szCs w:val="20"/>
                <w:lang w:val="en-US" w:eastAsia="zh-CN"/>
              </w:rPr>
              <w:t>10</w:t>
            </w:r>
          </w:p>
        </w:tc>
        <w:tc>
          <w:tcPr>
            <w:tcW w:w="1359" w:type="dxa"/>
            <w:tcBorders>
              <w:top w:val="nil"/>
              <w:left w:val="nil"/>
              <w:bottom w:val="single" w:color="auto" w:sz="12" w:space="0"/>
              <w:right w:val="nil"/>
            </w:tcBorders>
          </w:tcPr>
          <w:p w14:paraId="5521AB4D">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3</w:t>
            </w:r>
          </w:p>
        </w:tc>
        <w:tc>
          <w:tcPr>
            <w:tcW w:w="1297" w:type="dxa"/>
            <w:tcBorders>
              <w:top w:val="nil"/>
              <w:left w:val="nil"/>
              <w:bottom w:val="single" w:color="auto" w:sz="12" w:space="0"/>
              <w:right w:val="nil"/>
            </w:tcBorders>
          </w:tcPr>
          <w:p w14:paraId="3F32D5C1">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3138.636</w:t>
            </w:r>
          </w:p>
        </w:tc>
        <w:tc>
          <w:tcPr>
            <w:tcW w:w="979" w:type="dxa"/>
            <w:tcBorders>
              <w:top w:val="nil"/>
              <w:left w:val="nil"/>
              <w:bottom w:val="single" w:color="auto" w:sz="12" w:space="0"/>
              <w:right w:val="nil"/>
            </w:tcBorders>
          </w:tcPr>
          <w:p w14:paraId="2B1028D6">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6.948</w:t>
            </w:r>
          </w:p>
        </w:tc>
        <w:tc>
          <w:tcPr>
            <w:tcW w:w="874" w:type="dxa"/>
            <w:tcBorders>
              <w:top w:val="nil"/>
              <w:left w:val="nil"/>
              <w:bottom w:val="single" w:color="auto" w:sz="12" w:space="0"/>
              <w:right w:val="nil"/>
            </w:tcBorders>
          </w:tcPr>
          <w:p w14:paraId="1D9194AC">
            <w:pPr>
              <w:rPr>
                <w:rFonts w:hint="default" w:ascii="Arial" w:hAnsi="Arial" w:cs="Arial" w:eastAsiaTheme="minorEastAsia"/>
                <w:sz w:val="20"/>
                <w:szCs w:val="20"/>
                <w:shd w:val="clear" w:color="auto" w:fill="auto"/>
                <w:vertAlign w:val="baseline"/>
                <w:lang w:val="en-US" w:eastAsia="zh-CN"/>
              </w:rPr>
            </w:pPr>
            <w:r>
              <w:rPr>
                <w:rFonts w:hint="default" w:ascii="Arial" w:hAnsi="Arial" w:cs="Arial"/>
                <w:sz w:val="20"/>
                <w:szCs w:val="20"/>
                <w:shd w:val="clear" w:color="auto" w:fill="auto"/>
                <w:vertAlign w:val="baseline"/>
                <w:lang w:val="en-US" w:eastAsia="zh-CN"/>
              </w:rPr>
              <w:t>0.073</w:t>
            </w:r>
          </w:p>
        </w:tc>
      </w:tr>
    </w:tbl>
    <w:p w14:paraId="7526F28F">
      <w:pPr>
        <w:rPr>
          <w:rFonts w:hint="default" w:ascii="Times New Roman" w:hAnsi="Times New Roman" w:cs="Times New Roman"/>
          <w:lang w:val="en-US" w:eastAsia="zh-CN"/>
        </w:rPr>
      </w:pPr>
    </w:p>
    <w:p w14:paraId="2F457413">
      <w:pPr>
        <w:rPr>
          <w:rFonts w:hint="default" w:ascii="Times New Roman" w:hAnsi="Times New Roman" w:cs="Times New Roman"/>
          <w:lang w:val="en-US" w:eastAsia="zh-CN"/>
        </w:rPr>
      </w:pPr>
    </w:p>
    <w:p w14:paraId="31297B1D">
      <w:pPr>
        <w:rPr>
          <w:rFonts w:hint="default" w:ascii="Times New Roman" w:hAnsi="Times New Roman" w:cs="Times New Roman"/>
          <w:lang w:val="en-US" w:eastAsia="zh-CN"/>
        </w:rPr>
      </w:pPr>
    </w:p>
    <w:p w14:paraId="76D82E6E">
      <w:pPr>
        <w:rPr>
          <w:rFonts w:hint="default" w:ascii="Times New Roman" w:hAnsi="Times New Roman" w:cs="Times New Roman"/>
          <w:lang w:val="en-US" w:eastAsia="zh-CN"/>
        </w:rPr>
      </w:pPr>
    </w:p>
    <w:p w14:paraId="4F92AE3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left"/>
        <w:textAlignment w:val="auto"/>
        <w:rPr>
          <w:rFonts w:hint="default" w:ascii="Times New Roman" w:hAnsi="Times New Roman" w:cs="Times New Roman"/>
          <w:b w:val="0"/>
          <w:bCs w:val="0"/>
          <w:lang w:val="en-US" w:eastAsia="zh-CN"/>
        </w:rPr>
      </w:pPr>
      <w:bookmarkStart w:id="0" w:name="_GoBack"/>
      <w:bookmarkEnd w:id="0"/>
      <w:r>
        <w:rPr>
          <w:rFonts w:hint="default" w:ascii="Arial" w:hAnsi="Arial" w:cs="Arial"/>
          <w:b w:val="0"/>
          <w:bCs w:val="0"/>
          <w:sz w:val="18"/>
          <w:szCs w:val="18"/>
          <w:lang w:val="en-US" w:eastAsia="zh-CN"/>
        </w:rPr>
        <w:t>Table S4  Physiochemical characteristics of the soil used in this experiment.</w:t>
      </w:r>
    </w:p>
    <w:tbl>
      <w:tblPr>
        <w:tblStyle w:val="5"/>
        <w:tblW w:w="0" w:type="auto"/>
        <w:tblInd w:w="-4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665"/>
        <w:gridCol w:w="872"/>
        <w:gridCol w:w="985"/>
        <w:gridCol w:w="986"/>
        <w:gridCol w:w="986"/>
        <w:gridCol w:w="986"/>
        <w:gridCol w:w="986"/>
        <w:gridCol w:w="986"/>
      </w:tblGrid>
      <w:tr w14:paraId="15CC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6" w:type="dxa"/>
            <w:tcBorders>
              <w:top w:val="single" w:color="auto" w:sz="12" w:space="0"/>
              <w:left w:val="nil"/>
              <w:right w:val="nil"/>
            </w:tcBorders>
            <w:vAlign w:val="center"/>
          </w:tcPr>
          <w:p w14:paraId="25172312">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Soil type</w:t>
            </w:r>
          </w:p>
        </w:tc>
        <w:tc>
          <w:tcPr>
            <w:tcW w:w="665" w:type="dxa"/>
            <w:tcBorders>
              <w:top w:val="single" w:color="auto" w:sz="12" w:space="0"/>
              <w:left w:val="nil"/>
              <w:right w:val="nil"/>
            </w:tcBorders>
            <w:vAlign w:val="center"/>
          </w:tcPr>
          <w:p w14:paraId="302D7272">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pH</w:t>
            </w:r>
          </w:p>
        </w:tc>
        <w:tc>
          <w:tcPr>
            <w:tcW w:w="872" w:type="dxa"/>
            <w:tcBorders>
              <w:top w:val="single" w:color="auto" w:sz="12" w:space="0"/>
              <w:left w:val="nil"/>
              <w:right w:val="nil"/>
            </w:tcBorders>
            <w:vAlign w:val="center"/>
          </w:tcPr>
          <w:p w14:paraId="17CDEB00">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SOM (g/kg)</w:t>
            </w:r>
          </w:p>
        </w:tc>
        <w:tc>
          <w:tcPr>
            <w:tcW w:w="985" w:type="dxa"/>
            <w:tcBorders>
              <w:top w:val="single" w:color="auto" w:sz="12" w:space="0"/>
              <w:left w:val="nil"/>
              <w:right w:val="nil"/>
            </w:tcBorders>
            <w:vAlign w:val="center"/>
          </w:tcPr>
          <w:p w14:paraId="3FC63CF9">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AN</w:t>
            </w:r>
          </w:p>
          <w:p w14:paraId="3DFD11E5">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(mg/kg)</w:t>
            </w:r>
          </w:p>
        </w:tc>
        <w:tc>
          <w:tcPr>
            <w:tcW w:w="986" w:type="dxa"/>
            <w:tcBorders>
              <w:top w:val="single" w:color="auto" w:sz="12" w:space="0"/>
              <w:left w:val="nil"/>
              <w:right w:val="nil"/>
            </w:tcBorders>
            <w:vAlign w:val="center"/>
          </w:tcPr>
          <w:p w14:paraId="62BE8FC6">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AP (mg/kg)</w:t>
            </w:r>
          </w:p>
        </w:tc>
        <w:tc>
          <w:tcPr>
            <w:tcW w:w="986" w:type="dxa"/>
            <w:tcBorders>
              <w:top w:val="single" w:color="auto" w:sz="12" w:space="0"/>
              <w:left w:val="nil"/>
              <w:right w:val="nil"/>
            </w:tcBorders>
            <w:vAlign w:val="center"/>
          </w:tcPr>
          <w:p w14:paraId="75A1D59A">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AK</w:t>
            </w:r>
          </w:p>
          <w:p w14:paraId="74165D80">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(mg/kg)</w:t>
            </w:r>
          </w:p>
        </w:tc>
        <w:tc>
          <w:tcPr>
            <w:tcW w:w="986" w:type="dxa"/>
            <w:tcBorders>
              <w:top w:val="single" w:color="auto" w:sz="12" w:space="0"/>
              <w:left w:val="nil"/>
              <w:right w:val="nil"/>
            </w:tcBorders>
            <w:vAlign w:val="center"/>
          </w:tcPr>
          <w:p w14:paraId="5CD63963">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TN</w:t>
            </w:r>
          </w:p>
          <w:p w14:paraId="24F2E58F">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(g/kg)</w:t>
            </w:r>
          </w:p>
        </w:tc>
        <w:tc>
          <w:tcPr>
            <w:tcW w:w="986" w:type="dxa"/>
            <w:tcBorders>
              <w:top w:val="single" w:color="auto" w:sz="12" w:space="0"/>
              <w:left w:val="nil"/>
              <w:right w:val="nil"/>
            </w:tcBorders>
            <w:vAlign w:val="center"/>
          </w:tcPr>
          <w:p w14:paraId="6A7AD0A3">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TP</w:t>
            </w:r>
          </w:p>
          <w:p w14:paraId="498D18AB">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(g/kg)</w:t>
            </w:r>
          </w:p>
        </w:tc>
        <w:tc>
          <w:tcPr>
            <w:tcW w:w="986" w:type="dxa"/>
            <w:tcBorders>
              <w:top w:val="single" w:color="auto" w:sz="12" w:space="0"/>
              <w:left w:val="nil"/>
              <w:right w:val="nil"/>
            </w:tcBorders>
            <w:vAlign w:val="center"/>
          </w:tcPr>
          <w:p w14:paraId="05B4ACD3">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TK</w:t>
            </w:r>
          </w:p>
          <w:p w14:paraId="6076E855">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(g/kg)</w:t>
            </w:r>
          </w:p>
        </w:tc>
      </w:tr>
      <w:tr w14:paraId="4A103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6" w:type="dxa"/>
            <w:tcBorders>
              <w:left w:val="nil"/>
              <w:bottom w:val="single" w:color="auto" w:sz="12" w:space="0"/>
              <w:right w:val="nil"/>
            </w:tcBorders>
            <w:vAlign w:val="center"/>
          </w:tcPr>
          <w:p w14:paraId="5BEED094">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Farmland soil</w:t>
            </w:r>
          </w:p>
        </w:tc>
        <w:tc>
          <w:tcPr>
            <w:tcW w:w="665" w:type="dxa"/>
            <w:tcBorders>
              <w:left w:val="nil"/>
              <w:bottom w:val="single" w:color="auto" w:sz="12" w:space="0"/>
              <w:right w:val="nil"/>
            </w:tcBorders>
            <w:vAlign w:val="center"/>
          </w:tcPr>
          <w:p w14:paraId="0F3EFF04">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8.08</w:t>
            </w:r>
          </w:p>
        </w:tc>
        <w:tc>
          <w:tcPr>
            <w:tcW w:w="872" w:type="dxa"/>
            <w:tcBorders>
              <w:left w:val="nil"/>
              <w:bottom w:val="single" w:color="auto" w:sz="12" w:space="0"/>
              <w:right w:val="nil"/>
            </w:tcBorders>
            <w:vAlign w:val="center"/>
          </w:tcPr>
          <w:p w14:paraId="70DF3D50">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14.77</w:t>
            </w:r>
          </w:p>
        </w:tc>
        <w:tc>
          <w:tcPr>
            <w:tcW w:w="985" w:type="dxa"/>
            <w:tcBorders>
              <w:left w:val="nil"/>
              <w:bottom w:val="single" w:color="auto" w:sz="12" w:space="0"/>
              <w:right w:val="nil"/>
            </w:tcBorders>
            <w:vAlign w:val="center"/>
          </w:tcPr>
          <w:p w14:paraId="02DA181B">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98.36</w:t>
            </w:r>
          </w:p>
        </w:tc>
        <w:tc>
          <w:tcPr>
            <w:tcW w:w="986" w:type="dxa"/>
            <w:tcBorders>
              <w:left w:val="nil"/>
              <w:bottom w:val="single" w:color="auto" w:sz="12" w:space="0"/>
              <w:right w:val="nil"/>
            </w:tcBorders>
            <w:vAlign w:val="center"/>
          </w:tcPr>
          <w:p w14:paraId="49ABD473">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59.82</w:t>
            </w:r>
          </w:p>
        </w:tc>
        <w:tc>
          <w:tcPr>
            <w:tcW w:w="986" w:type="dxa"/>
            <w:tcBorders>
              <w:left w:val="nil"/>
              <w:bottom w:val="single" w:color="auto" w:sz="12" w:space="0"/>
              <w:right w:val="nil"/>
            </w:tcBorders>
            <w:vAlign w:val="center"/>
          </w:tcPr>
          <w:p w14:paraId="6EA95304">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228.88</w:t>
            </w:r>
          </w:p>
        </w:tc>
        <w:tc>
          <w:tcPr>
            <w:tcW w:w="986" w:type="dxa"/>
            <w:tcBorders>
              <w:left w:val="nil"/>
              <w:bottom w:val="single" w:color="auto" w:sz="12" w:space="0"/>
              <w:right w:val="nil"/>
            </w:tcBorders>
            <w:vAlign w:val="center"/>
          </w:tcPr>
          <w:p w14:paraId="05A8FF93">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0.96</w:t>
            </w:r>
          </w:p>
        </w:tc>
        <w:tc>
          <w:tcPr>
            <w:tcW w:w="986" w:type="dxa"/>
            <w:tcBorders>
              <w:left w:val="nil"/>
              <w:bottom w:val="single" w:color="auto" w:sz="12" w:space="0"/>
              <w:right w:val="nil"/>
            </w:tcBorders>
            <w:vAlign w:val="center"/>
          </w:tcPr>
          <w:p w14:paraId="6EC79C22">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1.34</w:t>
            </w:r>
          </w:p>
        </w:tc>
        <w:tc>
          <w:tcPr>
            <w:tcW w:w="986" w:type="dxa"/>
            <w:tcBorders>
              <w:left w:val="nil"/>
              <w:bottom w:val="single" w:color="auto" w:sz="12" w:space="0"/>
              <w:right w:val="nil"/>
            </w:tcBorders>
            <w:vAlign w:val="center"/>
          </w:tcPr>
          <w:p w14:paraId="03D986BB">
            <w:pPr>
              <w:jc w:val="center"/>
              <w:rPr>
                <w:rFonts w:hint="default" w:ascii="Arial" w:hAnsi="Arial" w:cs="Arial"/>
                <w:sz w:val="20"/>
                <w:szCs w:val="20"/>
                <w:vertAlign w:val="baseline"/>
                <w:lang w:val="en-US" w:eastAsia="zh-CN"/>
              </w:rPr>
            </w:pPr>
            <w:r>
              <w:rPr>
                <w:rFonts w:hint="default" w:ascii="Arial" w:hAnsi="Arial" w:cs="Arial"/>
                <w:sz w:val="20"/>
                <w:szCs w:val="20"/>
                <w:vertAlign w:val="baseline"/>
                <w:lang w:val="en-US" w:eastAsia="zh-CN"/>
              </w:rPr>
              <w:t>5.12</w:t>
            </w:r>
          </w:p>
        </w:tc>
      </w:tr>
    </w:tbl>
    <w:p w14:paraId="354C3C10">
      <w:pPr>
        <w:rPr>
          <w:rFonts w:hint="default" w:ascii="Times New Roman" w:hAnsi="Times New Roman" w:cs="Times New Roman"/>
          <w:lang w:val="en-US" w:eastAsia="zh-CN"/>
        </w:rPr>
      </w:pPr>
    </w:p>
    <w:p w14:paraId="69BD1528">
      <w:pPr>
        <w:rPr>
          <w:rFonts w:hint="default" w:ascii="Times New Roman" w:hAnsi="Times New Roman" w:cs="Times New Roman"/>
          <w:lang w:val="en-US" w:eastAsia="zh-CN"/>
        </w:rPr>
      </w:pPr>
    </w:p>
    <w:p w14:paraId="56688954">
      <w:pP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523865" cy="3534410"/>
            <wp:effectExtent l="0" t="0" r="635" b="8890"/>
            <wp:docPr id="3" name="图片 3" descr="新建 PPTX 演示文稿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新建 PPTX 演示文稿_01"/>
                    <pic:cNvPicPr>
                      <a:picLocks noChangeAspect="1"/>
                    </pic:cNvPicPr>
                  </pic:nvPicPr>
                  <pic:blipFill>
                    <a:blip r:embed="rId7"/>
                    <a:srcRect r="12069"/>
                    <a:stretch>
                      <a:fillRect/>
                    </a:stretch>
                  </pic:blipFill>
                  <pic:spPr>
                    <a:xfrm>
                      <a:off x="0" y="0"/>
                      <a:ext cx="5523865" cy="3534410"/>
                    </a:xfrm>
                    <a:prstGeom prst="rect">
                      <a:avLst/>
                    </a:prstGeom>
                  </pic:spPr>
                </pic:pic>
              </a:graphicData>
            </a:graphic>
          </wp:inline>
        </w:drawing>
      </w:r>
    </w:p>
    <w:p w14:paraId="27475EA5">
      <w:pPr>
        <w:rPr>
          <w:rFonts w:hint="default" w:ascii="Arial" w:hAnsi="Arial" w:cs="Arial"/>
          <w:b w:val="0"/>
          <w:bCs w:val="0"/>
          <w:sz w:val="18"/>
          <w:szCs w:val="21"/>
          <w:lang w:val="en-US" w:eastAsia="zh-CN"/>
        </w:rPr>
      </w:pPr>
      <w:r>
        <w:rPr>
          <w:rFonts w:hint="default" w:ascii="Arial" w:hAnsi="Arial" w:cs="Arial"/>
          <w:b w:val="0"/>
          <w:bCs w:val="0"/>
          <w:sz w:val="18"/>
          <w:szCs w:val="21"/>
          <w:lang w:val="en-US" w:eastAsia="zh-CN"/>
        </w:rPr>
        <w:t>Figure. S3</w:t>
      </w:r>
      <w:r>
        <w:rPr>
          <w:rFonts w:hint="eastAsia" w:ascii="Arial" w:hAnsi="Arial" w:cs="Arial"/>
          <w:b w:val="0"/>
          <w:bCs w:val="0"/>
          <w:sz w:val="18"/>
          <w:szCs w:val="21"/>
          <w:lang w:val="en-US" w:eastAsia="zh-CN"/>
        </w:rPr>
        <w:t>.</w:t>
      </w:r>
      <w:r>
        <w:rPr>
          <w:rFonts w:hint="default" w:ascii="Arial" w:hAnsi="Arial" w:cs="Arial"/>
          <w:b w:val="0"/>
          <w:bCs w:val="0"/>
          <w:sz w:val="18"/>
          <w:szCs w:val="21"/>
          <w:lang w:val="en-US" w:eastAsia="zh-CN"/>
        </w:rPr>
        <w:t xml:space="preserve"> ROS quantification for bacteria entrapped with microcapsules</w:t>
      </w:r>
    </w:p>
    <w:p w14:paraId="184491CE">
      <w:pPr>
        <w:rPr>
          <w:rFonts w:hint="default" w:ascii="Arial" w:hAnsi="Arial" w:cs="Arial"/>
          <w:b w:val="0"/>
          <w:bCs w:val="0"/>
          <w:lang w:val="en-US" w:eastAsia="zh-CN"/>
        </w:rPr>
      </w:pPr>
    </w:p>
    <w:p w14:paraId="1700920A">
      <w:pPr>
        <w:rPr>
          <w:rFonts w:hint="eastAsia" w:ascii="Times New Roman" w:hAnsi="Times New Roman" w:cs="Times New Roman"/>
          <w:b w:val="0"/>
          <w:bCs w:val="0"/>
          <w:lang w:val="en-US" w:eastAsia="zh-CN"/>
        </w:rPr>
      </w:pPr>
    </w:p>
    <w:p w14:paraId="3E808C29">
      <w:pPr>
        <w:rPr>
          <w:rFonts w:hint="eastAsia" w:ascii="Arial" w:hAnsi="Arial" w:eastAsia="宋体" w:cs="Arial"/>
          <w:kern w:val="2"/>
          <w:sz w:val="18"/>
          <w:szCs w:val="18"/>
          <w:lang w:val="en-US" w:eastAsia="zh-CN" w:bidi="ar-SA"/>
        </w:rPr>
      </w:pPr>
      <w:r>
        <w:rPr>
          <w:rFonts w:hint="eastAsia" w:ascii="Arial" w:hAnsi="Arial" w:eastAsia="宋体" w:cs="Arial"/>
          <w:kern w:val="2"/>
          <w:sz w:val="18"/>
          <w:szCs w:val="18"/>
          <w:lang w:val="en-US" w:eastAsia="zh-CN" w:bidi="ar-SA"/>
        </w:rPr>
        <w:drawing>
          <wp:inline distT="0" distB="0" distL="114300" distR="114300">
            <wp:extent cx="3611245" cy="2970530"/>
            <wp:effectExtent l="0" t="0" r="8255" b="1270"/>
            <wp:docPr id="8" name="图片 8" descr="OH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OH11"/>
                    <pic:cNvPicPr>
                      <a:picLocks noChangeAspect="1"/>
                    </pic:cNvPicPr>
                  </pic:nvPicPr>
                  <pic:blipFill>
                    <a:blip r:embed="rId8"/>
                    <a:stretch>
                      <a:fillRect/>
                    </a:stretch>
                  </pic:blipFill>
                  <pic:spPr>
                    <a:xfrm>
                      <a:off x="0" y="0"/>
                      <a:ext cx="3611245" cy="2970530"/>
                    </a:xfrm>
                    <a:prstGeom prst="rect">
                      <a:avLst/>
                    </a:prstGeom>
                  </pic:spPr>
                </pic:pic>
              </a:graphicData>
            </a:graphic>
          </wp:inline>
        </w:drawing>
      </w:r>
    </w:p>
    <w:p w14:paraId="6D5DAA2A">
      <w:pPr>
        <w:rPr>
          <w:rFonts w:hint="eastAsia" w:ascii="Arial" w:hAnsi="Arial" w:eastAsia="宋体" w:cs="Arial"/>
          <w:kern w:val="2"/>
          <w:sz w:val="18"/>
          <w:szCs w:val="18"/>
          <w:lang w:val="en-US" w:eastAsia="zh-CN" w:bidi="ar-SA"/>
        </w:rPr>
      </w:pPr>
    </w:p>
    <w:p w14:paraId="0CAFDE9D">
      <w:pPr>
        <w:rPr>
          <w:rFonts w:hint="eastAsia" w:ascii="Arial" w:hAnsi="Arial" w:eastAsia="宋体" w:cs="Arial"/>
          <w:kern w:val="2"/>
          <w:sz w:val="18"/>
          <w:szCs w:val="18"/>
          <w:lang w:val="en-US" w:eastAsia="zh-CN" w:bidi="ar-SA"/>
        </w:rPr>
      </w:pPr>
      <w:r>
        <w:rPr>
          <w:rFonts w:hint="eastAsia" w:ascii="Arial" w:hAnsi="Arial" w:eastAsia="宋体" w:cs="Arial"/>
          <w:kern w:val="2"/>
          <w:sz w:val="18"/>
          <w:szCs w:val="18"/>
          <w:lang w:val="en-US" w:eastAsia="zh-CN" w:bidi="ar-SA"/>
        </w:rPr>
        <w:t xml:space="preserve">Figure. S4. Viability of free </w:t>
      </w:r>
      <w:r>
        <w:rPr>
          <w:rFonts w:hint="eastAsia" w:ascii="Arial" w:hAnsi="Arial" w:eastAsia="宋体" w:cs="Arial"/>
          <w:i/>
          <w:iCs/>
          <w:kern w:val="2"/>
          <w:sz w:val="18"/>
          <w:szCs w:val="18"/>
          <w:lang w:val="en-US" w:eastAsia="zh-CN" w:bidi="ar-SA"/>
        </w:rPr>
        <w:t>Lysobacter enzymogenes</w:t>
      </w:r>
      <w:r>
        <w:rPr>
          <w:rFonts w:hint="eastAsia" w:ascii="Arial" w:hAnsi="Arial" w:eastAsia="宋体" w:cs="Arial"/>
          <w:kern w:val="2"/>
          <w:sz w:val="18"/>
          <w:szCs w:val="18"/>
          <w:lang w:val="en-US" w:eastAsia="zh-CN" w:bidi="ar-SA"/>
        </w:rPr>
        <w:t xml:space="preserve"> OH11 and encapsulated </w:t>
      </w:r>
      <w:r>
        <w:rPr>
          <w:rFonts w:hint="eastAsia" w:ascii="Arial" w:hAnsi="Arial" w:eastAsia="宋体" w:cs="Arial"/>
          <w:i/>
          <w:iCs/>
          <w:kern w:val="2"/>
          <w:sz w:val="18"/>
          <w:szCs w:val="18"/>
          <w:lang w:val="en-US" w:eastAsia="zh-CN" w:bidi="ar-SA"/>
        </w:rPr>
        <w:t>Lysobacter enzymogenes</w:t>
      </w:r>
      <w:r>
        <w:rPr>
          <w:rFonts w:hint="eastAsia" w:ascii="Arial" w:hAnsi="Arial" w:eastAsia="宋体" w:cs="Arial"/>
          <w:kern w:val="2"/>
          <w:sz w:val="18"/>
          <w:szCs w:val="18"/>
          <w:lang w:val="en-US" w:eastAsia="zh-CN" w:bidi="ar-SA"/>
        </w:rPr>
        <w:t xml:space="preserve"> OH11 during storage.</w:t>
      </w:r>
    </w:p>
    <w:p w14:paraId="438164DC">
      <w:pPr>
        <w:rPr>
          <w:rFonts w:hint="eastAsia" w:ascii="Arial" w:hAnsi="Arial" w:eastAsia="宋体" w:cs="Arial"/>
          <w:kern w:val="2"/>
          <w:sz w:val="18"/>
          <w:szCs w:val="18"/>
          <w:lang w:val="en-US" w:eastAsia="zh-CN" w:bidi="ar-SA"/>
        </w:rPr>
      </w:pPr>
    </w:p>
    <w:p w14:paraId="63336F10">
      <w:pPr>
        <w:rPr>
          <w:rFonts w:hint="eastAsia" w:ascii="Arial" w:hAnsi="Arial" w:eastAsia="宋体" w:cs="Arial"/>
          <w:kern w:val="2"/>
          <w:sz w:val="18"/>
          <w:szCs w:val="18"/>
          <w:lang w:val="en-US" w:eastAsia="zh-CN" w:bidi="ar-SA"/>
        </w:rPr>
      </w:pPr>
    </w:p>
    <w:p w14:paraId="6583AB81">
      <w:pPr>
        <w:rPr>
          <w:rFonts w:hint="eastAsia" w:ascii="Arial" w:hAnsi="Arial" w:eastAsia="宋体" w:cs="Arial"/>
          <w:kern w:val="2"/>
          <w:sz w:val="18"/>
          <w:szCs w:val="18"/>
          <w:lang w:val="en-US" w:eastAsia="zh-CN" w:bidi="ar-SA"/>
        </w:rPr>
      </w:pPr>
    </w:p>
    <w:p w14:paraId="55316B6F">
      <w:pPr>
        <w:rPr>
          <w:rFonts w:hint="eastAsia" w:ascii="Arial" w:hAnsi="Arial" w:eastAsia="宋体" w:cs="Arial"/>
          <w:kern w:val="2"/>
          <w:sz w:val="18"/>
          <w:szCs w:val="18"/>
          <w:lang w:val="en-US" w:eastAsia="zh-CN" w:bidi="ar-SA"/>
        </w:rPr>
      </w:pPr>
    </w:p>
    <w:p w14:paraId="30EEE731">
      <w:pPr>
        <w:rPr>
          <w:rFonts w:hint="eastAsia" w:ascii="Arial" w:hAnsi="Arial" w:eastAsia="宋体" w:cs="Arial"/>
          <w:kern w:val="2"/>
          <w:sz w:val="18"/>
          <w:szCs w:val="18"/>
          <w:lang w:val="en-US" w:eastAsia="zh-CN" w:bidi="ar-SA"/>
        </w:rPr>
      </w:pPr>
    </w:p>
    <w:p w14:paraId="0CD4C667">
      <w:pPr>
        <w:rPr>
          <w:rFonts w:hint="eastAsia" w:ascii="Arial" w:hAnsi="Arial" w:eastAsia="宋体" w:cs="Arial"/>
          <w:kern w:val="2"/>
          <w:sz w:val="18"/>
          <w:szCs w:val="18"/>
          <w:lang w:val="en-US" w:eastAsia="zh-CN" w:bidi="ar-SA"/>
        </w:rPr>
      </w:pPr>
    </w:p>
    <w:p w14:paraId="3C2B1A4B">
      <w:pPr>
        <w:rPr>
          <w:rFonts w:hint="eastAsia" w:ascii="Arial" w:hAnsi="Arial" w:eastAsia="宋体" w:cs="Arial"/>
          <w:kern w:val="2"/>
          <w:sz w:val="18"/>
          <w:szCs w:val="18"/>
          <w:lang w:val="en-US" w:eastAsia="zh-CN" w:bidi="ar-SA"/>
        </w:rPr>
      </w:pPr>
    </w:p>
    <w:p w14:paraId="2E60EE02">
      <w:pPr>
        <w:rPr>
          <w:rFonts w:hint="eastAsia" w:ascii="Arial" w:hAnsi="Arial" w:eastAsia="宋体" w:cs="Arial"/>
          <w:kern w:val="2"/>
          <w:sz w:val="18"/>
          <w:szCs w:val="18"/>
          <w:lang w:val="en-US" w:eastAsia="zh-CN" w:bidi="ar-SA"/>
        </w:rPr>
      </w:pPr>
    </w:p>
    <w:p w14:paraId="0D480976">
      <w:pPr>
        <w:rPr>
          <w:rFonts w:hint="eastAsia" w:ascii="Arial" w:hAnsi="Arial" w:eastAsia="宋体" w:cs="Arial"/>
          <w:kern w:val="2"/>
          <w:sz w:val="18"/>
          <w:szCs w:val="18"/>
          <w:lang w:val="en-US" w:eastAsia="zh-CN" w:bidi="ar-SA"/>
        </w:rPr>
      </w:pPr>
      <w:r>
        <w:rPr>
          <w:rFonts w:hint="eastAsia" w:ascii="Arial" w:hAnsi="Arial" w:eastAsia="宋体" w:cs="Arial"/>
          <w:kern w:val="2"/>
          <w:sz w:val="18"/>
          <w:szCs w:val="18"/>
          <w:lang w:val="en-US" w:eastAsia="zh-CN" w:bidi="ar-SA"/>
        </w:rPr>
        <w:drawing>
          <wp:inline distT="0" distB="0" distL="114300" distR="114300">
            <wp:extent cx="3644265" cy="3078480"/>
            <wp:effectExtent l="0" t="0" r="13335" b="7620"/>
            <wp:docPr id="9" name="图片 9" descr="L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L16"/>
                    <pic:cNvPicPr>
                      <a:picLocks noChangeAspect="1"/>
                    </pic:cNvPicPr>
                  </pic:nvPicPr>
                  <pic:blipFill>
                    <a:blip r:embed="rId9"/>
                    <a:stretch>
                      <a:fillRect/>
                    </a:stretch>
                  </pic:blipFill>
                  <pic:spPr>
                    <a:xfrm>
                      <a:off x="0" y="0"/>
                      <a:ext cx="3644265" cy="3078480"/>
                    </a:xfrm>
                    <a:prstGeom prst="rect">
                      <a:avLst/>
                    </a:prstGeom>
                  </pic:spPr>
                </pic:pic>
              </a:graphicData>
            </a:graphic>
          </wp:inline>
        </w:drawing>
      </w:r>
    </w:p>
    <w:p w14:paraId="56B5B658">
      <w:pPr>
        <w:rPr>
          <w:rFonts w:hint="eastAsia" w:ascii="Arial" w:hAnsi="Arial" w:eastAsia="宋体" w:cs="Arial"/>
          <w:kern w:val="2"/>
          <w:sz w:val="18"/>
          <w:szCs w:val="18"/>
          <w:lang w:val="en-US" w:eastAsia="zh-CN" w:bidi="ar-SA"/>
        </w:rPr>
      </w:pPr>
      <w:r>
        <w:rPr>
          <w:rFonts w:hint="eastAsia" w:ascii="Arial" w:hAnsi="Arial" w:eastAsia="宋体" w:cs="Arial"/>
          <w:kern w:val="2"/>
          <w:sz w:val="18"/>
          <w:szCs w:val="18"/>
          <w:lang w:val="en-US" w:eastAsia="zh-CN" w:bidi="ar-SA"/>
        </w:rPr>
        <w:t xml:space="preserve">Figure. S5. Viability of free </w:t>
      </w:r>
      <w:r>
        <w:rPr>
          <w:rFonts w:hint="eastAsia" w:ascii="Arial" w:hAnsi="Arial" w:eastAsia="宋体" w:cs="Arial"/>
          <w:i/>
          <w:iCs/>
          <w:kern w:val="2"/>
          <w:sz w:val="18"/>
          <w:szCs w:val="18"/>
          <w:lang w:val="en-US" w:eastAsia="zh-CN" w:bidi="ar-SA"/>
        </w:rPr>
        <w:t>Pseudomonas nitroreducens</w:t>
      </w:r>
      <w:r>
        <w:rPr>
          <w:rFonts w:hint="eastAsia" w:ascii="Arial" w:hAnsi="Arial" w:eastAsia="宋体" w:cs="Arial"/>
          <w:kern w:val="2"/>
          <w:sz w:val="18"/>
          <w:szCs w:val="18"/>
          <w:lang w:val="en-US" w:eastAsia="zh-CN" w:bidi="ar-SA"/>
        </w:rPr>
        <w:t xml:space="preserve"> L16 and encapsulated </w:t>
      </w:r>
      <w:r>
        <w:rPr>
          <w:rFonts w:hint="eastAsia" w:ascii="Arial" w:hAnsi="Arial" w:eastAsia="宋体" w:cs="Arial"/>
          <w:i/>
          <w:iCs/>
          <w:kern w:val="2"/>
          <w:sz w:val="18"/>
          <w:szCs w:val="18"/>
          <w:lang w:val="en-US" w:eastAsia="zh-CN" w:bidi="ar-SA"/>
        </w:rPr>
        <w:t>Pseudomonas nitroreducens</w:t>
      </w:r>
      <w:r>
        <w:rPr>
          <w:rFonts w:hint="eastAsia" w:ascii="Arial" w:hAnsi="Arial" w:eastAsia="宋体" w:cs="Arial"/>
          <w:kern w:val="2"/>
          <w:sz w:val="18"/>
          <w:szCs w:val="18"/>
          <w:lang w:val="en-US" w:eastAsia="zh-CN" w:bidi="ar-SA"/>
        </w:rPr>
        <w:t xml:space="preserve"> L16 during storage.</w:t>
      </w:r>
    </w:p>
    <w:p w14:paraId="5E9A7F44">
      <w:pPr>
        <w:rPr>
          <w:rFonts w:hint="eastAsia" w:ascii="Arial" w:hAnsi="Arial" w:eastAsia="宋体" w:cs="Arial"/>
          <w:kern w:val="2"/>
          <w:sz w:val="18"/>
          <w:szCs w:val="18"/>
          <w:lang w:val="en-US" w:eastAsia="zh-CN" w:bidi="ar-SA"/>
        </w:rPr>
      </w:pPr>
    </w:p>
    <w:p w14:paraId="09FC928C">
      <w:pPr>
        <w:rPr>
          <w:rFonts w:hint="default" w:ascii="Times New Roman" w:hAnsi="Times New Roman" w:cs="Times New Roman"/>
          <w:lang w:val="en-US" w:eastAsia="zh-CN"/>
        </w:rPr>
      </w:pPr>
    </w:p>
    <w:p w14:paraId="409D237F">
      <w:pPr>
        <w:rPr>
          <w:rFonts w:hint="default" w:ascii="Times New Roman" w:hAnsi="Times New Roman" w:cs="Times New Roman"/>
          <w:lang w:val="en-US" w:eastAsia="zh-CN"/>
        </w:rPr>
      </w:pPr>
    </w:p>
    <w:p w14:paraId="331283E0">
      <w:pPr>
        <w:rPr>
          <w:rFonts w:hint="default" w:ascii="Times New Roman" w:hAnsi="Times New Roman" w:cs="Times New Roman"/>
          <w:lang w:val="en-US" w:eastAsia="zh-CN"/>
        </w:rPr>
      </w:pPr>
    </w:p>
    <w:p w14:paraId="51414DD0">
      <w:pPr>
        <w:rPr>
          <w:rFonts w:hint="default" w:ascii="Times New Roman" w:hAnsi="Times New Roman" w:cs="Times New Roman"/>
          <w:lang w:val="en-US" w:eastAsia="zh-CN"/>
        </w:rPr>
      </w:pPr>
    </w:p>
    <w:p w14:paraId="754DA6F9">
      <w:pPr>
        <w:rPr>
          <w:rFonts w:hint="default" w:ascii="Times New Roman" w:hAnsi="Times New Roman" w:cs="Times New Roman"/>
          <w:lang w:val="en-US" w:eastAsia="zh-CN"/>
        </w:rPr>
      </w:pPr>
    </w:p>
    <w:p w14:paraId="21B98909">
      <w:pPr>
        <w:rPr>
          <w:rFonts w:hint="default" w:ascii="Times New Roman" w:hAnsi="Times New Roman" w:cs="Times New Roman"/>
          <w:lang w:val="en-US" w:eastAsia="zh-CN"/>
        </w:rPr>
      </w:pPr>
    </w:p>
    <w:p w14:paraId="5F4AD282">
      <w:pPr>
        <w:rPr>
          <w:rFonts w:hint="default" w:ascii="Times New Roman" w:hAnsi="Times New Roman" w:cs="Times New Roman"/>
          <w:lang w:val="en-US" w:eastAsia="zh-CN"/>
        </w:rPr>
      </w:pPr>
    </w:p>
    <w:p w14:paraId="24034DCB">
      <w:pP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3538855" cy="3858895"/>
            <wp:effectExtent l="0" t="0" r="4445" b="8255"/>
            <wp:docPr id="4" name="图片 4" descr="C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CD"/>
                    <pic:cNvPicPr>
                      <a:picLocks noChangeAspect="1"/>
                    </pic:cNvPicPr>
                  </pic:nvPicPr>
                  <pic:blipFill>
                    <a:blip r:embed="rId10"/>
                    <a:stretch>
                      <a:fillRect/>
                    </a:stretch>
                  </pic:blipFill>
                  <pic:spPr>
                    <a:xfrm>
                      <a:off x="0" y="0"/>
                      <a:ext cx="3538855" cy="3858895"/>
                    </a:xfrm>
                    <a:prstGeom prst="rect">
                      <a:avLst/>
                    </a:prstGeom>
                  </pic:spPr>
                </pic:pic>
              </a:graphicData>
            </a:graphic>
          </wp:inline>
        </w:drawing>
      </w:r>
    </w:p>
    <w:p w14:paraId="0FECF047">
      <w:pPr>
        <w:rPr>
          <w:rFonts w:hint="default" w:ascii="Arial" w:hAnsi="Arial" w:cs="Arial"/>
          <w:sz w:val="18"/>
          <w:szCs w:val="18"/>
          <w:lang w:val="en-US" w:eastAsia="zh-CN"/>
        </w:rPr>
      </w:pPr>
      <w:r>
        <w:rPr>
          <w:rFonts w:hint="default" w:ascii="Arial" w:hAnsi="Arial" w:cs="Arial"/>
          <w:sz w:val="18"/>
          <w:szCs w:val="18"/>
          <w:lang w:val="en-US" w:eastAsia="zh-CN"/>
        </w:rPr>
        <w:t>Figure. S</w:t>
      </w:r>
      <w:r>
        <w:rPr>
          <w:rFonts w:hint="eastAsia" w:ascii="Arial" w:hAnsi="Arial" w:cs="Arial"/>
          <w:sz w:val="18"/>
          <w:szCs w:val="18"/>
          <w:lang w:val="en-US" w:eastAsia="zh-CN"/>
        </w:rPr>
        <w:t>6.</w:t>
      </w:r>
      <w:r>
        <w:rPr>
          <w:rFonts w:hint="default" w:ascii="Arial" w:hAnsi="Arial" w:cs="Arial"/>
          <w:sz w:val="18"/>
          <w:szCs w:val="18"/>
          <w:lang w:val="en-US" w:eastAsia="zh-CN"/>
        </w:rPr>
        <w:t xml:space="preserve"> Enrichment bubble chart of the KEGG pathways of down-regulated DEPs between CK-12W and CK-0W.</w:t>
      </w:r>
    </w:p>
    <w:p w14:paraId="01AA838C">
      <w:pPr>
        <w:rPr>
          <w:rFonts w:hint="default" w:ascii="Times New Roman" w:hAnsi="Times New Roman" w:cs="Times New Roman"/>
          <w:lang w:val="en-US" w:eastAsia="zh-CN"/>
        </w:rPr>
      </w:pPr>
    </w:p>
    <w:p w14:paraId="2E1EE47A">
      <w:pPr>
        <w:rPr>
          <w:rFonts w:hint="default" w:ascii="Times New Roman" w:hAnsi="Times New Roman" w:cs="Times New Roman"/>
          <w:lang w:val="en-US" w:eastAsia="zh-CN"/>
        </w:rPr>
      </w:pPr>
    </w:p>
    <w:p w14:paraId="0431D360">
      <w:pPr>
        <w:rPr>
          <w:rFonts w:hint="default" w:ascii="Times New Roman" w:hAnsi="Times New Roman" w:cs="Times New Roman"/>
          <w:lang w:val="en-US" w:eastAsia="zh-CN"/>
        </w:rPr>
      </w:pPr>
    </w:p>
    <w:p w14:paraId="6B4F3697">
      <w:pPr>
        <w:rPr>
          <w:rFonts w:hint="default" w:ascii="Times New Roman" w:hAnsi="Times New Roman" w:cs="Times New Roman"/>
          <w:lang w:val="en-US" w:eastAsia="zh-CN"/>
        </w:rPr>
      </w:pPr>
    </w:p>
    <w:p w14:paraId="69366A1B">
      <w:pPr>
        <w:rPr>
          <w:rFonts w:hint="default" w:ascii="Times New Roman" w:hAnsi="Times New Roman" w:cs="Times New Roman"/>
          <w:lang w:val="en-US" w:eastAsia="zh-CN"/>
        </w:rPr>
      </w:pPr>
    </w:p>
    <w:p w14:paraId="44F8FA15">
      <w:pP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3325495" cy="3879850"/>
            <wp:effectExtent l="0" t="0" r="8255" b="6350"/>
            <wp:docPr id="5" name="图片 5" descr="A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CU"/>
                    <pic:cNvPicPr>
                      <a:picLocks noChangeAspect="1"/>
                    </pic:cNvPicPr>
                  </pic:nvPicPr>
                  <pic:blipFill>
                    <a:blip r:embed="rId11"/>
                    <a:stretch>
                      <a:fillRect/>
                    </a:stretch>
                  </pic:blipFill>
                  <pic:spPr>
                    <a:xfrm>
                      <a:off x="0" y="0"/>
                      <a:ext cx="3325495" cy="3879850"/>
                    </a:xfrm>
                    <a:prstGeom prst="rect">
                      <a:avLst/>
                    </a:prstGeom>
                  </pic:spPr>
                </pic:pic>
              </a:graphicData>
            </a:graphic>
          </wp:inline>
        </w:drawing>
      </w:r>
    </w:p>
    <w:p w14:paraId="401ED14F">
      <w:pPr>
        <w:rPr>
          <w:rFonts w:hint="default" w:ascii="Arial" w:hAnsi="Arial" w:cs="Arial"/>
          <w:sz w:val="18"/>
          <w:szCs w:val="18"/>
          <w:lang w:val="en-US" w:eastAsia="zh-CN"/>
        </w:rPr>
      </w:pPr>
      <w:r>
        <w:rPr>
          <w:rFonts w:hint="default" w:ascii="Arial" w:hAnsi="Arial" w:cs="Arial"/>
          <w:sz w:val="18"/>
          <w:szCs w:val="18"/>
          <w:lang w:val="en-US" w:eastAsia="zh-CN"/>
        </w:rPr>
        <w:t>Figure. S7</w:t>
      </w:r>
      <w:r>
        <w:rPr>
          <w:rFonts w:hint="eastAsia" w:ascii="Arial" w:hAnsi="Arial" w:cs="Arial"/>
          <w:sz w:val="18"/>
          <w:szCs w:val="18"/>
          <w:lang w:val="en-US" w:eastAsia="zh-CN"/>
        </w:rPr>
        <w:t>.</w:t>
      </w:r>
      <w:r>
        <w:rPr>
          <w:rFonts w:hint="default" w:ascii="Arial" w:hAnsi="Arial" w:cs="Arial"/>
          <w:sz w:val="18"/>
          <w:szCs w:val="18"/>
          <w:lang w:val="en-US" w:eastAsia="zh-CN"/>
        </w:rPr>
        <w:t xml:space="preserve"> Enrichment bubble chart of the KEGG pathways of up-regulated DEPs between APC-12W and CK-0W.</w:t>
      </w:r>
    </w:p>
    <w:p w14:paraId="0EDDD036">
      <w:pP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264785" cy="5756910"/>
            <wp:effectExtent l="0" t="0" r="12065" b="15240"/>
            <wp:docPr id="6" name="图片 6" descr="P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PPI"/>
                    <pic:cNvPicPr>
                      <a:picLocks noChangeAspect="1"/>
                    </pic:cNvPicPr>
                  </pic:nvPicPr>
                  <pic:blipFill>
                    <a:blip r:embed="rId12"/>
                    <a:stretch>
                      <a:fillRect/>
                    </a:stretch>
                  </pic:blipFill>
                  <pic:spPr>
                    <a:xfrm>
                      <a:off x="0" y="0"/>
                      <a:ext cx="5264785" cy="5756910"/>
                    </a:xfrm>
                    <a:prstGeom prst="rect">
                      <a:avLst/>
                    </a:prstGeom>
                  </pic:spPr>
                </pic:pic>
              </a:graphicData>
            </a:graphic>
          </wp:inline>
        </w:drawing>
      </w:r>
    </w:p>
    <w:p w14:paraId="00B63596">
      <w:pPr>
        <w:rPr>
          <w:rFonts w:hint="default" w:ascii="Arial" w:hAnsi="Arial" w:cs="Arial"/>
          <w:sz w:val="18"/>
          <w:szCs w:val="18"/>
          <w:lang w:val="en-US" w:eastAsia="zh-CN"/>
        </w:rPr>
      </w:pPr>
      <w:r>
        <w:rPr>
          <w:rFonts w:hint="default" w:ascii="Arial" w:hAnsi="Arial" w:cs="Arial"/>
          <w:sz w:val="18"/>
          <w:szCs w:val="18"/>
          <w:lang w:val="en-US" w:eastAsia="zh-CN"/>
        </w:rPr>
        <w:t>Figure. S</w:t>
      </w:r>
      <w:r>
        <w:rPr>
          <w:rFonts w:hint="eastAsia" w:ascii="Arial" w:hAnsi="Arial" w:cs="Arial"/>
          <w:sz w:val="18"/>
          <w:szCs w:val="18"/>
          <w:lang w:val="en-US" w:eastAsia="zh-CN"/>
        </w:rPr>
        <w:t>8.</w:t>
      </w:r>
      <w:r>
        <w:rPr>
          <w:rFonts w:hint="default" w:ascii="Arial" w:hAnsi="Arial" w:cs="Arial"/>
          <w:sz w:val="18"/>
          <w:szCs w:val="18"/>
          <w:lang w:val="en-US" w:eastAsia="zh-CN"/>
        </w:rPr>
        <w:t xml:space="preserve"> Interaction networks of enriched DEPs with the highest confidence score of &gt;0.400. Proteins are represented by nodes, while the interaction is represented by edges. Proteins (different sports) are clustered with a specified “MCL inflation parameter” of 3. Sports in one cluster are shown with the same color, and edges between them were performed as solid lines. Otherwise, the interactive edges are performed as dashed lines.</w:t>
      </w:r>
    </w:p>
    <w:p w14:paraId="355AFC3E">
      <w:pP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266690" cy="5057140"/>
            <wp:effectExtent l="0" t="0" r="10160" b="10160"/>
            <wp:docPr id="7" name="图片 7" descr="string_interactions_gene91.ts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tring_interactions_gene91.tsv"/>
                    <pic:cNvPicPr>
                      <a:picLocks noChangeAspect="1"/>
                    </pic:cNvPicPr>
                  </pic:nvPicPr>
                  <pic:blipFill>
                    <a:blip r:embed="rId13"/>
                    <a:stretch>
                      <a:fillRect/>
                    </a:stretch>
                  </pic:blipFill>
                  <pic:spPr>
                    <a:xfrm>
                      <a:off x="0" y="0"/>
                      <a:ext cx="5266690" cy="5057140"/>
                    </a:xfrm>
                    <a:prstGeom prst="rect">
                      <a:avLst/>
                    </a:prstGeom>
                  </pic:spPr>
                </pic:pic>
              </a:graphicData>
            </a:graphic>
          </wp:inline>
        </w:drawing>
      </w:r>
    </w:p>
    <w:p w14:paraId="32E860F8">
      <w:pPr>
        <w:widowControl w:val="0"/>
        <w:jc w:val="both"/>
        <w:rPr>
          <w:rFonts w:hint="default" w:ascii="Arial" w:hAnsi="Arial" w:eastAsia="宋体" w:cs="Arial"/>
          <w:kern w:val="2"/>
          <w:sz w:val="18"/>
          <w:szCs w:val="18"/>
          <w:lang w:bidi="ar-SA"/>
        </w:rPr>
      </w:pPr>
      <w:r>
        <w:rPr>
          <w:rFonts w:hint="default" w:ascii="Arial" w:hAnsi="Arial" w:cs="Arial"/>
          <w:sz w:val="18"/>
          <w:szCs w:val="18"/>
          <w:lang w:val="en-US" w:eastAsia="zh-CN"/>
        </w:rPr>
        <w:t>Figure. S</w:t>
      </w:r>
      <w:r>
        <w:rPr>
          <w:rFonts w:hint="eastAsia" w:ascii="Arial" w:hAnsi="Arial" w:cs="Arial"/>
          <w:sz w:val="18"/>
          <w:szCs w:val="18"/>
          <w:lang w:val="en-US" w:eastAsia="zh-CN"/>
        </w:rPr>
        <w:t>9.</w:t>
      </w:r>
      <w:r>
        <w:rPr>
          <w:rFonts w:hint="default" w:ascii="Arial" w:hAnsi="Arial" w:cs="Arial"/>
          <w:sz w:val="18"/>
          <w:szCs w:val="18"/>
          <w:lang w:val="en-US" w:eastAsia="zh-CN"/>
        </w:rPr>
        <w:t xml:space="preserve"> Interaction networks of enriched DEPs constructed by Cytoscape software and ranked by cytoHubba. </w:t>
      </w:r>
      <w:r>
        <w:rPr>
          <w:rFonts w:hint="default" w:ascii="Arial" w:hAnsi="Arial" w:eastAsia="宋体" w:cs="Arial"/>
          <w:kern w:val="2"/>
          <w:sz w:val="18"/>
          <w:szCs w:val="18"/>
          <w:lang w:bidi="ar-SA"/>
        </w:rPr>
        <w:t>Red represents a higher value of betweenness, while blue indicates a lower value of betweenness.</w:t>
      </w:r>
    </w:p>
    <w:p w14:paraId="117A335B">
      <w:pPr>
        <w:widowControl w:val="0"/>
        <w:jc w:val="both"/>
        <w:rPr>
          <w:rFonts w:hint="default" w:ascii="Arial" w:hAnsi="Arial" w:eastAsia="宋体" w:cs="Arial"/>
          <w:kern w:val="2"/>
          <w:sz w:val="18"/>
          <w:szCs w:val="18"/>
          <w:lang w:bidi="ar-SA"/>
        </w:rPr>
      </w:pPr>
    </w:p>
    <w:p w14:paraId="14365BB0">
      <w:pPr>
        <w:widowControl w:val="0"/>
        <w:jc w:val="both"/>
        <w:rPr>
          <w:rFonts w:hint="eastAsia" w:ascii="Arial" w:hAnsi="Arial" w:eastAsia="宋体" w:cs="Arial"/>
          <w:kern w:val="2"/>
          <w:sz w:val="18"/>
          <w:szCs w:val="18"/>
          <w:lang w:val="en-US" w:eastAsia="zh-CN" w:bidi="ar-SA"/>
        </w:rPr>
      </w:pPr>
    </w:p>
    <w:p w14:paraId="174993BE">
      <w:pPr>
        <w:widowControl w:val="0"/>
        <w:jc w:val="both"/>
        <w:rPr>
          <w:rFonts w:hint="eastAsia" w:ascii="Arial" w:hAnsi="Arial" w:eastAsia="宋体" w:cs="Arial"/>
          <w:kern w:val="2"/>
          <w:sz w:val="18"/>
          <w:szCs w:val="18"/>
          <w:lang w:val="en-US" w:eastAsia="zh-CN" w:bidi="ar-SA"/>
        </w:rPr>
      </w:pPr>
    </w:p>
    <w:p w14:paraId="643DBE64">
      <w:pPr>
        <w:widowControl w:val="0"/>
        <w:jc w:val="both"/>
        <w:rPr>
          <w:rFonts w:hint="eastAsia" w:ascii="Arial" w:hAnsi="Arial" w:eastAsia="宋体" w:cs="Arial"/>
          <w:kern w:val="2"/>
          <w:sz w:val="18"/>
          <w:szCs w:val="18"/>
          <w:lang w:val="en-US" w:eastAsia="zh-CN" w:bidi="ar-SA"/>
        </w:rPr>
      </w:pPr>
    </w:p>
    <w:p w14:paraId="0AB2E466">
      <w:pPr>
        <w:widowControl w:val="0"/>
        <w:jc w:val="both"/>
        <w:rPr>
          <w:rFonts w:hint="eastAsia" w:ascii="Arial" w:hAnsi="Arial" w:eastAsia="宋体" w:cs="Arial"/>
          <w:kern w:val="2"/>
          <w:sz w:val="18"/>
          <w:szCs w:val="18"/>
          <w:lang w:val="en-US" w:eastAsia="zh-CN" w:bidi="ar-SA"/>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 w:name="AdvTT5235d5a9">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0F5A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6FFBB8A">
                          <w:pPr>
                            <w:pStyle w:val="2"/>
                            <w:rPr>
                              <w:rFonts w:hint="default" w:ascii="Georgia" w:hAnsi="Georgia" w:cs="Georgia"/>
                              <w:sz w:val="24"/>
                              <w:szCs w:val="24"/>
                            </w:rPr>
                          </w:pPr>
                          <w:r>
                            <w:rPr>
                              <w:rFonts w:hint="default" w:ascii="Georgia" w:hAnsi="Georgia" w:cs="Georgia"/>
                              <w:sz w:val="24"/>
                              <w:szCs w:val="24"/>
                            </w:rPr>
                            <w:fldChar w:fldCharType="begin"/>
                          </w:r>
                          <w:r>
                            <w:rPr>
                              <w:rFonts w:hint="default" w:ascii="Georgia" w:hAnsi="Georgia" w:cs="Georgia"/>
                              <w:sz w:val="24"/>
                              <w:szCs w:val="24"/>
                            </w:rPr>
                            <w:instrText xml:space="preserve"> PAGE  \* MERGEFORMAT </w:instrText>
                          </w:r>
                          <w:r>
                            <w:rPr>
                              <w:rFonts w:hint="default" w:ascii="Georgia" w:hAnsi="Georgia" w:cs="Georgia"/>
                              <w:sz w:val="24"/>
                              <w:szCs w:val="24"/>
                            </w:rPr>
                            <w:fldChar w:fldCharType="separate"/>
                          </w:r>
                          <w:r>
                            <w:rPr>
                              <w:rFonts w:hint="default" w:ascii="Georgia" w:hAnsi="Georgia" w:cs="Georgia"/>
                              <w:sz w:val="24"/>
                              <w:szCs w:val="24"/>
                            </w:rPr>
                            <w:t>1</w:t>
                          </w:r>
                          <w:r>
                            <w:rPr>
                              <w:rFonts w:hint="default" w:ascii="Georgia" w:hAnsi="Georgia" w:cs="Georg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H7cf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E4ftx90CAAAmBgAADgAAAAAAAAABACAAAAAfAQAAZHJzL2Uyb0RvYy54bWxQSwUG&#10;AAAAAAYABgBZAQAAbgYAAAAA&#10;">
              <v:fill on="f" focussize="0,0"/>
              <v:stroke on="f" weight="0.5pt"/>
              <v:imagedata o:title=""/>
              <o:lock v:ext="edit" aspectratio="f"/>
              <v:textbox inset="0mm,0mm,0mm,0mm" style="mso-fit-shape-to-text:t;">
                <w:txbxContent>
                  <w:p w14:paraId="56FFBB8A">
                    <w:pPr>
                      <w:pStyle w:val="2"/>
                      <w:rPr>
                        <w:rFonts w:hint="default" w:ascii="Georgia" w:hAnsi="Georgia" w:cs="Georgia"/>
                        <w:sz w:val="24"/>
                        <w:szCs w:val="24"/>
                      </w:rPr>
                    </w:pPr>
                    <w:r>
                      <w:rPr>
                        <w:rFonts w:hint="default" w:ascii="Georgia" w:hAnsi="Georgia" w:cs="Georgia"/>
                        <w:sz w:val="24"/>
                        <w:szCs w:val="24"/>
                      </w:rPr>
                      <w:fldChar w:fldCharType="begin"/>
                    </w:r>
                    <w:r>
                      <w:rPr>
                        <w:rFonts w:hint="default" w:ascii="Georgia" w:hAnsi="Georgia" w:cs="Georgia"/>
                        <w:sz w:val="24"/>
                        <w:szCs w:val="24"/>
                      </w:rPr>
                      <w:instrText xml:space="preserve"> PAGE  \* MERGEFORMAT </w:instrText>
                    </w:r>
                    <w:r>
                      <w:rPr>
                        <w:rFonts w:hint="default" w:ascii="Georgia" w:hAnsi="Georgia" w:cs="Georgia"/>
                        <w:sz w:val="24"/>
                        <w:szCs w:val="24"/>
                      </w:rPr>
                      <w:fldChar w:fldCharType="separate"/>
                    </w:r>
                    <w:r>
                      <w:rPr>
                        <w:rFonts w:hint="default" w:ascii="Georgia" w:hAnsi="Georgia" w:cs="Georgia"/>
                        <w:sz w:val="24"/>
                        <w:szCs w:val="24"/>
                      </w:rPr>
                      <w:t>1</w:t>
                    </w:r>
                    <w:r>
                      <w:rPr>
                        <w:rFonts w:hint="default" w:ascii="Georgia" w:hAnsi="Georgia" w:cs="Georgia"/>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ZDUzYjY4MmJjZDhjNDA1MmNmYjE4ZWYzZDFiZDAifQ=="/>
  </w:docVars>
  <w:rsids>
    <w:rsidRoot w:val="00000000"/>
    <w:rsid w:val="00E82874"/>
    <w:rsid w:val="01116F23"/>
    <w:rsid w:val="01143366"/>
    <w:rsid w:val="01A26A0C"/>
    <w:rsid w:val="026414E0"/>
    <w:rsid w:val="041A1B45"/>
    <w:rsid w:val="06964C68"/>
    <w:rsid w:val="077A0A02"/>
    <w:rsid w:val="089C37D3"/>
    <w:rsid w:val="08BB1524"/>
    <w:rsid w:val="0CDC7590"/>
    <w:rsid w:val="0D596BAB"/>
    <w:rsid w:val="0FC71A98"/>
    <w:rsid w:val="111C620F"/>
    <w:rsid w:val="12F86B39"/>
    <w:rsid w:val="13E826F0"/>
    <w:rsid w:val="147237C0"/>
    <w:rsid w:val="16AE5760"/>
    <w:rsid w:val="17084E70"/>
    <w:rsid w:val="17136210"/>
    <w:rsid w:val="17F90C5D"/>
    <w:rsid w:val="197E141A"/>
    <w:rsid w:val="1A43097D"/>
    <w:rsid w:val="1B1F5F7B"/>
    <w:rsid w:val="1BBD66E5"/>
    <w:rsid w:val="1DD245D7"/>
    <w:rsid w:val="1E8F7C25"/>
    <w:rsid w:val="1F9F20EA"/>
    <w:rsid w:val="1FC3402A"/>
    <w:rsid w:val="20334BDE"/>
    <w:rsid w:val="20931C74"/>
    <w:rsid w:val="224338C6"/>
    <w:rsid w:val="22910410"/>
    <w:rsid w:val="24180276"/>
    <w:rsid w:val="263303FE"/>
    <w:rsid w:val="27BC42FE"/>
    <w:rsid w:val="283C0E1E"/>
    <w:rsid w:val="2ABC4498"/>
    <w:rsid w:val="2AE636CE"/>
    <w:rsid w:val="2B2E492E"/>
    <w:rsid w:val="2DD65871"/>
    <w:rsid w:val="2F030788"/>
    <w:rsid w:val="34D5171C"/>
    <w:rsid w:val="34E72E87"/>
    <w:rsid w:val="3579092B"/>
    <w:rsid w:val="364A2958"/>
    <w:rsid w:val="36B84AF8"/>
    <w:rsid w:val="37500442"/>
    <w:rsid w:val="389D1722"/>
    <w:rsid w:val="38E55BB5"/>
    <w:rsid w:val="3A5B111A"/>
    <w:rsid w:val="3D1E069A"/>
    <w:rsid w:val="3D383E5F"/>
    <w:rsid w:val="40701FDD"/>
    <w:rsid w:val="416E4D71"/>
    <w:rsid w:val="41A50A65"/>
    <w:rsid w:val="42707A60"/>
    <w:rsid w:val="428F1BB8"/>
    <w:rsid w:val="42B847B4"/>
    <w:rsid w:val="43BC6225"/>
    <w:rsid w:val="448B0D0B"/>
    <w:rsid w:val="44CC4B24"/>
    <w:rsid w:val="45252F0E"/>
    <w:rsid w:val="46216A5D"/>
    <w:rsid w:val="470B1C8F"/>
    <w:rsid w:val="470C7839"/>
    <w:rsid w:val="482D3A38"/>
    <w:rsid w:val="484336AB"/>
    <w:rsid w:val="48691363"/>
    <w:rsid w:val="48E07351"/>
    <w:rsid w:val="493B5334"/>
    <w:rsid w:val="4A8835F7"/>
    <w:rsid w:val="4B362C2A"/>
    <w:rsid w:val="4C077CA7"/>
    <w:rsid w:val="4EFF377E"/>
    <w:rsid w:val="4F2373F5"/>
    <w:rsid w:val="4F6208BA"/>
    <w:rsid w:val="4FDB3F44"/>
    <w:rsid w:val="4FEA0F52"/>
    <w:rsid w:val="50E27F05"/>
    <w:rsid w:val="50EF1EEC"/>
    <w:rsid w:val="52F932E4"/>
    <w:rsid w:val="56E40861"/>
    <w:rsid w:val="571920D9"/>
    <w:rsid w:val="58DD3B7B"/>
    <w:rsid w:val="59C14E89"/>
    <w:rsid w:val="5A7517E8"/>
    <w:rsid w:val="5BC5198C"/>
    <w:rsid w:val="5C3929A3"/>
    <w:rsid w:val="5D2668DA"/>
    <w:rsid w:val="5EF667F0"/>
    <w:rsid w:val="60990B9C"/>
    <w:rsid w:val="61040C8C"/>
    <w:rsid w:val="680D3662"/>
    <w:rsid w:val="696D3FD3"/>
    <w:rsid w:val="697666DF"/>
    <w:rsid w:val="6FCD6EBB"/>
    <w:rsid w:val="70B2711B"/>
    <w:rsid w:val="719E17CE"/>
    <w:rsid w:val="74170CB4"/>
    <w:rsid w:val="767D5A0E"/>
    <w:rsid w:val="76F95D91"/>
    <w:rsid w:val="77BB7A13"/>
    <w:rsid w:val="781F1064"/>
    <w:rsid w:val="783D4E9E"/>
    <w:rsid w:val="79DF0BD6"/>
    <w:rsid w:val="7A4F4C40"/>
    <w:rsid w:val="7A567A1A"/>
    <w:rsid w:val="7B4E03F5"/>
    <w:rsid w:val="7C7F36CC"/>
    <w:rsid w:val="7EC65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9.jpeg"/><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1174</Words>
  <Characters>6721</Characters>
  <Lines>0</Lines>
  <Paragraphs>0</Paragraphs>
  <TotalTime>2</TotalTime>
  <ScaleCrop>false</ScaleCrop>
  <LinksUpToDate>false</LinksUpToDate>
  <CharactersWithSpaces>7607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2024-09-23T03:26:00Z</dcterms:created>
  <dc:creator>Administrator</dc:creator>
  <cp:lastModifiedBy>杨凯</cp:lastModifiedBy>
  <dcterms:modified xsi:type="dcterms:W3CDTF">2025-02-12T13:53:18Z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DB789FA5A398475FB9561FA4CC39B7A7_12</vt:lpwstr>
  </property>
  <property fmtid="{D5CDD505-2E9C-101B-9397-08002B2CF9AE}" pid="4" name="KSOTemplateDocerSaveRecord">
    <vt:lpwstr>eyJoZGlkIjoiNTBhZDUzYjY4MmJjZDhjNDA1MmNmYjE4ZWYzZDFiZDAiLCJ1c2VySWQiOiIyNTYzNzEwMjAifQ==</vt:lpwstr>
  </property>
</Properties>
</file>