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E0AAA2" w14:textId="0AAE8D82" w:rsidR="009A313B" w:rsidRDefault="009A313B" w:rsidP="006403BD">
      <w:pPr>
        <w:autoSpaceDE w:val="0"/>
        <w:autoSpaceDN w:val="0"/>
        <w:adjustRightInd w:val="0"/>
        <w:spacing w:after="0" w:line="240" w:lineRule="auto"/>
        <w:rPr>
          <w:rFonts w:asciiTheme="majorBidi" w:hAnsiTheme="majorBidi" w:cstheme="majorBidi"/>
          <w:b/>
          <w:noProof/>
          <w:color w:val="231F20"/>
          <w:sz w:val="24"/>
          <w:szCs w:val="24"/>
          <w:u w:val="single"/>
        </w:rPr>
      </w:pPr>
      <w:r w:rsidRPr="006403BD">
        <w:rPr>
          <w:rFonts w:asciiTheme="majorBidi" w:hAnsiTheme="majorBidi" w:cstheme="majorBidi"/>
          <w:b/>
          <w:noProof/>
          <w:color w:val="231F20"/>
          <w:sz w:val="24"/>
          <w:szCs w:val="24"/>
          <w:u w:val="single"/>
        </w:rPr>
        <w:t>Supplementa</w:t>
      </w:r>
      <w:r w:rsidR="00317C09">
        <w:rPr>
          <w:rFonts w:asciiTheme="majorBidi" w:hAnsiTheme="majorBidi" w:cstheme="majorBidi"/>
          <w:b/>
          <w:noProof/>
          <w:color w:val="231F20"/>
          <w:sz w:val="24"/>
          <w:szCs w:val="24"/>
          <w:u w:val="single"/>
        </w:rPr>
        <w:t>ry</w:t>
      </w:r>
      <w:r w:rsidRPr="006403BD">
        <w:rPr>
          <w:rFonts w:asciiTheme="majorBidi" w:hAnsiTheme="majorBidi" w:cstheme="majorBidi"/>
          <w:b/>
          <w:noProof/>
          <w:color w:val="231F20"/>
          <w:sz w:val="24"/>
          <w:szCs w:val="24"/>
          <w:u w:val="single"/>
        </w:rPr>
        <w:t xml:space="preserve"> Materials</w:t>
      </w:r>
    </w:p>
    <w:p w14:paraId="30F6D42C" w14:textId="77777777" w:rsidR="00A77E12" w:rsidRDefault="00A77E12" w:rsidP="006403BD">
      <w:pPr>
        <w:autoSpaceDE w:val="0"/>
        <w:autoSpaceDN w:val="0"/>
        <w:adjustRightInd w:val="0"/>
        <w:spacing w:after="0" w:line="240" w:lineRule="auto"/>
        <w:rPr>
          <w:rFonts w:asciiTheme="majorBidi" w:hAnsiTheme="majorBidi" w:cstheme="majorBidi"/>
          <w:b/>
          <w:noProof/>
          <w:color w:val="231F20"/>
          <w:sz w:val="24"/>
          <w:szCs w:val="24"/>
          <w:u w:val="single"/>
        </w:rPr>
      </w:pPr>
    </w:p>
    <w:p w14:paraId="08367048" w14:textId="3ECE00B5" w:rsidR="00A77E12" w:rsidRDefault="00A77E12" w:rsidP="006403BD">
      <w:pPr>
        <w:autoSpaceDE w:val="0"/>
        <w:autoSpaceDN w:val="0"/>
        <w:adjustRightInd w:val="0"/>
        <w:spacing w:after="0" w:line="240" w:lineRule="auto"/>
        <w:rPr>
          <w:rFonts w:asciiTheme="majorBidi" w:hAnsiTheme="majorBidi" w:cstheme="majorBidi"/>
          <w:b/>
          <w:noProof/>
          <w:color w:val="231F20"/>
          <w:sz w:val="24"/>
          <w:szCs w:val="24"/>
          <w:u w:val="single"/>
        </w:rPr>
      </w:pPr>
      <w:r>
        <w:rPr>
          <w:rFonts w:asciiTheme="majorBidi" w:hAnsiTheme="majorBidi" w:cstheme="majorBidi"/>
          <w:b/>
          <w:noProof/>
          <w:color w:val="231F20"/>
          <w:sz w:val="24"/>
          <w:szCs w:val="24"/>
          <w:u w:val="single"/>
        </w:rPr>
        <w:object w:dxaOrig="6957" w:dyaOrig="9786" w14:anchorId="7FFDF2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48pt;height:489pt" o:ole="">
            <v:imagedata r:id="rId8" o:title=""/>
          </v:shape>
          <o:OLEObject Type="Embed" ProgID="Excel.Sheet.12" ShapeID="_x0000_i1028" DrawAspect="Content" ObjectID="_1646036070" r:id="rId9"/>
        </w:object>
      </w:r>
    </w:p>
    <w:p w14:paraId="2B7E3AE5" w14:textId="77777777" w:rsidR="00A77E12" w:rsidRDefault="00A77E12" w:rsidP="006403BD">
      <w:pPr>
        <w:autoSpaceDE w:val="0"/>
        <w:autoSpaceDN w:val="0"/>
        <w:adjustRightInd w:val="0"/>
        <w:spacing w:after="0" w:line="240" w:lineRule="auto"/>
        <w:rPr>
          <w:rFonts w:asciiTheme="majorBidi" w:hAnsiTheme="majorBidi" w:cstheme="majorBidi"/>
          <w:b/>
          <w:noProof/>
          <w:color w:val="231F20"/>
          <w:sz w:val="24"/>
          <w:szCs w:val="24"/>
          <w:u w:val="single"/>
        </w:rPr>
      </w:pPr>
    </w:p>
    <w:p w14:paraId="24A63AA2" w14:textId="77777777" w:rsidR="00A77E12" w:rsidRDefault="00A77E12" w:rsidP="006403BD">
      <w:pPr>
        <w:autoSpaceDE w:val="0"/>
        <w:autoSpaceDN w:val="0"/>
        <w:adjustRightInd w:val="0"/>
        <w:spacing w:after="0" w:line="240" w:lineRule="auto"/>
        <w:rPr>
          <w:rFonts w:asciiTheme="majorBidi" w:hAnsiTheme="majorBidi" w:cstheme="majorBidi"/>
          <w:b/>
          <w:noProof/>
          <w:color w:val="231F20"/>
          <w:sz w:val="24"/>
          <w:szCs w:val="24"/>
          <w:u w:val="single"/>
        </w:rPr>
      </w:pPr>
    </w:p>
    <w:p w14:paraId="182431B8" w14:textId="77777777" w:rsidR="00A77E12" w:rsidRDefault="00A77E12" w:rsidP="006403BD">
      <w:pPr>
        <w:autoSpaceDE w:val="0"/>
        <w:autoSpaceDN w:val="0"/>
        <w:adjustRightInd w:val="0"/>
        <w:spacing w:after="0" w:line="240" w:lineRule="auto"/>
        <w:rPr>
          <w:rFonts w:asciiTheme="majorBidi" w:hAnsiTheme="majorBidi" w:cstheme="majorBidi"/>
          <w:b/>
          <w:noProof/>
          <w:color w:val="231F20"/>
          <w:sz w:val="24"/>
          <w:szCs w:val="24"/>
          <w:u w:val="single"/>
        </w:rPr>
      </w:pPr>
    </w:p>
    <w:p w14:paraId="3F9423A7" w14:textId="77777777" w:rsidR="00A77E12" w:rsidRDefault="00A77E12" w:rsidP="006403BD">
      <w:pPr>
        <w:autoSpaceDE w:val="0"/>
        <w:autoSpaceDN w:val="0"/>
        <w:adjustRightInd w:val="0"/>
        <w:spacing w:after="0" w:line="240" w:lineRule="auto"/>
        <w:rPr>
          <w:rFonts w:asciiTheme="majorBidi" w:hAnsiTheme="majorBidi" w:cstheme="majorBidi"/>
          <w:b/>
          <w:noProof/>
          <w:color w:val="231F20"/>
          <w:sz w:val="24"/>
          <w:szCs w:val="24"/>
          <w:u w:val="single"/>
        </w:rPr>
      </w:pPr>
    </w:p>
    <w:p w14:paraId="3128A645" w14:textId="77777777" w:rsidR="00A77E12" w:rsidRPr="006403BD" w:rsidRDefault="00A77E12" w:rsidP="006403BD">
      <w:pPr>
        <w:autoSpaceDE w:val="0"/>
        <w:autoSpaceDN w:val="0"/>
        <w:adjustRightInd w:val="0"/>
        <w:spacing w:after="0" w:line="240" w:lineRule="auto"/>
        <w:rPr>
          <w:rFonts w:asciiTheme="majorBidi" w:hAnsiTheme="majorBidi" w:cstheme="majorBidi"/>
          <w:b/>
          <w:noProof/>
          <w:color w:val="231F20"/>
          <w:sz w:val="24"/>
          <w:szCs w:val="24"/>
          <w:u w:val="single"/>
        </w:rPr>
      </w:pPr>
    </w:p>
    <w:p w14:paraId="535B80A0" w14:textId="77777777" w:rsidR="009A313B" w:rsidRDefault="009A313B" w:rsidP="009221A8">
      <w:pPr>
        <w:autoSpaceDE w:val="0"/>
        <w:autoSpaceDN w:val="0"/>
        <w:adjustRightInd w:val="0"/>
        <w:spacing w:after="0" w:line="240" w:lineRule="auto"/>
        <w:rPr>
          <w:rFonts w:asciiTheme="majorBidi" w:hAnsiTheme="majorBidi" w:cstheme="majorBidi"/>
          <w:noProof/>
          <w:color w:val="231F20"/>
          <w:sz w:val="24"/>
          <w:szCs w:val="24"/>
        </w:rPr>
      </w:pPr>
    </w:p>
    <w:bookmarkStart w:id="0" w:name="_MON_1599049166"/>
    <w:bookmarkEnd w:id="0"/>
    <w:p w14:paraId="62CBF154" w14:textId="18A75147" w:rsidR="009E391C" w:rsidRDefault="00A77E12" w:rsidP="009221A8">
      <w:pPr>
        <w:autoSpaceDE w:val="0"/>
        <w:autoSpaceDN w:val="0"/>
        <w:adjustRightInd w:val="0"/>
        <w:spacing w:after="0" w:line="240" w:lineRule="auto"/>
        <w:rPr>
          <w:rFonts w:asciiTheme="majorBidi" w:hAnsiTheme="majorBidi" w:cstheme="majorBidi"/>
          <w:noProof/>
          <w:color w:val="231F20"/>
          <w:sz w:val="24"/>
          <w:szCs w:val="24"/>
        </w:rPr>
      </w:pPr>
      <w:r w:rsidRPr="00CD3C00">
        <w:rPr>
          <w:rFonts w:asciiTheme="majorBidi" w:hAnsiTheme="majorBidi" w:cstheme="majorBidi"/>
          <w:noProof/>
          <w:color w:val="231F20"/>
          <w:sz w:val="24"/>
          <w:szCs w:val="24"/>
        </w:rPr>
        <w:object w:dxaOrig="9102" w:dyaOrig="10659" w14:anchorId="7A9DB217">
          <v:shape id="_x0000_i1029" type="#_x0000_t75" alt="" style="width:440.25pt;height:516.75pt" o:ole="">
            <v:imagedata r:id="rId10" o:title=""/>
          </v:shape>
          <o:OLEObject Type="Embed" ProgID="Excel.Sheet.12" ShapeID="_x0000_i1029" DrawAspect="Content" ObjectID="_1646036071" r:id="rId11"/>
        </w:object>
      </w:r>
    </w:p>
    <w:p w14:paraId="54C055A2" w14:textId="44F613AF" w:rsidR="009E391C" w:rsidRDefault="009221A8" w:rsidP="009221A8">
      <w:pPr>
        <w:autoSpaceDE w:val="0"/>
        <w:autoSpaceDN w:val="0"/>
        <w:adjustRightInd w:val="0"/>
        <w:spacing w:after="0" w:line="240" w:lineRule="auto"/>
        <w:rPr>
          <w:rFonts w:asciiTheme="majorBidi" w:hAnsiTheme="majorBidi" w:cstheme="majorBidi"/>
          <w:color w:val="231F20"/>
          <w:sz w:val="24"/>
          <w:szCs w:val="24"/>
        </w:rPr>
      </w:pPr>
      <w:r>
        <w:rPr>
          <w:rFonts w:asciiTheme="majorBidi" w:hAnsiTheme="majorBidi" w:cstheme="majorBidi"/>
          <w:color w:val="231F20"/>
          <w:sz w:val="24"/>
          <w:szCs w:val="24"/>
        </w:rPr>
        <w:br/>
      </w:r>
    </w:p>
    <w:p w14:paraId="71F93482" w14:textId="77777777" w:rsidR="009E391C" w:rsidRDefault="009E391C" w:rsidP="009221A8">
      <w:pPr>
        <w:autoSpaceDE w:val="0"/>
        <w:autoSpaceDN w:val="0"/>
        <w:adjustRightInd w:val="0"/>
        <w:spacing w:after="0" w:line="240" w:lineRule="auto"/>
        <w:rPr>
          <w:rFonts w:asciiTheme="majorBidi" w:hAnsiTheme="majorBidi" w:cstheme="majorBidi"/>
          <w:color w:val="231F20"/>
          <w:sz w:val="24"/>
          <w:szCs w:val="24"/>
        </w:rPr>
      </w:pPr>
    </w:p>
    <w:p w14:paraId="0060607B" w14:textId="77777777" w:rsidR="009E391C" w:rsidRDefault="009E391C" w:rsidP="009221A8">
      <w:pPr>
        <w:autoSpaceDE w:val="0"/>
        <w:autoSpaceDN w:val="0"/>
        <w:adjustRightInd w:val="0"/>
        <w:spacing w:after="0" w:line="240" w:lineRule="auto"/>
        <w:rPr>
          <w:rFonts w:asciiTheme="majorBidi" w:hAnsiTheme="majorBidi" w:cstheme="majorBidi"/>
          <w:color w:val="231F20"/>
          <w:sz w:val="24"/>
          <w:szCs w:val="24"/>
        </w:rPr>
      </w:pPr>
    </w:p>
    <w:p w14:paraId="491DF423" w14:textId="71A2147F" w:rsidR="009221A8" w:rsidRDefault="009221A8" w:rsidP="009221A8">
      <w:pPr>
        <w:autoSpaceDE w:val="0"/>
        <w:autoSpaceDN w:val="0"/>
        <w:adjustRightInd w:val="0"/>
        <w:spacing w:after="0" w:line="240" w:lineRule="auto"/>
        <w:rPr>
          <w:rFonts w:asciiTheme="majorBidi" w:hAnsiTheme="majorBidi" w:cstheme="majorBidi"/>
          <w:color w:val="231F20"/>
          <w:sz w:val="24"/>
          <w:szCs w:val="24"/>
        </w:rPr>
      </w:pPr>
      <w:r w:rsidRPr="007B312F">
        <w:rPr>
          <w:rFonts w:asciiTheme="majorBidi" w:hAnsiTheme="majorBidi" w:cstheme="majorBidi"/>
          <w:color w:val="231F20"/>
          <w:sz w:val="24"/>
          <w:szCs w:val="24"/>
        </w:rPr>
        <w:t>Each column reports the estimation results of one regression. The dependent variable in all</w:t>
      </w:r>
      <w:r>
        <w:rPr>
          <w:rFonts w:asciiTheme="majorBidi" w:hAnsiTheme="majorBidi" w:cstheme="majorBidi"/>
          <w:color w:val="231F20"/>
          <w:sz w:val="24"/>
          <w:szCs w:val="24"/>
        </w:rPr>
        <w:t xml:space="preserve"> 5</w:t>
      </w:r>
      <w:r w:rsidRPr="007B312F">
        <w:rPr>
          <w:rFonts w:asciiTheme="majorBidi" w:hAnsiTheme="majorBidi" w:cstheme="majorBidi"/>
          <w:color w:val="231F20"/>
          <w:sz w:val="24"/>
          <w:szCs w:val="24"/>
        </w:rPr>
        <w:t xml:space="preserve"> regressions is the age of diagnosis (in months). The independent variables vary across regressions and are listed in the first column. For example, parents’ education dummies are included in regressions (1) and (5) only.</w:t>
      </w:r>
    </w:p>
    <w:p w14:paraId="60C244BF" w14:textId="77777777" w:rsidR="009A313B" w:rsidRDefault="009A313B" w:rsidP="007E0C51">
      <w:pPr>
        <w:spacing w:after="160" w:line="259" w:lineRule="auto"/>
        <w:rPr>
          <w:b/>
          <w:bCs/>
        </w:rPr>
      </w:pPr>
    </w:p>
    <w:p w14:paraId="71E51143" w14:textId="7E781B75" w:rsidR="007E0C51" w:rsidRDefault="007E0C51" w:rsidP="007E0C51">
      <w:pPr>
        <w:spacing w:after="160" w:line="259" w:lineRule="auto"/>
        <w:rPr>
          <w:b/>
          <w:bCs/>
        </w:rPr>
      </w:pPr>
      <w:r>
        <w:rPr>
          <w:b/>
          <w:bCs/>
        </w:rPr>
        <w:lastRenderedPageBreak/>
        <w:t>Appendix A: Regression Analyses</w:t>
      </w:r>
    </w:p>
    <w:p w14:paraId="7BD42F99" w14:textId="1F68C5CD" w:rsidR="007E0C51" w:rsidRDefault="007E0C51" w:rsidP="00A77E12">
      <w:pPr>
        <w:keepNext/>
        <w:keepLines/>
        <w:spacing w:line="480" w:lineRule="auto"/>
        <w:rPr>
          <w:rFonts w:asciiTheme="majorBidi" w:hAnsiTheme="majorBidi" w:cstheme="majorBidi"/>
          <w:color w:val="231F20"/>
          <w:sz w:val="24"/>
          <w:szCs w:val="24"/>
        </w:rPr>
      </w:pPr>
      <w:r>
        <w:rPr>
          <w:rFonts w:asciiTheme="majorBidi" w:hAnsiTheme="majorBidi" w:cstheme="majorBidi"/>
          <w:color w:val="231F20"/>
          <w:sz w:val="24"/>
          <w:szCs w:val="24"/>
        </w:rPr>
        <w:t xml:space="preserve">In Appendix table A1 we report the estimation results of various regression analyses where the dependent variable is the age of diagnosis </w:t>
      </w:r>
      <w:r w:rsidR="00896EB9">
        <w:rPr>
          <w:rFonts w:asciiTheme="majorBidi" w:hAnsiTheme="majorBidi" w:cstheme="majorBidi"/>
          <w:color w:val="231F20"/>
          <w:sz w:val="24"/>
          <w:szCs w:val="24"/>
        </w:rPr>
        <w:t>(</w:t>
      </w:r>
      <w:r>
        <w:rPr>
          <w:rFonts w:asciiTheme="majorBidi" w:hAnsiTheme="majorBidi" w:cstheme="majorBidi"/>
          <w:color w:val="231F20"/>
          <w:sz w:val="24"/>
          <w:szCs w:val="24"/>
        </w:rPr>
        <w:t>in months</w:t>
      </w:r>
      <w:r w:rsidR="00896EB9">
        <w:rPr>
          <w:rFonts w:asciiTheme="majorBidi" w:hAnsiTheme="majorBidi" w:cstheme="majorBidi"/>
          <w:color w:val="231F20"/>
          <w:sz w:val="24"/>
          <w:szCs w:val="24"/>
        </w:rPr>
        <w:t>)</w:t>
      </w:r>
      <w:r>
        <w:rPr>
          <w:rFonts w:asciiTheme="majorBidi" w:hAnsiTheme="majorBidi" w:cstheme="majorBidi"/>
          <w:color w:val="231F20"/>
          <w:sz w:val="24"/>
          <w:szCs w:val="24"/>
        </w:rPr>
        <w:t xml:space="preserve">. </w:t>
      </w:r>
    </w:p>
    <w:p w14:paraId="1632EEF4" w14:textId="414B93DA" w:rsidR="007E0C51" w:rsidRPr="007B312F" w:rsidRDefault="00250386" w:rsidP="00A77E12">
      <w:pPr>
        <w:keepNext/>
        <w:keepLines/>
        <w:spacing w:line="480" w:lineRule="auto"/>
        <w:rPr>
          <w:rFonts w:asciiTheme="majorBidi" w:hAnsiTheme="majorBidi" w:cstheme="majorBidi"/>
          <w:color w:val="231F20"/>
          <w:sz w:val="24"/>
          <w:szCs w:val="24"/>
        </w:rPr>
      </w:pPr>
      <w:r>
        <w:rPr>
          <w:rFonts w:asciiTheme="majorBidi" w:hAnsiTheme="majorBidi" w:cstheme="majorBidi"/>
          <w:color w:val="231F20"/>
          <w:sz w:val="24"/>
          <w:szCs w:val="24"/>
        </w:rPr>
        <w:t xml:space="preserve">Column 1 reports the estimation results of 25 separate regressions. </w:t>
      </w:r>
      <w:r w:rsidR="007E0C51" w:rsidRPr="007B312F">
        <w:rPr>
          <w:rFonts w:asciiTheme="majorBidi" w:hAnsiTheme="majorBidi" w:cstheme="majorBidi"/>
          <w:color w:val="231F20"/>
          <w:sz w:val="24"/>
          <w:szCs w:val="24"/>
        </w:rPr>
        <w:t xml:space="preserve">Each cell reports the </w:t>
      </w:r>
      <w:r w:rsidR="007E0C51">
        <w:rPr>
          <w:rFonts w:asciiTheme="majorBidi" w:hAnsiTheme="majorBidi" w:cstheme="majorBidi"/>
          <w:color w:val="231F20"/>
          <w:sz w:val="24"/>
          <w:szCs w:val="24"/>
        </w:rPr>
        <w:t>estimated</w:t>
      </w:r>
      <w:r w:rsidR="007E0C51" w:rsidRPr="007B312F">
        <w:rPr>
          <w:rFonts w:asciiTheme="majorBidi" w:hAnsiTheme="majorBidi" w:cstheme="majorBidi"/>
          <w:color w:val="231F20"/>
          <w:sz w:val="24"/>
          <w:szCs w:val="24"/>
        </w:rPr>
        <w:t xml:space="preserve"> coefficient </w:t>
      </w:r>
      <w:r>
        <w:rPr>
          <w:rFonts w:asciiTheme="majorBidi" w:hAnsiTheme="majorBidi" w:cstheme="majorBidi"/>
          <w:color w:val="231F20"/>
          <w:sz w:val="24"/>
          <w:szCs w:val="24"/>
        </w:rPr>
        <w:t xml:space="preserve">and standard errors used to draw the point estimates and confidence intervals </w:t>
      </w:r>
      <w:r w:rsidR="007E0C51" w:rsidRPr="007B312F">
        <w:rPr>
          <w:rFonts w:asciiTheme="majorBidi" w:hAnsiTheme="majorBidi" w:cstheme="majorBidi"/>
          <w:color w:val="231F20"/>
          <w:sz w:val="24"/>
          <w:szCs w:val="24"/>
        </w:rPr>
        <w:t>in Figure 2</w:t>
      </w:r>
      <w:r w:rsidR="00896EB9">
        <w:rPr>
          <w:rFonts w:asciiTheme="majorBidi" w:hAnsiTheme="majorBidi" w:cstheme="majorBidi"/>
          <w:color w:val="231F20"/>
          <w:sz w:val="24"/>
          <w:szCs w:val="24"/>
        </w:rPr>
        <w:t xml:space="preserve"> in the paper</w:t>
      </w:r>
      <w:r w:rsidR="007E0C51" w:rsidRPr="007B312F">
        <w:rPr>
          <w:rFonts w:asciiTheme="majorBidi" w:hAnsiTheme="majorBidi" w:cstheme="majorBidi"/>
          <w:color w:val="231F20"/>
          <w:sz w:val="24"/>
          <w:szCs w:val="24"/>
        </w:rPr>
        <w:t xml:space="preserve">. Each coefficient </w:t>
      </w:r>
      <w:r w:rsidR="007E0C51">
        <w:rPr>
          <w:rFonts w:asciiTheme="majorBidi" w:hAnsiTheme="majorBidi" w:cstheme="majorBidi"/>
          <w:color w:val="231F20"/>
          <w:sz w:val="24"/>
          <w:szCs w:val="24"/>
        </w:rPr>
        <w:t>measures</w:t>
      </w:r>
      <w:r w:rsidR="007E0C51" w:rsidRPr="007B312F">
        <w:rPr>
          <w:rFonts w:asciiTheme="majorBidi" w:hAnsiTheme="majorBidi" w:cstheme="majorBidi"/>
          <w:color w:val="231F20"/>
          <w:sz w:val="24"/>
          <w:szCs w:val="24"/>
        </w:rPr>
        <w:t xml:space="preserve"> the average change in the age of diagnosis (in months) for a one-unit change in the severity of the </w:t>
      </w:r>
      <w:r w:rsidR="00FE480D">
        <w:rPr>
          <w:rFonts w:asciiTheme="majorBidi" w:hAnsiTheme="majorBidi" w:cstheme="majorBidi"/>
          <w:color w:val="231F20"/>
          <w:sz w:val="24"/>
          <w:szCs w:val="24"/>
        </w:rPr>
        <w:t xml:space="preserve">clinical signs and </w:t>
      </w:r>
      <w:r w:rsidR="007E0C51" w:rsidRPr="007B312F">
        <w:rPr>
          <w:rFonts w:asciiTheme="majorBidi" w:hAnsiTheme="majorBidi" w:cstheme="majorBidi"/>
          <w:color w:val="231F20"/>
          <w:sz w:val="24"/>
          <w:szCs w:val="24"/>
        </w:rPr>
        <w:t>symptom.</w:t>
      </w:r>
      <w:r w:rsidR="007E0C51">
        <w:rPr>
          <w:rFonts w:asciiTheme="majorBidi" w:hAnsiTheme="majorBidi" w:cstheme="majorBidi"/>
          <w:color w:val="231F20"/>
          <w:sz w:val="24"/>
          <w:szCs w:val="24"/>
        </w:rPr>
        <w:t xml:space="preserve"> For example, a one </w:t>
      </w:r>
      <w:r w:rsidR="00896EB9">
        <w:rPr>
          <w:rFonts w:asciiTheme="majorBidi" w:hAnsiTheme="majorBidi" w:cstheme="majorBidi"/>
          <w:color w:val="231F20"/>
          <w:sz w:val="24"/>
          <w:szCs w:val="24"/>
        </w:rPr>
        <w:t>unit</w:t>
      </w:r>
      <w:r w:rsidR="007E0C51">
        <w:rPr>
          <w:rFonts w:asciiTheme="majorBidi" w:hAnsiTheme="majorBidi" w:cstheme="majorBidi"/>
          <w:color w:val="231F20"/>
          <w:sz w:val="24"/>
          <w:szCs w:val="24"/>
        </w:rPr>
        <w:t xml:space="preserve"> increase in the level of severity of delayed speech is associated with, on average, about four months</w:t>
      </w:r>
      <w:r w:rsidR="007E0C51" w:rsidRPr="007B312F">
        <w:rPr>
          <w:rFonts w:asciiTheme="majorBidi" w:hAnsiTheme="majorBidi" w:cstheme="majorBidi"/>
          <w:color w:val="231F20"/>
          <w:sz w:val="24"/>
          <w:szCs w:val="24"/>
        </w:rPr>
        <w:t xml:space="preserve"> </w:t>
      </w:r>
      <w:r w:rsidR="007E0C51">
        <w:rPr>
          <w:rFonts w:asciiTheme="majorBidi" w:hAnsiTheme="majorBidi" w:cstheme="majorBidi"/>
          <w:color w:val="231F20"/>
          <w:sz w:val="24"/>
          <w:szCs w:val="24"/>
        </w:rPr>
        <w:t>decline in the age of diagnosis.</w:t>
      </w:r>
    </w:p>
    <w:p w14:paraId="3B05CF8C" w14:textId="77777777" w:rsidR="007E0C51" w:rsidRPr="007B312F" w:rsidRDefault="007E0C51" w:rsidP="00A77E12">
      <w:pPr>
        <w:keepNext/>
        <w:keepLines/>
        <w:spacing w:line="480" w:lineRule="auto"/>
        <w:jc w:val="center"/>
        <w:rPr>
          <w:rFonts w:asciiTheme="majorBidi" w:hAnsiTheme="majorBidi" w:cstheme="majorBidi"/>
          <w:color w:val="231F20"/>
          <w:sz w:val="24"/>
          <w:szCs w:val="24"/>
        </w:rPr>
      </w:pPr>
      <w:r w:rsidRPr="007B312F">
        <w:rPr>
          <w:rFonts w:asciiTheme="majorBidi" w:hAnsiTheme="majorBidi" w:cstheme="majorBidi"/>
          <w:color w:val="231F20"/>
          <w:sz w:val="24"/>
          <w:szCs w:val="24"/>
        </w:rPr>
        <w:t xml:space="preserve">[PLACE </w:t>
      </w:r>
      <w:r>
        <w:rPr>
          <w:rFonts w:asciiTheme="majorBidi" w:hAnsiTheme="majorBidi" w:cstheme="majorBidi"/>
          <w:color w:val="231F20"/>
          <w:sz w:val="24"/>
          <w:szCs w:val="24"/>
        </w:rPr>
        <w:t xml:space="preserve">APPENDIX </w:t>
      </w:r>
      <w:r w:rsidRPr="007B312F">
        <w:rPr>
          <w:rFonts w:asciiTheme="majorBidi" w:hAnsiTheme="majorBidi" w:cstheme="majorBidi"/>
          <w:color w:val="231F20"/>
          <w:sz w:val="24"/>
          <w:szCs w:val="24"/>
        </w:rPr>
        <w:t xml:space="preserve">TABLE </w:t>
      </w:r>
      <w:r>
        <w:rPr>
          <w:rFonts w:asciiTheme="majorBidi" w:hAnsiTheme="majorBidi" w:cstheme="majorBidi"/>
          <w:color w:val="231F20"/>
          <w:sz w:val="24"/>
          <w:szCs w:val="24"/>
        </w:rPr>
        <w:t>A1</w:t>
      </w:r>
      <w:r w:rsidRPr="007B312F">
        <w:rPr>
          <w:rFonts w:asciiTheme="majorBidi" w:hAnsiTheme="majorBidi" w:cstheme="majorBidi"/>
          <w:color w:val="231F20"/>
          <w:sz w:val="24"/>
          <w:szCs w:val="24"/>
        </w:rPr>
        <w:t xml:space="preserve"> HERE]</w:t>
      </w:r>
    </w:p>
    <w:p w14:paraId="68F7FD95" w14:textId="23362E94" w:rsidR="007E0C51" w:rsidRPr="007B312F" w:rsidRDefault="00896EB9" w:rsidP="00A77E12">
      <w:pPr>
        <w:spacing w:line="480" w:lineRule="auto"/>
        <w:rPr>
          <w:rFonts w:asciiTheme="majorBidi" w:hAnsiTheme="majorBidi" w:cstheme="majorBidi"/>
          <w:color w:val="231F20"/>
          <w:sz w:val="24"/>
          <w:szCs w:val="24"/>
        </w:rPr>
      </w:pPr>
      <w:r>
        <w:rPr>
          <w:rFonts w:asciiTheme="majorBidi" w:hAnsiTheme="majorBidi" w:cstheme="majorBidi"/>
          <w:color w:val="231F20"/>
          <w:sz w:val="24"/>
          <w:szCs w:val="24"/>
        </w:rPr>
        <w:t xml:space="preserve">In </w:t>
      </w:r>
      <w:r w:rsidR="007E0C51">
        <w:rPr>
          <w:rFonts w:asciiTheme="majorBidi" w:hAnsiTheme="majorBidi" w:cstheme="majorBidi"/>
          <w:color w:val="231F20"/>
          <w:sz w:val="24"/>
          <w:szCs w:val="24"/>
        </w:rPr>
        <w:t xml:space="preserve">Appendix Table </w:t>
      </w:r>
      <w:r w:rsidR="000321FD">
        <w:rPr>
          <w:rFonts w:asciiTheme="majorBidi" w:hAnsiTheme="majorBidi" w:cstheme="majorBidi"/>
          <w:color w:val="231F20"/>
          <w:sz w:val="24"/>
          <w:szCs w:val="24"/>
        </w:rPr>
        <w:t>A</w:t>
      </w:r>
      <w:r w:rsidR="007E0C51">
        <w:rPr>
          <w:rFonts w:asciiTheme="majorBidi" w:hAnsiTheme="majorBidi" w:cstheme="majorBidi"/>
          <w:color w:val="231F20"/>
          <w:sz w:val="24"/>
          <w:szCs w:val="24"/>
        </w:rPr>
        <w:t>1, column 2</w:t>
      </w:r>
      <w:r w:rsidR="000321FD">
        <w:rPr>
          <w:rFonts w:asciiTheme="majorBidi" w:hAnsiTheme="majorBidi" w:cstheme="majorBidi"/>
          <w:color w:val="231F20"/>
          <w:sz w:val="24"/>
          <w:szCs w:val="24"/>
        </w:rPr>
        <w:t>,</w:t>
      </w:r>
      <w:r>
        <w:rPr>
          <w:rFonts w:asciiTheme="majorBidi" w:hAnsiTheme="majorBidi" w:cstheme="majorBidi"/>
          <w:color w:val="231F20"/>
          <w:sz w:val="24"/>
          <w:szCs w:val="24"/>
        </w:rPr>
        <w:t xml:space="preserve"> we report the estimation result of a multiple regression model.</w:t>
      </w:r>
      <w:r w:rsidR="007E0C51" w:rsidRPr="007B312F">
        <w:rPr>
          <w:rFonts w:asciiTheme="majorBidi" w:hAnsiTheme="majorBidi" w:cstheme="majorBidi"/>
          <w:color w:val="231F20"/>
          <w:sz w:val="24"/>
          <w:szCs w:val="24"/>
        </w:rPr>
        <w:t xml:space="preserve"> Unlike the first column, here we report the estim</w:t>
      </w:r>
      <w:r w:rsidR="000321FD">
        <w:rPr>
          <w:rFonts w:asciiTheme="majorBidi" w:hAnsiTheme="majorBidi" w:cstheme="majorBidi"/>
          <w:color w:val="231F20"/>
          <w:sz w:val="24"/>
          <w:szCs w:val="24"/>
        </w:rPr>
        <w:t xml:space="preserve">ated coefficients of a single </w:t>
      </w:r>
      <w:r w:rsidR="007E0C51" w:rsidRPr="007B312F">
        <w:rPr>
          <w:rFonts w:asciiTheme="majorBidi" w:hAnsiTheme="majorBidi" w:cstheme="majorBidi"/>
          <w:color w:val="231F20"/>
          <w:sz w:val="24"/>
          <w:szCs w:val="24"/>
        </w:rPr>
        <w:t xml:space="preserve">regression, where the partial effects of all </w:t>
      </w:r>
      <w:r w:rsidR="000978E7">
        <w:rPr>
          <w:rFonts w:asciiTheme="majorBidi" w:hAnsiTheme="majorBidi" w:cstheme="majorBidi"/>
          <w:color w:val="231F20"/>
          <w:sz w:val="24"/>
          <w:szCs w:val="24"/>
        </w:rPr>
        <w:t xml:space="preserve">clinical signs and </w:t>
      </w:r>
      <w:r w:rsidR="007E0C51" w:rsidRPr="007B312F">
        <w:rPr>
          <w:rFonts w:asciiTheme="majorBidi" w:hAnsiTheme="majorBidi" w:cstheme="majorBidi"/>
          <w:color w:val="231F20"/>
          <w:sz w:val="24"/>
          <w:szCs w:val="24"/>
        </w:rPr>
        <w:t xml:space="preserve">symptoms on the age of diagnosis are estimated simultaneously. </w:t>
      </w:r>
    </w:p>
    <w:p w14:paraId="0CC82129" w14:textId="5D1D29C1" w:rsidR="007E0C51" w:rsidRPr="007B312F" w:rsidRDefault="007E0C51" w:rsidP="00A77E12">
      <w:pPr>
        <w:spacing w:line="480" w:lineRule="auto"/>
        <w:rPr>
          <w:rFonts w:asciiTheme="majorBidi" w:hAnsiTheme="majorBidi" w:cstheme="majorBidi"/>
          <w:color w:val="231F20"/>
          <w:sz w:val="24"/>
          <w:szCs w:val="24"/>
        </w:rPr>
      </w:pPr>
      <w:r w:rsidRPr="007B312F">
        <w:rPr>
          <w:rFonts w:asciiTheme="majorBidi" w:hAnsiTheme="majorBidi" w:cstheme="majorBidi"/>
          <w:color w:val="231F20"/>
          <w:sz w:val="24"/>
          <w:szCs w:val="24"/>
        </w:rPr>
        <w:t xml:space="preserve">Comparing the results in column 2 to those in column 1, several observations can be made. For many symptoms, while the sign of the coefficient did not change, the effect became weaker and sometimes less significant as it was in the case when it was the only variable in the regression. This is natural, given that multiple regression looks for a symptom’s unique predictive power. In two cases there was a dramatic change in the coefficient. In the univariate regressions, “poor eye contact” and “difficulty understanding gestures” were each negatively (and significantly different from zero) correlated with the age of diagnosis. However, when including all other </w:t>
      </w:r>
      <w:r w:rsidR="00FE480D">
        <w:rPr>
          <w:rFonts w:asciiTheme="majorBidi" w:hAnsiTheme="majorBidi" w:cstheme="majorBidi"/>
          <w:color w:val="231F20"/>
          <w:sz w:val="24"/>
          <w:szCs w:val="24"/>
        </w:rPr>
        <w:t xml:space="preserve">clinical signs </w:t>
      </w:r>
      <w:r w:rsidR="00FE480D">
        <w:rPr>
          <w:rFonts w:asciiTheme="majorBidi" w:hAnsiTheme="majorBidi" w:cstheme="majorBidi"/>
          <w:color w:val="231F20"/>
          <w:sz w:val="24"/>
          <w:szCs w:val="24"/>
        </w:rPr>
        <w:lastRenderedPageBreak/>
        <w:t xml:space="preserve">and </w:t>
      </w:r>
      <w:r w:rsidRPr="007B312F">
        <w:rPr>
          <w:rFonts w:asciiTheme="majorBidi" w:hAnsiTheme="majorBidi" w:cstheme="majorBidi"/>
          <w:color w:val="231F20"/>
          <w:sz w:val="24"/>
          <w:szCs w:val="24"/>
        </w:rPr>
        <w:t xml:space="preserve">symptoms in the regressions (i.e., holding other </w:t>
      </w:r>
      <w:r w:rsidR="00FE480D">
        <w:rPr>
          <w:rFonts w:asciiTheme="majorBidi" w:hAnsiTheme="majorBidi" w:cstheme="majorBidi"/>
          <w:color w:val="231F20"/>
          <w:sz w:val="24"/>
          <w:szCs w:val="24"/>
        </w:rPr>
        <w:t xml:space="preserve">signs </w:t>
      </w:r>
      <w:r w:rsidRPr="007B312F">
        <w:rPr>
          <w:rFonts w:asciiTheme="majorBidi" w:hAnsiTheme="majorBidi" w:cstheme="majorBidi"/>
          <w:color w:val="231F20"/>
          <w:sz w:val="24"/>
          <w:szCs w:val="24"/>
        </w:rPr>
        <w:t xml:space="preserve">symptoms constant), higher severity levels of these two symptoms significantly </w:t>
      </w:r>
      <w:r w:rsidRPr="007B312F">
        <w:rPr>
          <w:rFonts w:asciiTheme="majorBidi" w:hAnsiTheme="majorBidi" w:cstheme="majorBidi"/>
          <w:i/>
          <w:color w:val="231F20"/>
          <w:sz w:val="24"/>
          <w:szCs w:val="24"/>
        </w:rPr>
        <w:t>increase</w:t>
      </w:r>
      <w:r w:rsidRPr="007B312F">
        <w:rPr>
          <w:rFonts w:asciiTheme="majorBidi" w:hAnsiTheme="majorBidi" w:cstheme="majorBidi"/>
          <w:color w:val="231F20"/>
          <w:sz w:val="24"/>
          <w:szCs w:val="24"/>
        </w:rPr>
        <w:t xml:space="preserve"> the age of diagnosis.</w:t>
      </w:r>
    </w:p>
    <w:p w14:paraId="74ACE82D" w14:textId="109FA218" w:rsidR="007E0C51" w:rsidRPr="007B312F" w:rsidRDefault="007E0C51" w:rsidP="00A77E12">
      <w:pPr>
        <w:spacing w:line="480" w:lineRule="auto"/>
        <w:jc w:val="center"/>
        <w:rPr>
          <w:rFonts w:asciiTheme="majorBidi" w:hAnsiTheme="majorBidi" w:cstheme="majorBidi"/>
          <w:color w:val="231F20"/>
          <w:sz w:val="24"/>
          <w:szCs w:val="24"/>
        </w:rPr>
      </w:pPr>
      <w:r w:rsidRPr="007B312F">
        <w:rPr>
          <w:rFonts w:asciiTheme="majorBidi" w:hAnsiTheme="majorBidi" w:cstheme="majorBidi"/>
          <w:color w:val="231F20"/>
          <w:sz w:val="24"/>
          <w:szCs w:val="24"/>
        </w:rPr>
        <w:t xml:space="preserve">[PLACE </w:t>
      </w:r>
      <w:r>
        <w:rPr>
          <w:rFonts w:asciiTheme="majorBidi" w:hAnsiTheme="majorBidi" w:cstheme="majorBidi"/>
          <w:color w:val="231F20"/>
          <w:sz w:val="24"/>
          <w:szCs w:val="24"/>
        </w:rPr>
        <w:t xml:space="preserve">APPENDIX </w:t>
      </w:r>
      <w:r w:rsidRPr="007B312F">
        <w:rPr>
          <w:rFonts w:asciiTheme="majorBidi" w:hAnsiTheme="majorBidi" w:cstheme="majorBidi"/>
          <w:color w:val="231F20"/>
          <w:sz w:val="24"/>
          <w:szCs w:val="24"/>
        </w:rPr>
        <w:t xml:space="preserve">FIGURE </w:t>
      </w:r>
      <w:r>
        <w:rPr>
          <w:rFonts w:asciiTheme="majorBidi" w:hAnsiTheme="majorBidi" w:cstheme="majorBidi"/>
          <w:color w:val="231F20"/>
          <w:sz w:val="24"/>
          <w:szCs w:val="24"/>
        </w:rPr>
        <w:t>A1</w:t>
      </w:r>
      <w:r w:rsidRPr="007B312F">
        <w:rPr>
          <w:rFonts w:asciiTheme="majorBidi" w:hAnsiTheme="majorBidi" w:cstheme="majorBidi"/>
          <w:color w:val="231F20"/>
          <w:sz w:val="24"/>
          <w:szCs w:val="24"/>
        </w:rPr>
        <w:t xml:space="preserve"> HERE]</w:t>
      </w:r>
    </w:p>
    <w:p w14:paraId="2853EEB9" w14:textId="40E2C390" w:rsidR="007E0C51" w:rsidRPr="007B312F" w:rsidRDefault="007E0C51" w:rsidP="00A77E12">
      <w:pPr>
        <w:spacing w:line="480" w:lineRule="auto"/>
        <w:rPr>
          <w:rFonts w:asciiTheme="majorBidi" w:hAnsiTheme="majorBidi" w:cstheme="majorBidi"/>
          <w:color w:val="231F20"/>
          <w:sz w:val="24"/>
          <w:szCs w:val="24"/>
        </w:rPr>
      </w:pPr>
      <w:r w:rsidRPr="007B312F">
        <w:rPr>
          <w:rFonts w:asciiTheme="majorBidi" w:hAnsiTheme="majorBidi" w:cstheme="majorBidi"/>
          <w:color w:val="231F20"/>
          <w:sz w:val="24"/>
          <w:szCs w:val="24"/>
        </w:rPr>
        <w:t xml:space="preserve">In order to account for other factors that are likely to affect the age of diagnosis, the analyses reported in </w:t>
      </w:r>
      <w:r w:rsidR="000321FD">
        <w:rPr>
          <w:rFonts w:asciiTheme="majorBidi" w:hAnsiTheme="majorBidi" w:cstheme="majorBidi"/>
          <w:color w:val="231F20"/>
          <w:sz w:val="24"/>
          <w:szCs w:val="24"/>
        </w:rPr>
        <w:t xml:space="preserve">Appendix </w:t>
      </w:r>
      <w:r w:rsidRPr="007B312F">
        <w:rPr>
          <w:rFonts w:asciiTheme="majorBidi" w:hAnsiTheme="majorBidi" w:cstheme="majorBidi"/>
          <w:color w:val="231F20"/>
          <w:sz w:val="24"/>
          <w:szCs w:val="24"/>
        </w:rPr>
        <w:t xml:space="preserve">Table </w:t>
      </w:r>
      <w:r w:rsidR="000321FD">
        <w:rPr>
          <w:rFonts w:asciiTheme="majorBidi" w:hAnsiTheme="majorBidi" w:cstheme="majorBidi"/>
          <w:color w:val="231F20"/>
          <w:sz w:val="24"/>
          <w:szCs w:val="24"/>
        </w:rPr>
        <w:t>A1</w:t>
      </w:r>
      <w:r w:rsidRPr="007B312F">
        <w:rPr>
          <w:rFonts w:asciiTheme="majorBidi" w:hAnsiTheme="majorBidi" w:cstheme="majorBidi"/>
          <w:color w:val="231F20"/>
          <w:sz w:val="24"/>
          <w:szCs w:val="24"/>
        </w:rPr>
        <w:t xml:space="preserve">, columns 1 and 2, were repeated by adding the following covariates: parents’ education, race/ethnicity, family income (if over $100,000), residence location (if urban), an Asperger diagnosis, and year of birth. </w:t>
      </w:r>
    </w:p>
    <w:p w14:paraId="36FA0A19" w14:textId="0D3757B2" w:rsidR="007E0C51" w:rsidRPr="007B312F" w:rsidRDefault="000321FD" w:rsidP="00A77E12">
      <w:pPr>
        <w:spacing w:line="480" w:lineRule="auto"/>
        <w:rPr>
          <w:rFonts w:asciiTheme="majorBidi" w:hAnsiTheme="majorBidi" w:cstheme="majorBidi"/>
          <w:color w:val="231F20"/>
          <w:sz w:val="24"/>
          <w:szCs w:val="24"/>
        </w:rPr>
      </w:pPr>
      <w:r>
        <w:rPr>
          <w:rFonts w:asciiTheme="majorBidi" w:hAnsiTheme="majorBidi" w:cstheme="majorBidi"/>
          <w:color w:val="231F20"/>
          <w:sz w:val="24"/>
          <w:szCs w:val="24"/>
        </w:rPr>
        <w:t>In A</w:t>
      </w:r>
      <w:r w:rsidR="007E0C51" w:rsidRPr="007B312F">
        <w:rPr>
          <w:rFonts w:asciiTheme="majorBidi" w:hAnsiTheme="majorBidi" w:cstheme="majorBidi"/>
          <w:color w:val="231F20"/>
          <w:sz w:val="24"/>
          <w:szCs w:val="24"/>
        </w:rPr>
        <w:t xml:space="preserve">ppendix Table 1 we report the effects of these variables on the age of diagnosis, both separately and jointly.  Our findings, which are similar to those reported in other studies, show that </w:t>
      </w:r>
      <w:r w:rsidR="007E0C51" w:rsidRPr="007B312F">
        <w:rPr>
          <w:rFonts w:asciiTheme="majorBidi" w:hAnsiTheme="majorBidi" w:cstheme="majorBidi"/>
          <w:sz w:val="24"/>
          <w:szCs w:val="24"/>
        </w:rPr>
        <w:t>parents’ education and urban residence, are the two primary facilitators of early diagnosis. They neatly capture the interaction between parent-early intervention and infrastructure that is necessary for early diagnosis. The improvement in diagnosis over time is reflected in the “year of birth” coefficient, showing that, in our sample, for every year that passed, the average age of diagnosis went down by 0.85 months.</w:t>
      </w:r>
    </w:p>
    <w:p w14:paraId="31622139" w14:textId="77777777" w:rsidR="007E0C51" w:rsidRDefault="007E0C51" w:rsidP="00A77E12">
      <w:pPr>
        <w:spacing w:line="480" w:lineRule="auto"/>
        <w:rPr>
          <w:rFonts w:asciiTheme="majorBidi" w:hAnsiTheme="majorBidi" w:cstheme="majorBidi"/>
          <w:color w:val="231F20"/>
          <w:sz w:val="24"/>
          <w:szCs w:val="24"/>
        </w:rPr>
      </w:pPr>
      <w:r w:rsidRPr="007B312F">
        <w:rPr>
          <w:rFonts w:asciiTheme="majorBidi" w:hAnsiTheme="majorBidi" w:cstheme="majorBidi"/>
          <w:color w:val="231F20"/>
          <w:sz w:val="24"/>
          <w:szCs w:val="24"/>
        </w:rPr>
        <w:t>Comparing the results in columns 3 and 4 to those in 1 and 2, respectively, show that the inclusion of these additional covariates, while affecting the point estimates, did not change the general findings.</w:t>
      </w:r>
    </w:p>
    <w:p w14:paraId="1CA14DC4" w14:textId="7D83424D" w:rsidR="007E0C51" w:rsidRDefault="007E0C51" w:rsidP="007E0C51">
      <w:pPr>
        <w:spacing w:after="160" w:line="259" w:lineRule="auto"/>
        <w:rPr>
          <w:rFonts w:asciiTheme="majorBidi" w:hAnsiTheme="majorBidi" w:cstheme="majorBidi"/>
          <w:color w:val="231F20"/>
          <w:sz w:val="24"/>
          <w:szCs w:val="24"/>
        </w:rPr>
      </w:pPr>
      <w:r>
        <w:rPr>
          <w:rFonts w:asciiTheme="majorBidi" w:hAnsiTheme="majorBidi" w:cstheme="majorBidi"/>
          <w:color w:val="231F20"/>
          <w:sz w:val="24"/>
          <w:szCs w:val="24"/>
        </w:rPr>
        <w:br w:type="page"/>
      </w:r>
      <w:bookmarkStart w:id="1" w:name="_MON_1629543191"/>
      <w:bookmarkEnd w:id="1"/>
      <w:r w:rsidR="000978E7" w:rsidRPr="00CD3C00">
        <w:rPr>
          <w:rFonts w:asciiTheme="majorBidi" w:hAnsiTheme="majorBidi" w:cstheme="majorBidi"/>
          <w:noProof/>
          <w:color w:val="231F20"/>
          <w:sz w:val="24"/>
          <w:szCs w:val="24"/>
        </w:rPr>
        <w:object w:dxaOrig="13882" w:dyaOrig="18320" w14:anchorId="5556A4CC">
          <v:shape id="_x0000_i1025" type="#_x0000_t75" alt="" style="width:479.25pt;height:633pt" o:ole="">
            <v:imagedata r:id="rId12" o:title=""/>
          </v:shape>
          <o:OLEObject Type="Embed" ProgID="Excel.Sheet.12" ShapeID="_x0000_i1025" DrawAspect="Content" ObjectID="_1646036072" r:id="rId13"/>
        </w:object>
      </w:r>
    </w:p>
    <w:p w14:paraId="42D64BB8" w14:textId="5BD85B0D" w:rsidR="001500C9" w:rsidRPr="007B312F" w:rsidRDefault="001500C9" w:rsidP="001500C9">
      <w:pPr>
        <w:spacing w:after="160" w:line="259" w:lineRule="auto"/>
        <w:rPr>
          <w:rFonts w:asciiTheme="majorBidi" w:hAnsiTheme="majorBidi" w:cstheme="majorBidi"/>
          <w:noProof/>
          <w:color w:val="231F20"/>
          <w:sz w:val="24"/>
          <w:szCs w:val="24"/>
        </w:rPr>
      </w:pPr>
      <w:r>
        <w:rPr>
          <w:rFonts w:asciiTheme="majorBidi" w:hAnsiTheme="majorBidi" w:cstheme="majorBidi"/>
          <w:noProof/>
          <w:color w:val="231F20"/>
          <w:sz w:val="24"/>
          <w:szCs w:val="24"/>
        </w:rPr>
        <w:lastRenderedPageBreak/>
        <w:t xml:space="preserve">Appendix </w:t>
      </w:r>
      <w:r w:rsidRPr="007B312F">
        <w:rPr>
          <w:rFonts w:asciiTheme="majorBidi" w:hAnsiTheme="majorBidi" w:cstheme="majorBidi"/>
          <w:noProof/>
          <w:color w:val="231F20"/>
          <w:sz w:val="24"/>
          <w:szCs w:val="24"/>
        </w:rPr>
        <w:t xml:space="preserve">Figure </w:t>
      </w:r>
      <w:r>
        <w:rPr>
          <w:rFonts w:asciiTheme="majorBidi" w:hAnsiTheme="majorBidi" w:cstheme="majorBidi"/>
          <w:noProof/>
          <w:color w:val="231F20"/>
          <w:sz w:val="24"/>
          <w:szCs w:val="24"/>
        </w:rPr>
        <w:t>A1</w:t>
      </w:r>
      <w:r w:rsidRPr="007B312F">
        <w:rPr>
          <w:rFonts w:asciiTheme="majorBidi" w:hAnsiTheme="majorBidi" w:cstheme="majorBidi"/>
          <w:noProof/>
          <w:color w:val="231F20"/>
          <w:sz w:val="24"/>
          <w:szCs w:val="24"/>
        </w:rPr>
        <w:t xml:space="preserve">:  The Effect of all </w:t>
      </w:r>
      <w:r w:rsidR="000978E7">
        <w:rPr>
          <w:rFonts w:asciiTheme="majorBidi" w:hAnsiTheme="majorBidi" w:cstheme="majorBidi"/>
          <w:noProof/>
          <w:color w:val="231F20"/>
          <w:sz w:val="24"/>
          <w:szCs w:val="24"/>
        </w:rPr>
        <w:t xml:space="preserve">Clinical Signs &amp; </w:t>
      </w:r>
      <w:r w:rsidRPr="007B312F">
        <w:rPr>
          <w:rFonts w:asciiTheme="majorBidi" w:hAnsiTheme="majorBidi" w:cstheme="majorBidi"/>
          <w:noProof/>
          <w:color w:val="231F20"/>
          <w:sz w:val="24"/>
          <w:szCs w:val="24"/>
        </w:rPr>
        <w:t>Symptoms (Combined) on Age of Diagnosis</w:t>
      </w:r>
    </w:p>
    <w:p w14:paraId="3223980E" w14:textId="77777777" w:rsidR="001500C9" w:rsidRPr="007B312F" w:rsidRDefault="001500C9" w:rsidP="001500C9">
      <w:pPr>
        <w:rPr>
          <w:rFonts w:asciiTheme="majorBidi" w:hAnsiTheme="majorBidi" w:cstheme="majorBidi"/>
          <w:color w:val="231F20"/>
          <w:sz w:val="24"/>
          <w:szCs w:val="24"/>
        </w:rPr>
      </w:pPr>
      <w:r w:rsidRPr="007B312F">
        <w:rPr>
          <w:rFonts w:asciiTheme="majorBidi" w:hAnsiTheme="majorBidi" w:cstheme="majorBidi"/>
          <w:noProof/>
          <w:color w:val="231F20"/>
          <w:sz w:val="24"/>
          <w:szCs w:val="24"/>
        </w:rPr>
        <w:drawing>
          <wp:inline distT="0" distB="0" distL="0" distR="0" wp14:anchorId="31CEF923" wp14:editId="6C38822A">
            <wp:extent cx="5943600" cy="455525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ge_sym_together.png"/>
                    <pic:cNvPicPr/>
                  </pic:nvPicPr>
                  <pic:blipFill>
                    <a:blip r:embed="rId14">
                      <a:extLst>
                        <a:ext uri="{28A0092B-C50C-407E-A947-70E740481C1C}">
                          <a14:useLocalDpi xmlns:a14="http://schemas.microsoft.com/office/drawing/2010/main" val="0"/>
                        </a:ext>
                      </a:extLst>
                    </a:blip>
                    <a:stretch>
                      <a:fillRect/>
                    </a:stretch>
                  </pic:blipFill>
                  <pic:spPr>
                    <a:xfrm>
                      <a:off x="0" y="0"/>
                      <a:ext cx="5943600" cy="4555253"/>
                    </a:xfrm>
                    <a:prstGeom prst="rect">
                      <a:avLst/>
                    </a:prstGeom>
                  </pic:spPr>
                </pic:pic>
              </a:graphicData>
            </a:graphic>
          </wp:inline>
        </w:drawing>
      </w:r>
    </w:p>
    <w:p w14:paraId="1A8D1799" w14:textId="77777777" w:rsidR="001500C9" w:rsidRDefault="001500C9" w:rsidP="001500C9">
      <w:pPr>
        <w:spacing w:after="160" w:line="259" w:lineRule="auto"/>
        <w:rPr>
          <w:b/>
          <w:bCs/>
        </w:rPr>
      </w:pPr>
      <w:r>
        <w:rPr>
          <w:b/>
          <w:bCs/>
        </w:rPr>
        <w:br w:type="page"/>
      </w:r>
    </w:p>
    <w:p w14:paraId="73312BAC" w14:textId="0825176F" w:rsidR="007E0C51" w:rsidRDefault="007E0C51" w:rsidP="007E0C51">
      <w:pPr>
        <w:rPr>
          <w:rFonts w:asciiTheme="majorBidi" w:hAnsiTheme="majorBidi" w:cstheme="majorBidi"/>
          <w:color w:val="231F20"/>
          <w:sz w:val="24"/>
          <w:szCs w:val="24"/>
        </w:rPr>
      </w:pPr>
    </w:p>
    <w:p w14:paraId="2304A096" w14:textId="6FC251D9" w:rsidR="00CD38D9" w:rsidRPr="00250386" w:rsidRDefault="00CD38D9" w:rsidP="00A77E12">
      <w:pPr>
        <w:spacing w:line="480" w:lineRule="auto"/>
        <w:rPr>
          <w:rFonts w:asciiTheme="majorBidi" w:hAnsiTheme="majorBidi" w:cstheme="majorBidi"/>
          <w:sz w:val="24"/>
          <w:szCs w:val="24"/>
        </w:rPr>
      </w:pPr>
      <w:r w:rsidRPr="00250386">
        <w:rPr>
          <w:rFonts w:asciiTheme="majorBidi" w:hAnsiTheme="majorBidi" w:cstheme="majorBidi"/>
          <w:b/>
          <w:bCs/>
          <w:sz w:val="24"/>
          <w:szCs w:val="24"/>
        </w:rPr>
        <w:t>Appendix B: Testing for potential recall-bias</w:t>
      </w:r>
      <w:r w:rsidRPr="00250386">
        <w:rPr>
          <w:rFonts w:asciiTheme="majorBidi" w:hAnsiTheme="majorBidi" w:cstheme="majorBidi"/>
          <w:sz w:val="24"/>
          <w:szCs w:val="24"/>
        </w:rPr>
        <w:br/>
        <w:t xml:space="preserve">Given the retrospective nature of our survey data, it is possible that parents’ ability to recall events that took place when their child was diagnosed will decrease over time. Such a diminishing ability could have two distinct effects: Parents recollection becomes less accurate over time and their recollection becomes biased in a systematic way. In this appendix we test whether time elapsed between the time the child was diagnosed and the survey date, affected parents’ recollections concerning the </w:t>
      </w:r>
      <w:r w:rsidR="000978E7">
        <w:rPr>
          <w:rFonts w:asciiTheme="majorBidi" w:hAnsiTheme="majorBidi" w:cstheme="majorBidi"/>
          <w:sz w:val="24"/>
          <w:szCs w:val="24"/>
        </w:rPr>
        <w:t>clinical signs</w:t>
      </w:r>
      <w:r w:rsidRPr="00250386">
        <w:rPr>
          <w:rFonts w:asciiTheme="majorBidi" w:hAnsiTheme="majorBidi" w:cstheme="majorBidi"/>
          <w:sz w:val="24"/>
          <w:szCs w:val="24"/>
        </w:rPr>
        <w:t xml:space="preserve"> their child exhibited at the time of diagnosis.</w:t>
      </w:r>
    </w:p>
    <w:p w14:paraId="03916B0B" w14:textId="71255E34" w:rsidR="00CD38D9" w:rsidRPr="00250386" w:rsidRDefault="00CD38D9" w:rsidP="00A77E12">
      <w:pPr>
        <w:spacing w:line="480" w:lineRule="auto"/>
        <w:rPr>
          <w:rFonts w:asciiTheme="majorBidi" w:hAnsiTheme="majorBidi" w:cstheme="majorBidi"/>
          <w:sz w:val="24"/>
          <w:szCs w:val="24"/>
        </w:rPr>
      </w:pPr>
      <w:r w:rsidRPr="00250386">
        <w:rPr>
          <w:rFonts w:asciiTheme="majorBidi" w:hAnsiTheme="majorBidi" w:cstheme="majorBidi"/>
          <w:sz w:val="24"/>
          <w:szCs w:val="24"/>
        </w:rPr>
        <w:t xml:space="preserve">Appendix Table </w:t>
      </w:r>
      <w:r w:rsidR="00DB5EAC" w:rsidRPr="00250386">
        <w:rPr>
          <w:rFonts w:asciiTheme="majorBidi" w:hAnsiTheme="majorBidi" w:cstheme="majorBidi"/>
          <w:sz w:val="24"/>
          <w:szCs w:val="24"/>
        </w:rPr>
        <w:t>B</w:t>
      </w:r>
      <w:r w:rsidRPr="00250386">
        <w:rPr>
          <w:rFonts w:asciiTheme="majorBidi" w:hAnsiTheme="majorBidi" w:cstheme="majorBidi"/>
          <w:sz w:val="24"/>
          <w:szCs w:val="24"/>
        </w:rPr>
        <w:t>1 provides some descriptive statistics on the distribution values of the age of diagnosis, the child age at the time of survey, and the time elapsed between the two dates.  Appendix Figures 1-4 provide visual description of these variables.</w:t>
      </w:r>
    </w:p>
    <w:p w14:paraId="7CC44295" w14:textId="77777777" w:rsidR="00CD38D9" w:rsidRPr="00250386" w:rsidRDefault="00CD38D9" w:rsidP="00A77E12">
      <w:pPr>
        <w:spacing w:line="480" w:lineRule="auto"/>
        <w:rPr>
          <w:rFonts w:asciiTheme="majorBidi" w:hAnsiTheme="majorBidi" w:cstheme="majorBidi"/>
          <w:sz w:val="24"/>
          <w:szCs w:val="24"/>
        </w:rPr>
      </w:pPr>
      <w:r w:rsidRPr="00250386">
        <w:rPr>
          <w:rFonts w:asciiTheme="majorBidi" w:hAnsiTheme="majorBidi" w:cstheme="majorBidi"/>
          <w:sz w:val="24"/>
          <w:szCs w:val="24"/>
        </w:rPr>
        <w:t>In order to test for potential recall bias, we ask the following questions:</w:t>
      </w:r>
    </w:p>
    <w:p w14:paraId="103B5A2C" w14:textId="67129AF7" w:rsidR="00CD38D9" w:rsidRPr="00250386" w:rsidRDefault="00CD38D9" w:rsidP="00A77E12">
      <w:pPr>
        <w:pStyle w:val="ListParagraph"/>
        <w:numPr>
          <w:ilvl w:val="0"/>
          <w:numId w:val="15"/>
        </w:numPr>
        <w:spacing w:after="160" w:line="480" w:lineRule="auto"/>
        <w:rPr>
          <w:rFonts w:asciiTheme="majorBidi" w:hAnsiTheme="majorBidi" w:cstheme="majorBidi"/>
          <w:sz w:val="24"/>
          <w:szCs w:val="24"/>
        </w:rPr>
      </w:pPr>
      <w:r w:rsidRPr="00250386">
        <w:rPr>
          <w:rFonts w:asciiTheme="majorBidi" w:hAnsiTheme="majorBidi" w:cstheme="majorBidi"/>
          <w:sz w:val="24"/>
          <w:szCs w:val="24"/>
        </w:rPr>
        <w:t xml:space="preserve">Does time elapsed since diagnosis affect the likelihood that a </w:t>
      </w:r>
      <w:r w:rsidR="00FE480D">
        <w:rPr>
          <w:rFonts w:asciiTheme="majorBidi" w:hAnsiTheme="majorBidi" w:cstheme="majorBidi"/>
          <w:sz w:val="24"/>
          <w:szCs w:val="24"/>
        </w:rPr>
        <w:t xml:space="preserve">clinical sign or a </w:t>
      </w:r>
      <w:r w:rsidRPr="00250386">
        <w:rPr>
          <w:rFonts w:asciiTheme="majorBidi" w:hAnsiTheme="majorBidi" w:cstheme="majorBidi"/>
          <w:sz w:val="24"/>
          <w:szCs w:val="24"/>
        </w:rPr>
        <w:t>symptom will be reported by parents?</w:t>
      </w:r>
    </w:p>
    <w:p w14:paraId="4FFF1031" w14:textId="1EB1228D" w:rsidR="00CD38D9" w:rsidRPr="00250386" w:rsidRDefault="00CD38D9" w:rsidP="00A77E12">
      <w:pPr>
        <w:pStyle w:val="ListParagraph"/>
        <w:numPr>
          <w:ilvl w:val="0"/>
          <w:numId w:val="15"/>
        </w:numPr>
        <w:spacing w:after="160" w:line="480" w:lineRule="auto"/>
        <w:rPr>
          <w:rFonts w:asciiTheme="majorBidi" w:hAnsiTheme="majorBidi" w:cstheme="majorBidi"/>
          <w:sz w:val="24"/>
          <w:szCs w:val="24"/>
        </w:rPr>
      </w:pPr>
      <w:r w:rsidRPr="00250386">
        <w:rPr>
          <w:rFonts w:asciiTheme="majorBidi" w:hAnsiTheme="majorBidi" w:cstheme="majorBidi"/>
          <w:sz w:val="24"/>
          <w:szCs w:val="24"/>
        </w:rPr>
        <w:t xml:space="preserve">Does time elapsed since diagnosis affect the intensity of a </w:t>
      </w:r>
      <w:r w:rsidR="00FE480D">
        <w:rPr>
          <w:rFonts w:asciiTheme="majorBidi" w:hAnsiTheme="majorBidi" w:cstheme="majorBidi"/>
          <w:sz w:val="24"/>
          <w:szCs w:val="24"/>
        </w:rPr>
        <w:t>sign</w:t>
      </w:r>
      <w:r w:rsidRPr="00250386">
        <w:rPr>
          <w:rFonts w:asciiTheme="majorBidi" w:hAnsiTheme="majorBidi" w:cstheme="majorBidi"/>
          <w:sz w:val="24"/>
          <w:szCs w:val="24"/>
        </w:rPr>
        <w:t xml:space="preserve"> reported by parents?</w:t>
      </w:r>
    </w:p>
    <w:p w14:paraId="071D0936" w14:textId="57926082" w:rsidR="00CD38D9" w:rsidRPr="00250386" w:rsidRDefault="00CD38D9" w:rsidP="00A77E12">
      <w:pPr>
        <w:spacing w:line="480" w:lineRule="auto"/>
        <w:rPr>
          <w:rFonts w:asciiTheme="majorBidi" w:hAnsiTheme="majorBidi" w:cstheme="majorBidi"/>
          <w:sz w:val="24"/>
          <w:szCs w:val="24"/>
        </w:rPr>
      </w:pPr>
      <w:r w:rsidRPr="00250386">
        <w:rPr>
          <w:rFonts w:asciiTheme="majorBidi" w:hAnsiTheme="majorBidi" w:cstheme="majorBidi"/>
          <w:sz w:val="24"/>
          <w:szCs w:val="24"/>
        </w:rPr>
        <w:t xml:space="preserve">In Appendix Table </w:t>
      </w:r>
      <w:r w:rsidR="000321FD" w:rsidRPr="00250386">
        <w:rPr>
          <w:rFonts w:asciiTheme="majorBidi" w:hAnsiTheme="majorBidi" w:cstheme="majorBidi"/>
          <w:sz w:val="24"/>
          <w:szCs w:val="24"/>
        </w:rPr>
        <w:t>B</w:t>
      </w:r>
      <w:r w:rsidRPr="00250386">
        <w:rPr>
          <w:rFonts w:asciiTheme="majorBidi" w:hAnsiTheme="majorBidi" w:cstheme="majorBidi"/>
          <w:sz w:val="24"/>
          <w:szCs w:val="24"/>
        </w:rPr>
        <w:t xml:space="preserve">2 we test these two questions directly.  In the first column we report the estimation results of 25 separate regressions. In each regression we estimate the effect of time elapsed on the likelihood that a </w:t>
      </w:r>
      <w:r w:rsidR="00FE480D">
        <w:rPr>
          <w:rFonts w:asciiTheme="majorBidi" w:hAnsiTheme="majorBidi" w:cstheme="majorBidi"/>
          <w:sz w:val="24"/>
          <w:szCs w:val="24"/>
        </w:rPr>
        <w:t>clinical sign</w:t>
      </w:r>
      <w:r w:rsidRPr="00250386">
        <w:rPr>
          <w:rFonts w:asciiTheme="majorBidi" w:hAnsiTheme="majorBidi" w:cstheme="majorBidi"/>
          <w:sz w:val="24"/>
          <w:szCs w:val="24"/>
        </w:rPr>
        <w:t xml:space="preserve"> will be reported. For none of the </w:t>
      </w:r>
      <w:r w:rsidR="000978E7">
        <w:rPr>
          <w:rFonts w:asciiTheme="majorBidi" w:hAnsiTheme="majorBidi" w:cstheme="majorBidi"/>
          <w:sz w:val="24"/>
          <w:szCs w:val="24"/>
        </w:rPr>
        <w:t>clinical signs</w:t>
      </w:r>
      <w:r w:rsidRPr="00250386">
        <w:rPr>
          <w:rFonts w:asciiTheme="majorBidi" w:hAnsiTheme="majorBidi" w:cstheme="majorBidi"/>
          <w:sz w:val="24"/>
          <w:szCs w:val="24"/>
        </w:rPr>
        <w:t xml:space="preserve">, the time elapsed decreases the likelihood that the </w:t>
      </w:r>
      <w:r w:rsidR="00FE480D">
        <w:rPr>
          <w:rFonts w:asciiTheme="majorBidi" w:hAnsiTheme="majorBidi" w:cstheme="majorBidi"/>
          <w:sz w:val="24"/>
          <w:szCs w:val="24"/>
        </w:rPr>
        <w:t>sign</w:t>
      </w:r>
      <w:r w:rsidRPr="00250386">
        <w:rPr>
          <w:rFonts w:asciiTheme="majorBidi" w:hAnsiTheme="majorBidi" w:cstheme="majorBidi"/>
          <w:sz w:val="24"/>
          <w:szCs w:val="24"/>
        </w:rPr>
        <w:t xml:space="preserve"> will be recalled by the parents. </w:t>
      </w:r>
    </w:p>
    <w:p w14:paraId="7FF7152F" w14:textId="28124F49" w:rsidR="00CD38D9" w:rsidRPr="00250386" w:rsidRDefault="00CD38D9" w:rsidP="00A77E12">
      <w:pPr>
        <w:spacing w:line="480" w:lineRule="auto"/>
        <w:rPr>
          <w:rFonts w:asciiTheme="majorBidi" w:hAnsiTheme="majorBidi" w:cstheme="majorBidi"/>
          <w:sz w:val="24"/>
          <w:szCs w:val="24"/>
        </w:rPr>
      </w:pPr>
      <w:r w:rsidRPr="00250386">
        <w:rPr>
          <w:rFonts w:asciiTheme="majorBidi" w:hAnsiTheme="majorBidi" w:cstheme="majorBidi"/>
          <w:sz w:val="24"/>
          <w:szCs w:val="24"/>
        </w:rPr>
        <w:t xml:space="preserve">In the second column, we estimate, for each </w:t>
      </w:r>
      <w:r w:rsidR="00FE480D">
        <w:rPr>
          <w:rFonts w:asciiTheme="majorBidi" w:hAnsiTheme="majorBidi" w:cstheme="majorBidi"/>
          <w:sz w:val="24"/>
          <w:szCs w:val="24"/>
        </w:rPr>
        <w:t xml:space="preserve">clinical sign or </w:t>
      </w:r>
      <w:r w:rsidRPr="00250386">
        <w:rPr>
          <w:rFonts w:asciiTheme="majorBidi" w:hAnsiTheme="majorBidi" w:cstheme="majorBidi"/>
          <w:sz w:val="24"/>
          <w:szCs w:val="24"/>
        </w:rPr>
        <w:t xml:space="preserve">symptom, the effect of time elapsed on the level of severity recalled by the parents. For none of the </w:t>
      </w:r>
      <w:r w:rsidR="00FE480D">
        <w:rPr>
          <w:rFonts w:asciiTheme="majorBidi" w:hAnsiTheme="majorBidi" w:cstheme="majorBidi"/>
          <w:sz w:val="24"/>
          <w:szCs w:val="24"/>
        </w:rPr>
        <w:t>signs</w:t>
      </w:r>
      <w:r w:rsidRPr="00250386">
        <w:rPr>
          <w:rFonts w:asciiTheme="majorBidi" w:hAnsiTheme="majorBidi" w:cstheme="majorBidi"/>
          <w:sz w:val="24"/>
          <w:szCs w:val="24"/>
        </w:rPr>
        <w:t xml:space="preserve"> the reported severity is decreasing with time. In fact, for many </w:t>
      </w:r>
      <w:r w:rsidR="000978E7">
        <w:rPr>
          <w:rFonts w:asciiTheme="majorBidi" w:hAnsiTheme="majorBidi" w:cstheme="majorBidi"/>
          <w:sz w:val="24"/>
          <w:szCs w:val="24"/>
        </w:rPr>
        <w:t xml:space="preserve">signs and </w:t>
      </w:r>
      <w:r w:rsidRPr="00250386">
        <w:rPr>
          <w:rFonts w:asciiTheme="majorBidi" w:hAnsiTheme="majorBidi" w:cstheme="majorBidi"/>
          <w:sz w:val="24"/>
          <w:szCs w:val="24"/>
        </w:rPr>
        <w:t>symptoms</w:t>
      </w:r>
      <w:r w:rsidR="000978E7">
        <w:rPr>
          <w:rFonts w:asciiTheme="majorBidi" w:hAnsiTheme="majorBidi" w:cstheme="majorBidi"/>
          <w:sz w:val="24"/>
          <w:szCs w:val="24"/>
        </w:rPr>
        <w:t>,</w:t>
      </w:r>
      <w:r w:rsidRPr="00250386">
        <w:rPr>
          <w:rFonts w:asciiTheme="majorBidi" w:hAnsiTheme="majorBidi" w:cstheme="majorBidi"/>
          <w:sz w:val="24"/>
          <w:szCs w:val="24"/>
        </w:rPr>
        <w:t xml:space="preserve"> the level of reported severity is </w:t>
      </w:r>
      <w:r w:rsidRPr="00250386">
        <w:rPr>
          <w:rFonts w:asciiTheme="majorBidi" w:hAnsiTheme="majorBidi" w:cstheme="majorBidi"/>
          <w:sz w:val="24"/>
          <w:szCs w:val="24"/>
        </w:rPr>
        <w:lastRenderedPageBreak/>
        <w:t>increasing with time elapsed, although none of the coefficients is s</w:t>
      </w:r>
      <w:bookmarkStart w:id="2" w:name="_GoBack"/>
      <w:bookmarkEnd w:id="2"/>
      <w:r w:rsidRPr="00250386">
        <w:rPr>
          <w:rFonts w:asciiTheme="majorBidi" w:hAnsiTheme="majorBidi" w:cstheme="majorBidi"/>
          <w:sz w:val="24"/>
          <w:szCs w:val="24"/>
        </w:rPr>
        <w:t>ignificantly different from zero.</w:t>
      </w:r>
    </w:p>
    <w:p w14:paraId="44F4B199" w14:textId="5AF5C55E" w:rsidR="00CD38D9" w:rsidRPr="00250386" w:rsidRDefault="00CD38D9" w:rsidP="00A77E12">
      <w:pPr>
        <w:spacing w:line="480" w:lineRule="auto"/>
        <w:rPr>
          <w:rFonts w:asciiTheme="majorBidi" w:hAnsiTheme="majorBidi" w:cstheme="majorBidi"/>
          <w:sz w:val="24"/>
          <w:szCs w:val="24"/>
        </w:rPr>
      </w:pPr>
      <w:r w:rsidRPr="00250386">
        <w:rPr>
          <w:rFonts w:asciiTheme="majorBidi" w:hAnsiTheme="majorBidi" w:cstheme="majorBidi"/>
          <w:sz w:val="24"/>
          <w:szCs w:val="24"/>
        </w:rPr>
        <w:t xml:space="preserve">To summarize, we find no evidence that time elapsed between the time of diagnosis and the survey has any effect on the two central variables of our analysis, the </w:t>
      </w:r>
      <w:r w:rsidR="000978E7">
        <w:rPr>
          <w:rFonts w:asciiTheme="majorBidi" w:hAnsiTheme="majorBidi" w:cstheme="majorBidi"/>
          <w:sz w:val="24"/>
          <w:szCs w:val="24"/>
        </w:rPr>
        <w:t xml:space="preserve">signs and </w:t>
      </w:r>
      <w:r w:rsidRPr="00250386">
        <w:rPr>
          <w:rFonts w:asciiTheme="majorBidi" w:hAnsiTheme="majorBidi" w:cstheme="majorBidi"/>
          <w:sz w:val="24"/>
          <w:szCs w:val="24"/>
        </w:rPr>
        <w:t>symptoms reported by the parents and the levels of severity as recalled by the parents.</w:t>
      </w:r>
    </w:p>
    <w:p w14:paraId="7A4E086E" w14:textId="0C53FBC1" w:rsidR="00CD38D9" w:rsidRPr="00250386" w:rsidRDefault="00CD38D9" w:rsidP="00A77E12">
      <w:pPr>
        <w:spacing w:line="480" w:lineRule="auto"/>
        <w:rPr>
          <w:rFonts w:asciiTheme="majorBidi" w:hAnsiTheme="majorBidi" w:cstheme="majorBidi"/>
          <w:sz w:val="24"/>
          <w:szCs w:val="24"/>
        </w:rPr>
      </w:pPr>
      <w:r w:rsidRPr="00250386">
        <w:rPr>
          <w:rFonts w:asciiTheme="majorBidi" w:hAnsiTheme="majorBidi" w:cstheme="majorBidi"/>
          <w:sz w:val="24"/>
          <w:szCs w:val="24"/>
        </w:rPr>
        <w:t xml:space="preserve">Our findings are consistent with the idea that as past events are more significant, recall accuracy is higher </w:t>
      </w:r>
      <w:r w:rsidRPr="00250386">
        <w:rPr>
          <w:rFonts w:asciiTheme="majorBidi" w:hAnsiTheme="majorBidi" w:cstheme="majorBidi"/>
          <w:sz w:val="24"/>
          <w:szCs w:val="24"/>
        </w:rPr>
        <w:fldChar w:fldCharType="begin" w:fldLock="1"/>
      </w:r>
      <w:r w:rsidR="00950E31" w:rsidRPr="00250386">
        <w:rPr>
          <w:rFonts w:asciiTheme="majorBidi" w:hAnsiTheme="majorBidi" w:cstheme="majorBidi"/>
          <w:sz w:val="24"/>
          <w:szCs w:val="24"/>
        </w:rPr>
        <w:instrText>ADDIN CSL_CITATION {"citationItems":[{"id":"ITEM-1","itemData":{"ISSN":"0895-4356","PMID":"2319285","abstract":"The factors which contribute to bias due to differential recall between cases and controls in retrospective studies have been little studied. A review of the literature on recall accuracy suggests that the extent of inaccurate recall is related to characteristics of the exposure of interest and of the respondents, though a distinction must be drawn between recall which is biased and that which is simply inaccurate. Interviewing technique and the study protocol, including the design of questionnaires and the motivation of respondents, play a central role and are under the control of the investigator. The results of validation studies carried out to date suggest that the likelihood of recall bias may be greater when recall is poor in general.","author":[{"dropping-particle":"","family":"Coughlin","given":"S S","non-dropping-particle":"","parse-names":false,"suffix":""}],"container-title":"Journal of clinical epidemiology","id":"ITEM-1","issue":"1","issued":{"date-parts":[["1990"]]},"page":"87-91","title":"Recall bias in epidemiologic studies.","type":"article-journal","volume":"43"},"uris":["http://www.mendeley.com/documents/?uuid=77413521-2d57-3b1f-b11e-8d6b8c113b1c"]}],"mendeley":{"formattedCitation":"(Coughlin, 1990)","plainTextFormattedCitation":"(Coughlin, 1990)","previouslyFormattedCitation":"(Coughlin, 1990)"},"properties":{"noteIndex":0},"schema":"https://github.com/citation-style-language/schema/raw/master/csl-citation.json"}</w:instrText>
      </w:r>
      <w:r w:rsidRPr="00250386">
        <w:rPr>
          <w:rFonts w:asciiTheme="majorBidi" w:hAnsiTheme="majorBidi" w:cstheme="majorBidi"/>
          <w:sz w:val="24"/>
          <w:szCs w:val="24"/>
        </w:rPr>
        <w:fldChar w:fldCharType="separate"/>
      </w:r>
      <w:r w:rsidRPr="00250386">
        <w:rPr>
          <w:rFonts w:asciiTheme="majorBidi" w:hAnsiTheme="majorBidi" w:cstheme="majorBidi"/>
          <w:noProof/>
          <w:sz w:val="24"/>
          <w:szCs w:val="24"/>
        </w:rPr>
        <w:t>(Coughlin, 1990)</w:t>
      </w:r>
      <w:r w:rsidRPr="00250386">
        <w:rPr>
          <w:rFonts w:asciiTheme="majorBidi" w:hAnsiTheme="majorBidi" w:cstheme="majorBidi"/>
          <w:sz w:val="24"/>
          <w:szCs w:val="24"/>
        </w:rPr>
        <w:fldChar w:fldCharType="end"/>
      </w:r>
      <w:r w:rsidRPr="00250386">
        <w:rPr>
          <w:rFonts w:asciiTheme="majorBidi" w:hAnsiTheme="majorBidi" w:cstheme="majorBidi"/>
          <w:sz w:val="24"/>
          <w:szCs w:val="24"/>
        </w:rPr>
        <w:t xml:space="preserve">. For example, Wilcox and Horney found that the major determinant of spontaneous abortion recall was the length of pregnancy at the time of abortion </w:t>
      </w:r>
      <w:r w:rsidRPr="00250386">
        <w:rPr>
          <w:rFonts w:asciiTheme="majorBidi" w:hAnsiTheme="majorBidi" w:cstheme="majorBidi"/>
          <w:sz w:val="24"/>
          <w:szCs w:val="24"/>
        </w:rPr>
        <w:fldChar w:fldCharType="begin" w:fldLock="1"/>
      </w:r>
      <w:r w:rsidR="00950E31" w:rsidRPr="00250386">
        <w:rPr>
          <w:rFonts w:asciiTheme="majorBidi" w:hAnsiTheme="majorBidi" w:cstheme="majorBidi"/>
          <w:sz w:val="24"/>
          <w:szCs w:val="24"/>
        </w:rPr>
        <w:instrText>ADDIN CSL_CITATION {"citationItems":[{"id":"ITEM-1","itemData":{"ISSN":"0002-9262","PMID":"6541871","abstract":"Data regarding spontaneous abortion are more easily obtained retrospectively than prospectively. However, the comparable quality of data obtained by these two approaches is not known. Retrospective data are difficult to validate because spontaneous abortions are not routinely documented. In this study, the quality of retrospective data was evaluated by comparing them with prospective data collected incidentally in a long-term study of menstrual cycles. A total of 348 women recorded one or more spontaneous abortions while participating in the Menstrual and Reproductive Health Study and were resurveyed regarding their pregnancy histories. Seventy-five per cent of recorded abortions were recalled. Gestational age at time of abortion was the major determinant of recall, with early abortions less often remembered. Time since abortion also affected recall, but less so. Other factors such as parity or maternal age were not related to completeness of recall. Recall of three fourths of recorded abortions among this group of women sensitized to their reproductive functions probably represents an upper limit of recall for other populations. While retrospective abortion data often are more accessible than medical records or prospective data, there may be limits to the usefulness of recalled abortion data in certain settings.","author":[{"dropping-particle":"","family":"Wilcox","given":"A J","non-dropping-particle":"","parse-names":false,"suffix":""},{"dropping-particle":"","family":"Horney","given":"L F","non-dropping-particle":"","parse-names":false,"suffix":""}],"container-title":"American journal of epidemiology","id":"ITEM-1","issue":"5","issued":{"date-parts":[["1984","11"]]},"page":"727-33","title":"Accuracy of spontaneous abortion recall.","type":"article-journal","volume":"120"},"uris":["http://www.mendeley.com/documents/?uuid=a5561ea6-c7da-32d3-8652-e5e7d4b3a945"]}],"mendeley":{"formattedCitation":"(Wilcox and Horney, 1984)","plainTextFormattedCitation":"(Wilcox and Horney, 1984)","previouslyFormattedCitation":"(Wilcox and Horney, 1984)"},"properties":{"noteIndex":0},"schema":"https://github.com/citation-style-language/schema/raw/master/csl-citation.json"}</w:instrText>
      </w:r>
      <w:r w:rsidRPr="00250386">
        <w:rPr>
          <w:rFonts w:asciiTheme="majorBidi" w:hAnsiTheme="majorBidi" w:cstheme="majorBidi"/>
          <w:sz w:val="24"/>
          <w:szCs w:val="24"/>
        </w:rPr>
        <w:fldChar w:fldCharType="separate"/>
      </w:r>
      <w:r w:rsidRPr="00250386">
        <w:rPr>
          <w:rFonts w:asciiTheme="majorBidi" w:hAnsiTheme="majorBidi" w:cstheme="majorBidi"/>
          <w:noProof/>
          <w:sz w:val="24"/>
          <w:szCs w:val="24"/>
        </w:rPr>
        <w:t>(Wilcox and Horney, 1984)</w:t>
      </w:r>
      <w:r w:rsidRPr="00250386">
        <w:rPr>
          <w:rFonts w:asciiTheme="majorBidi" w:hAnsiTheme="majorBidi" w:cstheme="majorBidi"/>
          <w:sz w:val="24"/>
          <w:szCs w:val="24"/>
        </w:rPr>
        <w:fldChar w:fldCharType="end"/>
      </w:r>
      <w:r w:rsidRPr="00250386">
        <w:rPr>
          <w:rFonts w:asciiTheme="majorBidi" w:hAnsiTheme="majorBidi" w:cstheme="majorBidi"/>
          <w:sz w:val="24"/>
          <w:szCs w:val="24"/>
        </w:rPr>
        <w:t>. Only 54% of abortions which accrued within the first 6 weeks of gestation were recalled, compared to 93% of those occurring after 13 weeks.</w:t>
      </w:r>
    </w:p>
    <w:p w14:paraId="2362E584" w14:textId="77777777" w:rsidR="00E12D43" w:rsidRPr="00250386" w:rsidRDefault="00E12D43" w:rsidP="00E12D43">
      <w:pPr>
        <w:rPr>
          <w:rFonts w:asciiTheme="majorBidi" w:hAnsiTheme="majorBidi" w:cstheme="majorBidi"/>
          <w:sz w:val="24"/>
          <w:szCs w:val="24"/>
        </w:rPr>
      </w:pPr>
    </w:p>
    <w:bookmarkStart w:id="3" w:name="_MON_1599049394"/>
    <w:bookmarkEnd w:id="3"/>
    <w:p w14:paraId="4B643B18" w14:textId="6F60E72D" w:rsidR="00E12D43" w:rsidRDefault="00CD3C00" w:rsidP="00E12D43">
      <w:r>
        <w:rPr>
          <w:noProof/>
        </w:rPr>
        <w:object w:dxaOrig="8476" w:dyaOrig="2053" w14:anchorId="10BB93F7">
          <v:shape id="_x0000_i1026" type="#_x0000_t75" alt="" style="width:423.75pt;height:102pt;mso-width-percent:0;mso-height-percent:0;mso-width-percent:0;mso-height-percent:0" o:ole="">
            <v:imagedata r:id="rId15" o:title=""/>
          </v:shape>
          <o:OLEObject Type="Embed" ProgID="Excel.Sheet.12" ShapeID="_x0000_i1026" DrawAspect="Content" ObjectID="_1646036073" r:id="rId16"/>
        </w:object>
      </w:r>
    </w:p>
    <w:p w14:paraId="5F3BE800" w14:textId="77777777" w:rsidR="00E12D43" w:rsidRDefault="00E12D43" w:rsidP="00E12D43"/>
    <w:p w14:paraId="18403180" w14:textId="0FB94563" w:rsidR="00E12D43" w:rsidRDefault="00E12D43" w:rsidP="00E12D43">
      <w:pPr>
        <w:keepNext/>
        <w:keepLines/>
      </w:pPr>
      <w:r>
        <w:lastRenderedPageBreak/>
        <w:t>Append</w:t>
      </w:r>
      <w:r w:rsidR="00CD38D9">
        <w:t>ix Figure B</w:t>
      </w:r>
      <w:r>
        <w:t>1</w:t>
      </w:r>
    </w:p>
    <w:p w14:paraId="71B7CBBF" w14:textId="77777777" w:rsidR="00E12D43" w:rsidRDefault="00E12D43" w:rsidP="00E12D43">
      <w:r w:rsidRPr="00122412">
        <w:rPr>
          <w:noProof/>
        </w:rPr>
        <w:drawing>
          <wp:inline distT="0" distB="0" distL="0" distR="0" wp14:anchorId="18B06CCD" wp14:editId="434AA58D">
            <wp:extent cx="3990975" cy="2904878"/>
            <wp:effectExtent l="0" t="0" r="0" b="0"/>
            <wp:docPr id="7" name="Picture 7" descr="G:\Dropbox (CBS)\Brenden_Nachum\Autism\results_paper_symptoms_age\time_elapsed_analysis\Hist_age_diagFir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Dropbox (CBS)\Brenden_Nachum\Autism\results_paper_symptoms_age\time_elapsed_analysis\Hist_age_diagFirst.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013504" cy="2921276"/>
                    </a:xfrm>
                    <a:prstGeom prst="rect">
                      <a:avLst/>
                    </a:prstGeom>
                    <a:noFill/>
                    <a:ln>
                      <a:noFill/>
                    </a:ln>
                  </pic:spPr>
                </pic:pic>
              </a:graphicData>
            </a:graphic>
          </wp:inline>
        </w:drawing>
      </w:r>
    </w:p>
    <w:p w14:paraId="33104CD5" w14:textId="2704C567" w:rsidR="00E12D43" w:rsidRDefault="00E12D43" w:rsidP="00E12D43">
      <w:pPr>
        <w:keepNext/>
        <w:keepLines/>
        <w:rPr>
          <w:noProof/>
        </w:rPr>
      </w:pPr>
      <w:r>
        <w:rPr>
          <w:noProof/>
        </w:rPr>
        <w:t xml:space="preserve">Apnnedix Figure </w:t>
      </w:r>
      <w:r w:rsidR="00CD38D9">
        <w:rPr>
          <w:noProof/>
        </w:rPr>
        <w:t>B</w:t>
      </w:r>
      <w:r>
        <w:rPr>
          <w:noProof/>
        </w:rPr>
        <w:t>2</w:t>
      </w:r>
    </w:p>
    <w:p w14:paraId="13605755" w14:textId="77777777" w:rsidR="00E12D43" w:rsidRDefault="00E12D43" w:rsidP="00E12D43">
      <w:r w:rsidRPr="00122412">
        <w:rPr>
          <w:noProof/>
        </w:rPr>
        <w:drawing>
          <wp:inline distT="0" distB="0" distL="0" distR="0" wp14:anchorId="21BDEB17" wp14:editId="0DF0952B">
            <wp:extent cx="3991314" cy="2905125"/>
            <wp:effectExtent l="0" t="0" r="9525" b="0"/>
            <wp:docPr id="8" name="Picture 8" descr="G:\Dropbox (CBS)\Brenden_Nachum\Autism\results_paper_symptoms_age\time_elapsed_analysis\Hist_age_timeSurve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Dropbox (CBS)\Brenden_Nachum\Autism\results_paper_symptoms_age\time_elapsed_analysis\Hist_age_timeSurvey.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021864" cy="2927361"/>
                    </a:xfrm>
                    <a:prstGeom prst="rect">
                      <a:avLst/>
                    </a:prstGeom>
                    <a:noFill/>
                    <a:ln>
                      <a:noFill/>
                    </a:ln>
                  </pic:spPr>
                </pic:pic>
              </a:graphicData>
            </a:graphic>
          </wp:inline>
        </w:drawing>
      </w:r>
    </w:p>
    <w:p w14:paraId="72030415" w14:textId="02A3830A" w:rsidR="00E12D43" w:rsidRDefault="00CD38D9" w:rsidP="00E12D43">
      <w:pPr>
        <w:keepNext/>
        <w:keepLines/>
      </w:pPr>
      <w:r>
        <w:lastRenderedPageBreak/>
        <w:t>Appendix Figure B</w:t>
      </w:r>
      <w:r w:rsidR="00E12D43">
        <w:t>3</w:t>
      </w:r>
    </w:p>
    <w:p w14:paraId="78C0A046" w14:textId="77777777" w:rsidR="00E12D43" w:rsidRDefault="00E12D43" w:rsidP="00E12D43">
      <w:r w:rsidRPr="00122412">
        <w:rPr>
          <w:noProof/>
        </w:rPr>
        <w:drawing>
          <wp:inline distT="0" distB="0" distL="0" distR="0" wp14:anchorId="619754DB" wp14:editId="059F4548">
            <wp:extent cx="3867150" cy="2814751"/>
            <wp:effectExtent l="0" t="0" r="0" b="5080"/>
            <wp:docPr id="9" name="Picture 9" descr="G:\Dropbox (CBS)\Brenden_Nachum\Autism\results_paper_symptoms_age\time_elapsed_analysis\Hist_age_diagFirst_&amp;_timeSurve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Dropbox (CBS)\Brenden_Nachum\Autism\results_paper_symptoms_age\time_elapsed_analysis\Hist_age_diagFirst_&amp;_timeSurvey.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85695" cy="2828249"/>
                    </a:xfrm>
                    <a:prstGeom prst="rect">
                      <a:avLst/>
                    </a:prstGeom>
                    <a:noFill/>
                    <a:ln>
                      <a:noFill/>
                    </a:ln>
                  </pic:spPr>
                </pic:pic>
              </a:graphicData>
            </a:graphic>
          </wp:inline>
        </w:drawing>
      </w:r>
    </w:p>
    <w:p w14:paraId="10D18702" w14:textId="4D73B1F6" w:rsidR="00E12D43" w:rsidRDefault="00CD38D9" w:rsidP="00CD38D9">
      <w:pPr>
        <w:keepNext/>
        <w:keepLines/>
      </w:pPr>
      <w:r>
        <w:t>Appendix Figure B</w:t>
      </w:r>
      <w:r w:rsidR="00E12D43">
        <w:t>4</w:t>
      </w:r>
    </w:p>
    <w:p w14:paraId="513508A7" w14:textId="77777777" w:rsidR="00E12D43" w:rsidRDefault="00E12D43" w:rsidP="00E12D43">
      <w:r w:rsidRPr="00122412">
        <w:rPr>
          <w:noProof/>
        </w:rPr>
        <w:drawing>
          <wp:inline distT="0" distB="0" distL="0" distR="0" wp14:anchorId="4A3187F7" wp14:editId="6939DA08">
            <wp:extent cx="3867150" cy="2814751"/>
            <wp:effectExtent l="0" t="0" r="0" b="5080"/>
            <wp:docPr id="10" name="Picture 10" descr="G:\Dropbox (CBS)\Brenden_Nachum\Autism\results_paper_symptoms_age\time_elapsed_analysis\Hist_time_since_diagFir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Dropbox (CBS)\Brenden_Nachum\Autism\results_paper_symptoms_age\time_elapsed_analysis\Hist_time_since_diagFirst.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96818" cy="2836345"/>
                    </a:xfrm>
                    <a:prstGeom prst="rect">
                      <a:avLst/>
                    </a:prstGeom>
                    <a:noFill/>
                    <a:ln>
                      <a:noFill/>
                    </a:ln>
                  </pic:spPr>
                </pic:pic>
              </a:graphicData>
            </a:graphic>
          </wp:inline>
        </w:drawing>
      </w:r>
    </w:p>
    <w:p w14:paraId="7A99DFF5" w14:textId="77777777" w:rsidR="00E12D43" w:rsidRDefault="00E12D43" w:rsidP="00E12D43"/>
    <w:bookmarkStart w:id="4" w:name="_MON_1599049420"/>
    <w:bookmarkEnd w:id="4"/>
    <w:p w14:paraId="2936CD4D" w14:textId="0528B0B2" w:rsidR="003A1C4F" w:rsidRPr="00E12D43" w:rsidRDefault="000978E7" w:rsidP="00E12D43">
      <w:r>
        <w:rPr>
          <w:noProof/>
        </w:rPr>
        <w:object w:dxaOrig="6709" w:dyaOrig="16576" w14:anchorId="53C5BFC6">
          <v:shape id="_x0000_i1027" type="#_x0000_t75" alt="" style="width:273.75pt;height:679.5pt" o:ole="">
            <v:imagedata r:id="rId21" o:title=""/>
          </v:shape>
          <o:OLEObject Type="Embed" ProgID="Excel.Sheet.12" ShapeID="_x0000_i1027" DrawAspect="Content" ObjectID="_1646036074" r:id="rId22"/>
        </w:object>
      </w:r>
    </w:p>
    <w:sectPr w:rsidR="003A1C4F" w:rsidRPr="00E12D43" w:rsidSect="005010B9">
      <w:footerReference w:type="defaul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456AD9" w14:textId="77777777" w:rsidR="00A136DC" w:rsidRDefault="00A136DC" w:rsidP="00805966">
      <w:pPr>
        <w:spacing w:after="0" w:line="240" w:lineRule="auto"/>
      </w:pPr>
      <w:r>
        <w:separator/>
      </w:r>
    </w:p>
  </w:endnote>
  <w:endnote w:type="continuationSeparator" w:id="0">
    <w:p w14:paraId="05892CFB" w14:textId="77777777" w:rsidR="00A136DC" w:rsidRDefault="00A136DC" w:rsidP="008059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BDD279" w14:textId="77777777" w:rsidR="0054337E" w:rsidRDefault="0054337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8C9114" w14:textId="77777777" w:rsidR="00A136DC" w:rsidRDefault="00A136DC" w:rsidP="00805966">
      <w:pPr>
        <w:spacing w:after="0" w:line="240" w:lineRule="auto"/>
      </w:pPr>
      <w:r>
        <w:separator/>
      </w:r>
    </w:p>
  </w:footnote>
  <w:footnote w:type="continuationSeparator" w:id="0">
    <w:p w14:paraId="58EF25EB" w14:textId="77777777" w:rsidR="00A136DC" w:rsidRDefault="00A136DC" w:rsidP="0080596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48645A5"/>
    <w:multiLevelType w:val="hybridMultilevel"/>
    <w:tmpl w:val="AA2CD87C"/>
    <w:lvl w:ilvl="0" w:tplc="47D0783A">
      <w:start w:val="2"/>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41355EA"/>
    <w:multiLevelType w:val="hybridMultilevel"/>
    <w:tmpl w:val="3814AA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8B33020"/>
    <w:multiLevelType w:val="multilevel"/>
    <w:tmpl w:val="CB003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B312585"/>
    <w:multiLevelType w:val="multilevel"/>
    <w:tmpl w:val="7D3CC9C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34304BCB"/>
    <w:multiLevelType w:val="hybridMultilevel"/>
    <w:tmpl w:val="C62E65D6"/>
    <w:lvl w:ilvl="0" w:tplc="B8226994">
      <w:start w:val="1"/>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79644A7"/>
    <w:multiLevelType w:val="hybridMultilevel"/>
    <w:tmpl w:val="7D3CC9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458A7F0A"/>
    <w:multiLevelType w:val="hybridMultilevel"/>
    <w:tmpl w:val="D86EAC30"/>
    <w:lvl w:ilvl="0" w:tplc="B8226994">
      <w:start w:val="1"/>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50256581"/>
    <w:multiLevelType w:val="hybridMultilevel"/>
    <w:tmpl w:val="740C4E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6AD6FC8"/>
    <w:multiLevelType w:val="hybridMultilevel"/>
    <w:tmpl w:val="4456F6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FA834A3"/>
    <w:multiLevelType w:val="hybridMultilevel"/>
    <w:tmpl w:val="E5E89D12"/>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6"/>
  </w:num>
  <w:num w:numId="2">
    <w:abstractNumId w:val="7"/>
  </w:num>
  <w:num w:numId="3">
    <w:abstractNumId w:val="12"/>
  </w:num>
  <w:num w:numId="4">
    <w:abstractNumId w:val="10"/>
  </w:num>
  <w:num w:numId="5">
    <w:abstractNumId w:val="11"/>
  </w:num>
  <w:num w:numId="6">
    <w:abstractNumId w:val="14"/>
  </w:num>
  <w:num w:numId="7">
    <w:abstractNumId w:val="8"/>
  </w:num>
  <w:num w:numId="8">
    <w:abstractNumId w:val="5"/>
  </w:num>
  <w:num w:numId="9">
    <w:abstractNumId w:val="9"/>
  </w:num>
  <w:num w:numId="10">
    <w:abstractNumId w:val="0"/>
  </w:num>
  <w:num w:numId="11">
    <w:abstractNumId w:val="1"/>
  </w:num>
  <w:num w:numId="12">
    <w:abstractNumId w:val="2"/>
  </w:num>
  <w:num w:numId="13">
    <w:abstractNumId w:val="3"/>
  </w:num>
  <w:num w:numId="14">
    <w:abstractNumId w:val="4"/>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209B"/>
    <w:rsid w:val="00000507"/>
    <w:rsid w:val="000062FE"/>
    <w:rsid w:val="00012F6D"/>
    <w:rsid w:val="0001367C"/>
    <w:rsid w:val="000136F8"/>
    <w:rsid w:val="0001394F"/>
    <w:rsid w:val="00013F9C"/>
    <w:rsid w:val="000248D0"/>
    <w:rsid w:val="000248F5"/>
    <w:rsid w:val="00025741"/>
    <w:rsid w:val="0002681C"/>
    <w:rsid w:val="00031F45"/>
    <w:rsid w:val="0003209A"/>
    <w:rsid w:val="000321FD"/>
    <w:rsid w:val="00037955"/>
    <w:rsid w:val="00051429"/>
    <w:rsid w:val="00061E35"/>
    <w:rsid w:val="00062B36"/>
    <w:rsid w:val="000635FF"/>
    <w:rsid w:val="00063C99"/>
    <w:rsid w:val="00066B40"/>
    <w:rsid w:val="000701FC"/>
    <w:rsid w:val="00070DBE"/>
    <w:rsid w:val="000752C7"/>
    <w:rsid w:val="0007537A"/>
    <w:rsid w:val="0008083A"/>
    <w:rsid w:val="00081B88"/>
    <w:rsid w:val="00087BFC"/>
    <w:rsid w:val="00087CA4"/>
    <w:rsid w:val="0009209B"/>
    <w:rsid w:val="0009229E"/>
    <w:rsid w:val="00094E73"/>
    <w:rsid w:val="000978E7"/>
    <w:rsid w:val="000A7DE7"/>
    <w:rsid w:val="000B00AB"/>
    <w:rsid w:val="000B3C16"/>
    <w:rsid w:val="000B502F"/>
    <w:rsid w:val="000C41A0"/>
    <w:rsid w:val="000C54E8"/>
    <w:rsid w:val="000C6626"/>
    <w:rsid w:val="000C6C2D"/>
    <w:rsid w:val="000C6FC9"/>
    <w:rsid w:val="000D0000"/>
    <w:rsid w:val="000D3144"/>
    <w:rsid w:val="000D5680"/>
    <w:rsid w:val="000D5822"/>
    <w:rsid w:val="000D753F"/>
    <w:rsid w:val="000E08E9"/>
    <w:rsid w:val="000E0D14"/>
    <w:rsid w:val="000E136F"/>
    <w:rsid w:val="000E31DC"/>
    <w:rsid w:val="000F01DE"/>
    <w:rsid w:val="000F15DD"/>
    <w:rsid w:val="000F3B69"/>
    <w:rsid w:val="000F6B1E"/>
    <w:rsid w:val="00100948"/>
    <w:rsid w:val="00100BFF"/>
    <w:rsid w:val="00101F53"/>
    <w:rsid w:val="0010682E"/>
    <w:rsid w:val="00110B23"/>
    <w:rsid w:val="00120C29"/>
    <w:rsid w:val="001216BE"/>
    <w:rsid w:val="00130093"/>
    <w:rsid w:val="00134656"/>
    <w:rsid w:val="001348C3"/>
    <w:rsid w:val="00137F3B"/>
    <w:rsid w:val="0014726E"/>
    <w:rsid w:val="001500C9"/>
    <w:rsid w:val="001536F5"/>
    <w:rsid w:val="0015493B"/>
    <w:rsid w:val="00154AE0"/>
    <w:rsid w:val="001554D3"/>
    <w:rsid w:val="0015727B"/>
    <w:rsid w:val="001801A8"/>
    <w:rsid w:val="00187A4F"/>
    <w:rsid w:val="00195E2B"/>
    <w:rsid w:val="0019600F"/>
    <w:rsid w:val="00197397"/>
    <w:rsid w:val="001A3849"/>
    <w:rsid w:val="001A3AB5"/>
    <w:rsid w:val="001B06DF"/>
    <w:rsid w:val="001B2715"/>
    <w:rsid w:val="001B49F7"/>
    <w:rsid w:val="001B6026"/>
    <w:rsid w:val="001B6EDB"/>
    <w:rsid w:val="001B777D"/>
    <w:rsid w:val="001C02E3"/>
    <w:rsid w:val="001C3709"/>
    <w:rsid w:val="001C405E"/>
    <w:rsid w:val="001C5FAC"/>
    <w:rsid w:val="001D2222"/>
    <w:rsid w:val="001D2305"/>
    <w:rsid w:val="001D364D"/>
    <w:rsid w:val="001D3DD6"/>
    <w:rsid w:val="001D49A0"/>
    <w:rsid w:val="001D75A1"/>
    <w:rsid w:val="001D7F7A"/>
    <w:rsid w:val="001E1CDB"/>
    <w:rsid w:val="001E25F8"/>
    <w:rsid w:val="001E2D98"/>
    <w:rsid w:val="001E61F2"/>
    <w:rsid w:val="001F54BF"/>
    <w:rsid w:val="001F716D"/>
    <w:rsid w:val="00200E42"/>
    <w:rsid w:val="00201743"/>
    <w:rsid w:val="0020773D"/>
    <w:rsid w:val="0020788F"/>
    <w:rsid w:val="00212A08"/>
    <w:rsid w:val="0022715B"/>
    <w:rsid w:val="0022785B"/>
    <w:rsid w:val="00230361"/>
    <w:rsid w:val="00231714"/>
    <w:rsid w:val="002371FD"/>
    <w:rsid w:val="00241CD5"/>
    <w:rsid w:val="00245376"/>
    <w:rsid w:val="00250386"/>
    <w:rsid w:val="002510EE"/>
    <w:rsid w:val="00251D3E"/>
    <w:rsid w:val="00251FC9"/>
    <w:rsid w:val="00256282"/>
    <w:rsid w:val="002564EB"/>
    <w:rsid w:val="00256BFF"/>
    <w:rsid w:val="00262E1E"/>
    <w:rsid w:val="00263B26"/>
    <w:rsid w:val="00266CE2"/>
    <w:rsid w:val="00270B68"/>
    <w:rsid w:val="00271A24"/>
    <w:rsid w:val="00274FAE"/>
    <w:rsid w:val="00280928"/>
    <w:rsid w:val="00283601"/>
    <w:rsid w:val="00284DCB"/>
    <w:rsid w:val="002867E3"/>
    <w:rsid w:val="002A0180"/>
    <w:rsid w:val="002A2C1C"/>
    <w:rsid w:val="002A366D"/>
    <w:rsid w:val="002A4214"/>
    <w:rsid w:val="002A6D25"/>
    <w:rsid w:val="002B0772"/>
    <w:rsid w:val="002B1BAB"/>
    <w:rsid w:val="002B1DE7"/>
    <w:rsid w:val="002B49A8"/>
    <w:rsid w:val="002C5BB1"/>
    <w:rsid w:val="002C619E"/>
    <w:rsid w:val="002C7926"/>
    <w:rsid w:val="002D03B5"/>
    <w:rsid w:val="002D1B08"/>
    <w:rsid w:val="002D493B"/>
    <w:rsid w:val="002D5EC3"/>
    <w:rsid w:val="002D5FD5"/>
    <w:rsid w:val="002D74A5"/>
    <w:rsid w:val="002E1873"/>
    <w:rsid w:val="002E1A49"/>
    <w:rsid w:val="002E2133"/>
    <w:rsid w:val="002F37E1"/>
    <w:rsid w:val="002F3A0B"/>
    <w:rsid w:val="00304050"/>
    <w:rsid w:val="00305457"/>
    <w:rsid w:val="00307616"/>
    <w:rsid w:val="00307E5D"/>
    <w:rsid w:val="00311601"/>
    <w:rsid w:val="00311AA8"/>
    <w:rsid w:val="00312432"/>
    <w:rsid w:val="00315742"/>
    <w:rsid w:val="00317C09"/>
    <w:rsid w:val="003252C4"/>
    <w:rsid w:val="003254D5"/>
    <w:rsid w:val="0033430A"/>
    <w:rsid w:val="0033550C"/>
    <w:rsid w:val="003362B2"/>
    <w:rsid w:val="00342DB5"/>
    <w:rsid w:val="00347B7A"/>
    <w:rsid w:val="00352266"/>
    <w:rsid w:val="003546E8"/>
    <w:rsid w:val="00355D9A"/>
    <w:rsid w:val="0037271E"/>
    <w:rsid w:val="0037576F"/>
    <w:rsid w:val="003779DE"/>
    <w:rsid w:val="003829D9"/>
    <w:rsid w:val="00391392"/>
    <w:rsid w:val="003A0BAC"/>
    <w:rsid w:val="003A1C4F"/>
    <w:rsid w:val="003A736A"/>
    <w:rsid w:val="003B319F"/>
    <w:rsid w:val="003B575F"/>
    <w:rsid w:val="003B611E"/>
    <w:rsid w:val="003B7F4F"/>
    <w:rsid w:val="003C436E"/>
    <w:rsid w:val="003C5F6D"/>
    <w:rsid w:val="003C78F7"/>
    <w:rsid w:val="003D0C04"/>
    <w:rsid w:val="003D297C"/>
    <w:rsid w:val="003D7E64"/>
    <w:rsid w:val="003E7566"/>
    <w:rsid w:val="003F2290"/>
    <w:rsid w:val="003F692D"/>
    <w:rsid w:val="003F7B43"/>
    <w:rsid w:val="00402E65"/>
    <w:rsid w:val="004030F0"/>
    <w:rsid w:val="00406B83"/>
    <w:rsid w:val="00407B1E"/>
    <w:rsid w:val="00407ECB"/>
    <w:rsid w:val="00410BC0"/>
    <w:rsid w:val="00427A0F"/>
    <w:rsid w:val="004313DA"/>
    <w:rsid w:val="00433AA8"/>
    <w:rsid w:val="0043570D"/>
    <w:rsid w:val="00435868"/>
    <w:rsid w:val="00436DE8"/>
    <w:rsid w:val="00445158"/>
    <w:rsid w:val="00450705"/>
    <w:rsid w:val="004516A7"/>
    <w:rsid w:val="00455177"/>
    <w:rsid w:val="00456046"/>
    <w:rsid w:val="00456F8F"/>
    <w:rsid w:val="00457870"/>
    <w:rsid w:val="0046252A"/>
    <w:rsid w:val="00465A55"/>
    <w:rsid w:val="004739A4"/>
    <w:rsid w:val="00474757"/>
    <w:rsid w:val="0047570D"/>
    <w:rsid w:val="004813A2"/>
    <w:rsid w:val="004817E4"/>
    <w:rsid w:val="00492AEB"/>
    <w:rsid w:val="004965E0"/>
    <w:rsid w:val="004A03E2"/>
    <w:rsid w:val="004A4076"/>
    <w:rsid w:val="004B0A56"/>
    <w:rsid w:val="004B167C"/>
    <w:rsid w:val="004B3CF9"/>
    <w:rsid w:val="004B75EE"/>
    <w:rsid w:val="004C64C4"/>
    <w:rsid w:val="004D05C2"/>
    <w:rsid w:val="004D4656"/>
    <w:rsid w:val="004D6838"/>
    <w:rsid w:val="004E055D"/>
    <w:rsid w:val="004E1768"/>
    <w:rsid w:val="004E2DD4"/>
    <w:rsid w:val="004E7B3B"/>
    <w:rsid w:val="004F60AC"/>
    <w:rsid w:val="004F68DE"/>
    <w:rsid w:val="004F77C1"/>
    <w:rsid w:val="005010B9"/>
    <w:rsid w:val="00502031"/>
    <w:rsid w:val="0051327B"/>
    <w:rsid w:val="00516380"/>
    <w:rsid w:val="00527583"/>
    <w:rsid w:val="005279BE"/>
    <w:rsid w:val="00530DED"/>
    <w:rsid w:val="00531BBA"/>
    <w:rsid w:val="00532EB8"/>
    <w:rsid w:val="0053355C"/>
    <w:rsid w:val="00534109"/>
    <w:rsid w:val="0054337E"/>
    <w:rsid w:val="00553C78"/>
    <w:rsid w:val="00554385"/>
    <w:rsid w:val="00554429"/>
    <w:rsid w:val="0055504A"/>
    <w:rsid w:val="005550DC"/>
    <w:rsid w:val="005567A1"/>
    <w:rsid w:val="00557F33"/>
    <w:rsid w:val="005641BB"/>
    <w:rsid w:val="00565299"/>
    <w:rsid w:val="00572079"/>
    <w:rsid w:val="00576ACC"/>
    <w:rsid w:val="00577DA9"/>
    <w:rsid w:val="005804A2"/>
    <w:rsid w:val="00582BC7"/>
    <w:rsid w:val="00592181"/>
    <w:rsid w:val="0059262A"/>
    <w:rsid w:val="00593BE5"/>
    <w:rsid w:val="00594B9A"/>
    <w:rsid w:val="005A2A35"/>
    <w:rsid w:val="005A3DEE"/>
    <w:rsid w:val="005A54D0"/>
    <w:rsid w:val="005A678F"/>
    <w:rsid w:val="005A753D"/>
    <w:rsid w:val="005B06DC"/>
    <w:rsid w:val="005B1E99"/>
    <w:rsid w:val="005B6DA0"/>
    <w:rsid w:val="005B7D57"/>
    <w:rsid w:val="005C396B"/>
    <w:rsid w:val="005C5179"/>
    <w:rsid w:val="005C5605"/>
    <w:rsid w:val="005C5B22"/>
    <w:rsid w:val="005D20A9"/>
    <w:rsid w:val="005D3633"/>
    <w:rsid w:val="005D441F"/>
    <w:rsid w:val="005D6127"/>
    <w:rsid w:val="005D6F5B"/>
    <w:rsid w:val="005E090B"/>
    <w:rsid w:val="005E1A0A"/>
    <w:rsid w:val="005F2EE2"/>
    <w:rsid w:val="005F3716"/>
    <w:rsid w:val="00601155"/>
    <w:rsid w:val="00611111"/>
    <w:rsid w:val="00612932"/>
    <w:rsid w:val="0061305C"/>
    <w:rsid w:val="006134BF"/>
    <w:rsid w:val="0061414F"/>
    <w:rsid w:val="00614A2A"/>
    <w:rsid w:val="00616827"/>
    <w:rsid w:val="006176E0"/>
    <w:rsid w:val="00620E6E"/>
    <w:rsid w:val="006233D0"/>
    <w:rsid w:val="00625D61"/>
    <w:rsid w:val="00625DD8"/>
    <w:rsid w:val="00630528"/>
    <w:rsid w:val="006326F5"/>
    <w:rsid w:val="006369D8"/>
    <w:rsid w:val="006400DA"/>
    <w:rsid w:val="006403BD"/>
    <w:rsid w:val="006408E7"/>
    <w:rsid w:val="00646959"/>
    <w:rsid w:val="006470F3"/>
    <w:rsid w:val="00647554"/>
    <w:rsid w:val="006476DA"/>
    <w:rsid w:val="006512AC"/>
    <w:rsid w:val="006513B3"/>
    <w:rsid w:val="00652E38"/>
    <w:rsid w:val="00661E7E"/>
    <w:rsid w:val="0067029F"/>
    <w:rsid w:val="0067280A"/>
    <w:rsid w:val="00691D01"/>
    <w:rsid w:val="00691E89"/>
    <w:rsid w:val="0069312B"/>
    <w:rsid w:val="00693384"/>
    <w:rsid w:val="006A24C7"/>
    <w:rsid w:val="006A2511"/>
    <w:rsid w:val="006A3219"/>
    <w:rsid w:val="006A4D76"/>
    <w:rsid w:val="006A6384"/>
    <w:rsid w:val="006B12B3"/>
    <w:rsid w:val="006B44BC"/>
    <w:rsid w:val="006B5533"/>
    <w:rsid w:val="006B7AF9"/>
    <w:rsid w:val="006C1A75"/>
    <w:rsid w:val="006C400A"/>
    <w:rsid w:val="006C45D5"/>
    <w:rsid w:val="006E224D"/>
    <w:rsid w:val="006E2C8F"/>
    <w:rsid w:val="006E2FA6"/>
    <w:rsid w:val="006E39BA"/>
    <w:rsid w:val="006E65C8"/>
    <w:rsid w:val="006E6B3E"/>
    <w:rsid w:val="006F0ACA"/>
    <w:rsid w:val="006F1179"/>
    <w:rsid w:val="006F1A50"/>
    <w:rsid w:val="006F2373"/>
    <w:rsid w:val="006F4DAF"/>
    <w:rsid w:val="006F6DB5"/>
    <w:rsid w:val="00701E0A"/>
    <w:rsid w:val="00702855"/>
    <w:rsid w:val="00705C7D"/>
    <w:rsid w:val="007122F2"/>
    <w:rsid w:val="00712835"/>
    <w:rsid w:val="0071558B"/>
    <w:rsid w:val="007161F9"/>
    <w:rsid w:val="00716F0D"/>
    <w:rsid w:val="00721B30"/>
    <w:rsid w:val="007233A6"/>
    <w:rsid w:val="00725B2C"/>
    <w:rsid w:val="00725DB7"/>
    <w:rsid w:val="00726911"/>
    <w:rsid w:val="00730101"/>
    <w:rsid w:val="00730364"/>
    <w:rsid w:val="00730390"/>
    <w:rsid w:val="0073082D"/>
    <w:rsid w:val="0073176D"/>
    <w:rsid w:val="00731C3D"/>
    <w:rsid w:val="007426F3"/>
    <w:rsid w:val="007504B8"/>
    <w:rsid w:val="00750ADC"/>
    <w:rsid w:val="00752B2D"/>
    <w:rsid w:val="00754414"/>
    <w:rsid w:val="007546C4"/>
    <w:rsid w:val="0075555D"/>
    <w:rsid w:val="00762B52"/>
    <w:rsid w:val="00763A61"/>
    <w:rsid w:val="007650B9"/>
    <w:rsid w:val="007657AA"/>
    <w:rsid w:val="00766F46"/>
    <w:rsid w:val="007679DD"/>
    <w:rsid w:val="00767CD4"/>
    <w:rsid w:val="00767E25"/>
    <w:rsid w:val="0077752C"/>
    <w:rsid w:val="00782C97"/>
    <w:rsid w:val="00783E8F"/>
    <w:rsid w:val="00790133"/>
    <w:rsid w:val="00792EA2"/>
    <w:rsid w:val="0079391C"/>
    <w:rsid w:val="00794D38"/>
    <w:rsid w:val="00797422"/>
    <w:rsid w:val="007A1A31"/>
    <w:rsid w:val="007A2239"/>
    <w:rsid w:val="007A3CEE"/>
    <w:rsid w:val="007A6931"/>
    <w:rsid w:val="007A7873"/>
    <w:rsid w:val="007A7A80"/>
    <w:rsid w:val="007B0019"/>
    <w:rsid w:val="007B05FD"/>
    <w:rsid w:val="007B312F"/>
    <w:rsid w:val="007B3841"/>
    <w:rsid w:val="007B6554"/>
    <w:rsid w:val="007D4F8C"/>
    <w:rsid w:val="007D5148"/>
    <w:rsid w:val="007E0C51"/>
    <w:rsid w:val="007E2590"/>
    <w:rsid w:val="007E26E7"/>
    <w:rsid w:val="007E4830"/>
    <w:rsid w:val="007F0114"/>
    <w:rsid w:val="007F0537"/>
    <w:rsid w:val="007F3DB3"/>
    <w:rsid w:val="007F66F8"/>
    <w:rsid w:val="00800D06"/>
    <w:rsid w:val="0080107F"/>
    <w:rsid w:val="00802884"/>
    <w:rsid w:val="00803E37"/>
    <w:rsid w:val="00804E06"/>
    <w:rsid w:val="00805966"/>
    <w:rsid w:val="00810BA0"/>
    <w:rsid w:val="008113BF"/>
    <w:rsid w:val="008115E2"/>
    <w:rsid w:val="00812DB9"/>
    <w:rsid w:val="00813073"/>
    <w:rsid w:val="00814991"/>
    <w:rsid w:val="008178DA"/>
    <w:rsid w:val="0082007C"/>
    <w:rsid w:val="008245D0"/>
    <w:rsid w:val="00843EFC"/>
    <w:rsid w:val="00844C90"/>
    <w:rsid w:val="00845302"/>
    <w:rsid w:val="00847CDF"/>
    <w:rsid w:val="00853F2A"/>
    <w:rsid w:val="00855E84"/>
    <w:rsid w:val="0085649E"/>
    <w:rsid w:val="00857771"/>
    <w:rsid w:val="00861EF2"/>
    <w:rsid w:val="0086360C"/>
    <w:rsid w:val="0086445B"/>
    <w:rsid w:val="00871867"/>
    <w:rsid w:val="008740D5"/>
    <w:rsid w:val="0088612B"/>
    <w:rsid w:val="00890FB1"/>
    <w:rsid w:val="00891D23"/>
    <w:rsid w:val="008951A9"/>
    <w:rsid w:val="00896EB9"/>
    <w:rsid w:val="008A36F2"/>
    <w:rsid w:val="008A4ED5"/>
    <w:rsid w:val="008A73A4"/>
    <w:rsid w:val="008B12A4"/>
    <w:rsid w:val="008B1E95"/>
    <w:rsid w:val="008B3F50"/>
    <w:rsid w:val="008B5CA0"/>
    <w:rsid w:val="008C0035"/>
    <w:rsid w:val="008C038E"/>
    <w:rsid w:val="008C052F"/>
    <w:rsid w:val="008C0D17"/>
    <w:rsid w:val="008C237D"/>
    <w:rsid w:val="008C2D8B"/>
    <w:rsid w:val="008C792E"/>
    <w:rsid w:val="008D0171"/>
    <w:rsid w:val="008D18B2"/>
    <w:rsid w:val="008D7FDF"/>
    <w:rsid w:val="008E12CB"/>
    <w:rsid w:val="008E147E"/>
    <w:rsid w:val="008E2DFE"/>
    <w:rsid w:val="008E4D36"/>
    <w:rsid w:val="008F0071"/>
    <w:rsid w:val="008F0C50"/>
    <w:rsid w:val="008F3658"/>
    <w:rsid w:val="008F5CBC"/>
    <w:rsid w:val="008F5F36"/>
    <w:rsid w:val="008F65FE"/>
    <w:rsid w:val="008F6703"/>
    <w:rsid w:val="008F79DD"/>
    <w:rsid w:val="0090503D"/>
    <w:rsid w:val="00906F3A"/>
    <w:rsid w:val="00907BEF"/>
    <w:rsid w:val="00910074"/>
    <w:rsid w:val="00911131"/>
    <w:rsid w:val="00911C20"/>
    <w:rsid w:val="00912D65"/>
    <w:rsid w:val="0091328D"/>
    <w:rsid w:val="00914A7D"/>
    <w:rsid w:val="0092193B"/>
    <w:rsid w:val="009221A8"/>
    <w:rsid w:val="00923409"/>
    <w:rsid w:val="00931B3B"/>
    <w:rsid w:val="0093208B"/>
    <w:rsid w:val="009327CF"/>
    <w:rsid w:val="00935539"/>
    <w:rsid w:val="0093707A"/>
    <w:rsid w:val="009457F1"/>
    <w:rsid w:val="00945E86"/>
    <w:rsid w:val="00946793"/>
    <w:rsid w:val="00950E31"/>
    <w:rsid w:val="0095485E"/>
    <w:rsid w:val="00962F09"/>
    <w:rsid w:val="00963D7D"/>
    <w:rsid w:val="00965309"/>
    <w:rsid w:val="009713FD"/>
    <w:rsid w:val="00976A74"/>
    <w:rsid w:val="0097729E"/>
    <w:rsid w:val="00981631"/>
    <w:rsid w:val="00983506"/>
    <w:rsid w:val="00986CC8"/>
    <w:rsid w:val="00992D9B"/>
    <w:rsid w:val="009979A7"/>
    <w:rsid w:val="009A313B"/>
    <w:rsid w:val="009A68E7"/>
    <w:rsid w:val="009B0557"/>
    <w:rsid w:val="009B0C6F"/>
    <w:rsid w:val="009B3FD5"/>
    <w:rsid w:val="009B4592"/>
    <w:rsid w:val="009B7258"/>
    <w:rsid w:val="009B7894"/>
    <w:rsid w:val="009D17E2"/>
    <w:rsid w:val="009D4CC2"/>
    <w:rsid w:val="009D504B"/>
    <w:rsid w:val="009D73F3"/>
    <w:rsid w:val="009E391C"/>
    <w:rsid w:val="009F0DB9"/>
    <w:rsid w:val="009F2A68"/>
    <w:rsid w:val="00A01611"/>
    <w:rsid w:val="00A01DEF"/>
    <w:rsid w:val="00A05A0E"/>
    <w:rsid w:val="00A066DD"/>
    <w:rsid w:val="00A06EDC"/>
    <w:rsid w:val="00A11721"/>
    <w:rsid w:val="00A128CE"/>
    <w:rsid w:val="00A130E8"/>
    <w:rsid w:val="00A136DC"/>
    <w:rsid w:val="00A20B42"/>
    <w:rsid w:val="00A213A4"/>
    <w:rsid w:val="00A2171D"/>
    <w:rsid w:val="00A21F4F"/>
    <w:rsid w:val="00A23403"/>
    <w:rsid w:val="00A23817"/>
    <w:rsid w:val="00A24DA7"/>
    <w:rsid w:val="00A32DF4"/>
    <w:rsid w:val="00A36F48"/>
    <w:rsid w:val="00A376C2"/>
    <w:rsid w:val="00A445B0"/>
    <w:rsid w:val="00A459CB"/>
    <w:rsid w:val="00A46827"/>
    <w:rsid w:val="00A50BE4"/>
    <w:rsid w:val="00A546F6"/>
    <w:rsid w:val="00A55259"/>
    <w:rsid w:val="00A57F82"/>
    <w:rsid w:val="00A65F26"/>
    <w:rsid w:val="00A662AB"/>
    <w:rsid w:val="00A72D74"/>
    <w:rsid w:val="00A74184"/>
    <w:rsid w:val="00A74225"/>
    <w:rsid w:val="00A77E12"/>
    <w:rsid w:val="00A8024C"/>
    <w:rsid w:val="00A818E5"/>
    <w:rsid w:val="00A83D5B"/>
    <w:rsid w:val="00A85A7A"/>
    <w:rsid w:val="00A86C27"/>
    <w:rsid w:val="00A94F50"/>
    <w:rsid w:val="00A95076"/>
    <w:rsid w:val="00A95473"/>
    <w:rsid w:val="00A96600"/>
    <w:rsid w:val="00A97B46"/>
    <w:rsid w:val="00AA344C"/>
    <w:rsid w:val="00AA3F34"/>
    <w:rsid w:val="00AA5FB9"/>
    <w:rsid w:val="00AA711A"/>
    <w:rsid w:val="00AB358D"/>
    <w:rsid w:val="00AB5EBD"/>
    <w:rsid w:val="00AC1FCF"/>
    <w:rsid w:val="00AD0FD0"/>
    <w:rsid w:val="00AD1DEA"/>
    <w:rsid w:val="00AD494C"/>
    <w:rsid w:val="00AE0702"/>
    <w:rsid w:val="00AE30F1"/>
    <w:rsid w:val="00AE355C"/>
    <w:rsid w:val="00AE42CD"/>
    <w:rsid w:val="00AE4789"/>
    <w:rsid w:val="00AE56BF"/>
    <w:rsid w:val="00AF0661"/>
    <w:rsid w:val="00B00B2B"/>
    <w:rsid w:val="00B01031"/>
    <w:rsid w:val="00B15A41"/>
    <w:rsid w:val="00B172B6"/>
    <w:rsid w:val="00B177AF"/>
    <w:rsid w:val="00B23F7D"/>
    <w:rsid w:val="00B24814"/>
    <w:rsid w:val="00B26589"/>
    <w:rsid w:val="00B318FB"/>
    <w:rsid w:val="00B343B5"/>
    <w:rsid w:val="00B3695A"/>
    <w:rsid w:val="00B43B86"/>
    <w:rsid w:val="00B43FE7"/>
    <w:rsid w:val="00B53B53"/>
    <w:rsid w:val="00B57267"/>
    <w:rsid w:val="00B603D4"/>
    <w:rsid w:val="00B724E3"/>
    <w:rsid w:val="00B7481A"/>
    <w:rsid w:val="00B904DE"/>
    <w:rsid w:val="00B904DF"/>
    <w:rsid w:val="00B90F0A"/>
    <w:rsid w:val="00B91E2B"/>
    <w:rsid w:val="00B94CFB"/>
    <w:rsid w:val="00B95C28"/>
    <w:rsid w:val="00BA19C8"/>
    <w:rsid w:val="00BA2CE3"/>
    <w:rsid w:val="00BA43FF"/>
    <w:rsid w:val="00BA45F3"/>
    <w:rsid w:val="00BA5A9A"/>
    <w:rsid w:val="00BB0F0F"/>
    <w:rsid w:val="00BB344F"/>
    <w:rsid w:val="00BB6626"/>
    <w:rsid w:val="00BC2A59"/>
    <w:rsid w:val="00BC6BB8"/>
    <w:rsid w:val="00BD4EE7"/>
    <w:rsid w:val="00BE0C03"/>
    <w:rsid w:val="00BE20DD"/>
    <w:rsid w:val="00BE35F7"/>
    <w:rsid w:val="00BE3CD3"/>
    <w:rsid w:val="00BE40C2"/>
    <w:rsid w:val="00BE5B04"/>
    <w:rsid w:val="00BF5EE6"/>
    <w:rsid w:val="00C003EB"/>
    <w:rsid w:val="00C00E9F"/>
    <w:rsid w:val="00C02099"/>
    <w:rsid w:val="00C034EF"/>
    <w:rsid w:val="00C03E3A"/>
    <w:rsid w:val="00C12A04"/>
    <w:rsid w:val="00C13945"/>
    <w:rsid w:val="00C17FB9"/>
    <w:rsid w:val="00C2028D"/>
    <w:rsid w:val="00C224B8"/>
    <w:rsid w:val="00C347AC"/>
    <w:rsid w:val="00C352E5"/>
    <w:rsid w:val="00C360CD"/>
    <w:rsid w:val="00C36210"/>
    <w:rsid w:val="00C41941"/>
    <w:rsid w:val="00C4434C"/>
    <w:rsid w:val="00C4654A"/>
    <w:rsid w:val="00C47B70"/>
    <w:rsid w:val="00C52145"/>
    <w:rsid w:val="00C544F0"/>
    <w:rsid w:val="00C555DA"/>
    <w:rsid w:val="00C62D4A"/>
    <w:rsid w:val="00C65641"/>
    <w:rsid w:val="00C70769"/>
    <w:rsid w:val="00C72066"/>
    <w:rsid w:val="00C75845"/>
    <w:rsid w:val="00C90123"/>
    <w:rsid w:val="00C906F0"/>
    <w:rsid w:val="00C94A1A"/>
    <w:rsid w:val="00CB0B9E"/>
    <w:rsid w:val="00CB5FB8"/>
    <w:rsid w:val="00CD38D9"/>
    <w:rsid w:val="00CD3C00"/>
    <w:rsid w:val="00CD6826"/>
    <w:rsid w:val="00CD6D06"/>
    <w:rsid w:val="00CE0AB0"/>
    <w:rsid w:val="00CE22D8"/>
    <w:rsid w:val="00CE4DA7"/>
    <w:rsid w:val="00CE67EF"/>
    <w:rsid w:val="00CF3783"/>
    <w:rsid w:val="00CF45A5"/>
    <w:rsid w:val="00CF55D8"/>
    <w:rsid w:val="00CF6C71"/>
    <w:rsid w:val="00D02FF9"/>
    <w:rsid w:val="00D04041"/>
    <w:rsid w:val="00D052F0"/>
    <w:rsid w:val="00D05614"/>
    <w:rsid w:val="00D05B90"/>
    <w:rsid w:val="00D1131C"/>
    <w:rsid w:val="00D12E49"/>
    <w:rsid w:val="00D145B1"/>
    <w:rsid w:val="00D147A1"/>
    <w:rsid w:val="00D15A7D"/>
    <w:rsid w:val="00D17510"/>
    <w:rsid w:val="00D208D8"/>
    <w:rsid w:val="00D21887"/>
    <w:rsid w:val="00D23EDD"/>
    <w:rsid w:val="00D24B88"/>
    <w:rsid w:val="00D320FC"/>
    <w:rsid w:val="00D34AF4"/>
    <w:rsid w:val="00D34EC5"/>
    <w:rsid w:val="00D41066"/>
    <w:rsid w:val="00D43862"/>
    <w:rsid w:val="00D450A0"/>
    <w:rsid w:val="00D52258"/>
    <w:rsid w:val="00D53250"/>
    <w:rsid w:val="00D60A06"/>
    <w:rsid w:val="00D62F66"/>
    <w:rsid w:val="00D63783"/>
    <w:rsid w:val="00D72112"/>
    <w:rsid w:val="00D758E1"/>
    <w:rsid w:val="00D85B93"/>
    <w:rsid w:val="00D87036"/>
    <w:rsid w:val="00D91302"/>
    <w:rsid w:val="00D939EA"/>
    <w:rsid w:val="00D9416F"/>
    <w:rsid w:val="00DB2820"/>
    <w:rsid w:val="00DB5EAC"/>
    <w:rsid w:val="00DC6C8A"/>
    <w:rsid w:val="00DD1AD0"/>
    <w:rsid w:val="00DD1EE1"/>
    <w:rsid w:val="00DD276D"/>
    <w:rsid w:val="00DD309D"/>
    <w:rsid w:val="00DD542F"/>
    <w:rsid w:val="00DD6680"/>
    <w:rsid w:val="00DE380C"/>
    <w:rsid w:val="00DE6673"/>
    <w:rsid w:val="00DE73C5"/>
    <w:rsid w:val="00DF00EB"/>
    <w:rsid w:val="00DF2512"/>
    <w:rsid w:val="00DF2951"/>
    <w:rsid w:val="00DF5A0B"/>
    <w:rsid w:val="00DF6CE4"/>
    <w:rsid w:val="00DF7928"/>
    <w:rsid w:val="00E057B2"/>
    <w:rsid w:val="00E05C85"/>
    <w:rsid w:val="00E06357"/>
    <w:rsid w:val="00E07126"/>
    <w:rsid w:val="00E1137E"/>
    <w:rsid w:val="00E12D43"/>
    <w:rsid w:val="00E246C5"/>
    <w:rsid w:val="00E26D14"/>
    <w:rsid w:val="00E273FE"/>
    <w:rsid w:val="00E30C3A"/>
    <w:rsid w:val="00E32A5A"/>
    <w:rsid w:val="00E35229"/>
    <w:rsid w:val="00E363EC"/>
    <w:rsid w:val="00E36880"/>
    <w:rsid w:val="00E40801"/>
    <w:rsid w:val="00E41AD3"/>
    <w:rsid w:val="00E41C49"/>
    <w:rsid w:val="00E4408B"/>
    <w:rsid w:val="00E46E99"/>
    <w:rsid w:val="00E53B63"/>
    <w:rsid w:val="00E53D9B"/>
    <w:rsid w:val="00E545BA"/>
    <w:rsid w:val="00E572C9"/>
    <w:rsid w:val="00E607C9"/>
    <w:rsid w:val="00E6126A"/>
    <w:rsid w:val="00E6229C"/>
    <w:rsid w:val="00E6264D"/>
    <w:rsid w:val="00E62DD4"/>
    <w:rsid w:val="00E63AB4"/>
    <w:rsid w:val="00E6551D"/>
    <w:rsid w:val="00E65892"/>
    <w:rsid w:val="00E70651"/>
    <w:rsid w:val="00E7169E"/>
    <w:rsid w:val="00E71F69"/>
    <w:rsid w:val="00E72136"/>
    <w:rsid w:val="00E724FB"/>
    <w:rsid w:val="00E72F4D"/>
    <w:rsid w:val="00E74063"/>
    <w:rsid w:val="00E74ADB"/>
    <w:rsid w:val="00E752A5"/>
    <w:rsid w:val="00E76D00"/>
    <w:rsid w:val="00E82660"/>
    <w:rsid w:val="00E91E9F"/>
    <w:rsid w:val="00E954E2"/>
    <w:rsid w:val="00E968C8"/>
    <w:rsid w:val="00E97E27"/>
    <w:rsid w:val="00EA232A"/>
    <w:rsid w:val="00EB169D"/>
    <w:rsid w:val="00EB25B4"/>
    <w:rsid w:val="00EB31B8"/>
    <w:rsid w:val="00EB763D"/>
    <w:rsid w:val="00EC1319"/>
    <w:rsid w:val="00EC173E"/>
    <w:rsid w:val="00EC31A4"/>
    <w:rsid w:val="00EC347B"/>
    <w:rsid w:val="00EC5A31"/>
    <w:rsid w:val="00EC7FA8"/>
    <w:rsid w:val="00ED55CD"/>
    <w:rsid w:val="00ED5C1C"/>
    <w:rsid w:val="00ED6672"/>
    <w:rsid w:val="00EE0AA2"/>
    <w:rsid w:val="00EE1D17"/>
    <w:rsid w:val="00EE53DD"/>
    <w:rsid w:val="00EE6DA0"/>
    <w:rsid w:val="00EF0530"/>
    <w:rsid w:val="00EF7063"/>
    <w:rsid w:val="00F05B40"/>
    <w:rsid w:val="00F0772D"/>
    <w:rsid w:val="00F118AE"/>
    <w:rsid w:val="00F13D98"/>
    <w:rsid w:val="00F14ED4"/>
    <w:rsid w:val="00F17779"/>
    <w:rsid w:val="00F17B0A"/>
    <w:rsid w:val="00F2488C"/>
    <w:rsid w:val="00F27617"/>
    <w:rsid w:val="00F302CE"/>
    <w:rsid w:val="00F4728D"/>
    <w:rsid w:val="00F47A8D"/>
    <w:rsid w:val="00F601EE"/>
    <w:rsid w:val="00F63177"/>
    <w:rsid w:val="00F63A10"/>
    <w:rsid w:val="00F6510A"/>
    <w:rsid w:val="00F67774"/>
    <w:rsid w:val="00F70B82"/>
    <w:rsid w:val="00F727EA"/>
    <w:rsid w:val="00F75076"/>
    <w:rsid w:val="00F819FD"/>
    <w:rsid w:val="00F91FF4"/>
    <w:rsid w:val="00F925A0"/>
    <w:rsid w:val="00F9274E"/>
    <w:rsid w:val="00F93B24"/>
    <w:rsid w:val="00F948BA"/>
    <w:rsid w:val="00FA194A"/>
    <w:rsid w:val="00FA7406"/>
    <w:rsid w:val="00FB00E3"/>
    <w:rsid w:val="00FB47A8"/>
    <w:rsid w:val="00FB7362"/>
    <w:rsid w:val="00FC1400"/>
    <w:rsid w:val="00FC28C0"/>
    <w:rsid w:val="00FC2E58"/>
    <w:rsid w:val="00FC2F35"/>
    <w:rsid w:val="00FC333C"/>
    <w:rsid w:val="00FC34C7"/>
    <w:rsid w:val="00FC60DE"/>
    <w:rsid w:val="00FD7EE9"/>
    <w:rsid w:val="00FE46C6"/>
    <w:rsid w:val="00FE480D"/>
    <w:rsid w:val="00FF43CD"/>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0D63E9D"/>
  <w15:docId w15:val="{4332A315-486B-4E34-A4AF-A9F5257B1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209B"/>
    <w:pPr>
      <w:spacing w:after="200" w:line="276" w:lineRule="auto"/>
    </w:pPr>
  </w:style>
  <w:style w:type="paragraph" w:styleId="Heading1">
    <w:name w:val="heading 1"/>
    <w:basedOn w:val="Normal"/>
    <w:link w:val="Heading1Char"/>
    <w:uiPriority w:val="9"/>
    <w:qFormat/>
    <w:rsid w:val="00AD1DE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AD1DE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19739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1111"/>
    <w:pPr>
      <w:ind w:left="720"/>
      <w:contextualSpacing/>
    </w:pPr>
  </w:style>
  <w:style w:type="table" w:customStyle="1" w:styleId="GridTable5Dark-Accent31">
    <w:name w:val="Grid Table 5 Dark - Accent 31"/>
    <w:basedOn w:val="TableNormal"/>
    <w:uiPriority w:val="50"/>
    <w:rsid w:val="00805966"/>
    <w:pPr>
      <w:spacing w:after="0" w:line="240" w:lineRule="auto"/>
    </w:pPr>
    <w:rPr>
      <w:rFonts w:eastAsiaTheme="minorEastAsia"/>
      <w:lang w:eastAsia="ja-JP"/>
    </w:r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paragraph" w:styleId="Header">
    <w:name w:val="header"/>
    <w:basedOn w:val="Normal"/>
    <w:link w:val="HeaderChar"/>
    <w:uiPriority w:val="99"/>
    <w:unhideWhenUsed/>
    <w:rsid w:val="008059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5966"/>
  </w:style>
  <w:style w:type="paragraph" w:styleId="Footer">
    <w:name w:val="footer"/>
    <w:basedOn w:val="Normal"/>
    <w:link w:val="FooterChar"/>
    <w:uiPriority w:val="99"/>
    <w:unhideWhenUsed/>
    <w:rsid w:val="008059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5966"/>
  </w:style>
  <w:style w:type="paragraph" w:styleId="BalloonText">
    <w:name w:val="Balloon Text"/>
    <w:basedOn w:val="Normal"/>
    <w:link w:val="BalloonTextChar"/>
    <w:uiPriority w:val="99"/>
    <w:semiHidden/>
    <w:unhideWhenUsed/>
    <w:rsid w:val="00F177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7779"/>
    <w:rPr>
      <w:rFonts w:ascii="Segoe UI" w:hAnsi="Segoe UI" w:cs="Segoe UI"/>
      <w:sz w:val="18"/>
      <w:szCs w:val="18"/>
    </w:rPr>
  </w:style>
  <w:style w:type="character" w:styleId="CommentReference">
    <w:name w:val="annotation reference"/>
    <w:basedOn w:val="DefaultParagraphFont"/>
    <w:uiPriority w:val="99"/>
    <w:semiHidden/>
    <w:unhideWhenUsed/>
    <w:rsid w:val="007D4F8C"/>
    <w:rPr>
      <w:sz w:val="16"/>
      <w:szCs w:val="16"/>
    </w:rPr>
  </w:style>
  <w:style w:type="paragraph" w:styleId="CommentText">
    <w:name w:val="annotation text"/>
    <w:basedOn w:val="Normal"/>
    <w:link w:val="CommentTextChar"/>
    <w:uiPriority w:val="99"/>
    <w:unhideWhenUsed/>
    <w:rsid w:val="007D4F8C"/>
    <w:pPr>
      <w:spacing w:line="240" w:lineRule="auto"/>
    </w:pPr>
    <w:rPr>
      <w:sz w:val="20"/>
      <w:szCs w:val="20"/>
    </w:rPr>
  </w:style>
  <w:style w:type="character" w:customStyle="1" w:styleId="CommentTextChar">
    <w:name w:val="Comment Text Char"/>
    <w:basedOn w:val="DefaultParagraphFont"/>
    <w:link w:val="CommentText"/>
    <w:uiPriority w:val="99"/>
    <w:rsid w:val="007D4F8C"/>
    <w:rPr>
      <w:sz w:val="20"/>
      <w:szCs w:val="20"/>
    </w:rPr>
  </w:style>
  <w:style w:type="character" w:customStyle="1" w:styleId="highwire-cite-metadata-journal">
    <w:name w:val="highwire-cite-metadata-journal"/>
    <w:basedOn w:val="DefaultParagraphFont"/>
    <w:rsid w:val="006A6384"/>
  </w:style>
  <w:style w:type="character" w:customStyle="1" w:styleId="apple-converted-space">
    <w:name w:val="apple-converted-space"/>
    <w:basedOn w:val="DefaultParagraphFont"/>
    <w:rsid w:val="006A6384"/>
  </w:style>
  <w:style w:type="character" w:customStyle="1" w:styleId="highwire-cite-metadata-date">
    <w:name w:val="highwire-cite-metadata-date"/>
    <w:basedOn w:val="DefaultParagraphFont"/>
    <w:rsid w:val="006A6384"/>
  </w:style>
  <w:style w:type="character" w:customStyle="1" w:styleId="highwire-cite-metadata-volume">
    <w:name w:val="highwire-cite-metadata-volume"/>
    <w:basedOn w:val="DefaultParagraphFont"/>
    <w:rsid w:val="006A6384"/>
  </w:style>
  <w:style w:type="character" w:customStyle="1" w:styleId="highwire-cite-metadata-issue">
    <w:name w:val="highwire-cite-metadata-issue"/>
    <w:basedOn w:val="DefaultParagraphFont"/>
    <w:rsid w:val="006A6384"/>
  </w:style>
  <w:style w:type="character" w:customStyle="1" w:styleId="highwire-cite-metadata-elocation-id-pages">
    <w:name w:val="highwire-cite-metadata-elocation-id-pages"/>
    <w:basedOn w:val="DefaultParagraphFont"/>
    <w:rsid w:val="006A6384"/>
  </w:style>
  <w:style w:type="character" w:customStyle="1" w:styleId="highwire-cite-metadata-doi">
    <w:name w:val="highwire-cite-metadata-doi"/>
    <w:basedOn w:val="DefaultParagraphFont"/>
    <w:rsid w:val="006A6384"/>
  </w:style>
  <w:style w:type="character" w:customStyle="1" w:styleId="label">
    <w:name w:val="label"/>
    <w:basedOn w:val="DefaultParagraphFont"/>
    <w:rsid w:val="006A6384"/>
  </w:style>
  <w:style w:type="paragraph" w:styleId="CommentSubject">
    <w:name w:val="annotation subject"/>
    <w:basedOn w:val="CommentText"/>
    <w:next w:val="CommentText"/>
    <w:link w:val="CommentSubjectChar"/>
    <w:uiPriority w:val="99"/>
    <w:semiHidden/>
    <w:unhideWhenUsed/>
    <w:rsid w:val="001D75A1"/>
    <w:rPr>
      <w:b/>
      <w:bCs/>
    </w:rPr>
  </w:style>
  <w:style w:type="character" w:customStyle="1" w:styleId="CommentSubjectChar">
    <w:name w:val="Comment Subject Char"/>
    <w:basedOn w:val="CommentTextChar"/>
    <w:link w:val="CommentSubject"/>
    <w:uiPriority w:val="99"/>
    <w:semiHidden/>
    <w:rsid w:val="001D75A1"/>
    <w:rPr>
      <w:b/>
      <w:bCs/>
      <w:sz w:val="20"/>
      <w:szCs w:val="20"/>
    </w:rPr>
  </w:style>
  <w:style w:type="paragraph" w:styleId="NormalWeb">
    <w:name w:val="Normal (Web)"/>
    <w:basedOn w:val="Normal"/>
    <w:uiPriority w:val="99"/>
    <w:semiHidden/>
    <w:unhideWhenUsed/>
    <w:rsid w:val="00D939EA"/>
    <w:rPr>
      <w:rFonts w:ascii="Times New Roman" w:hAnsi="Times New Roman" w:cs="Times New Roman"/>
      <w:sz w:val="24"/>
      <w:szCs w:val="24"/>
    </w:rPr>
  </w:style>
  <w:style w:type="character" w:customStyle="1" w:styleId="Heading1Char">
    <w:name w:val="Heading 1 Char"/>
    <w:basedOn w:val="DefaultParagraphFont"/>
    <w:link w:val="Heading1"/>
    <w:uiPriority w:val="9"/>
    <w:rsid w:val="00AD1DEA"/>
    <w:rPr>
      <w:rFonts w:ascii="Times New Roman" w:eastAsia="Times New Roman" w:hAnsi="Times New Roman" w:cs="Times New Roman"/>
      <w:b/>
      <w:bCs/>
      <w:kern w:val="36"/>
      <w:sz w:val="48"/>
      <w:szCs w:val="48"/>
    </w:rPr>
  </w:style>
  <w:style w:type="character" w:customStyle="1" w:styleId="sr-only">
    <w:name w:val="sr-only"/>
    <w:basedOn w:val="DefaultParagraphFont"/>
    <w:rsid w:val="00AD1DEA"/>
  </w:style>
  <w:style w:type="character" w:customStyle="1" w:styleId="text">
    <w:name w:val="text"/>
    <w:basedOn w:val="DefaultParagraphFont"/>
    <w:rsid w:val="00AD1DEA"/>
  </w:style>
  <w:style w:type="character" w:customStyle="1" w:styleId="author-ref">
    <w:name w:val="author-ref"/>
    <w:basedOn w:val="DefaultParagraphFont"/>
    <w:rsid w:val="00AD1DEA"/>
  </w:style>
  <w:style w:type="character" w:customStyle="1" w:styleId="Heading2Char">
    <w:name w:val="Heading 2 Char"/>
    <w:basedOn w:val="DefaultParagraphFont"/>
    <w:link w:val="Heading2"/>
    <w:uiPriority w:val="9"/>
    <w:semiHidden/>
    <w:rsid w:val="00AD1DEA"/>
    <w:rPr>
      <w:rFonts w:asciiTheme="majorHAnsi" w:eastAsiaTheme="majorEastAsia" w:hAnsiTheme="majorHAnsi" w:cstheme="majorBidi"/>
      <w:color w:val="2E74B5" w:themeColor="accent1" w:themeShade="BF"/>
      <w:sz w:val="26"/>
      <w:szCs w:val="26"/>
    </w:rPr>
  </w:style>
  <w:style w:type="character" w:customStyle="1" w:styleId="size-xl">
    <w:name w:val="size-xl"/>
    <w:basedOn w:val="DefaultParagraphFont"/>
    <w:rsid w:val="00AD1DEA"/>
  </w:style>
  <w:style w:type="character" w:styleId="Hyperlink">
    <w:name w:val="Hyperlink"/>
    <w:basedOn w:val="DefaultParagraphFont"/>
    <w:uiPriority w:val="99"/>
    <w:semiHidden/>
    <w:unhideWhenUsed/>
    <w:rsid w:val="00AD1DEA"/>
    <w:rPr>
      <w:color w:val="0000FF"/>
      <w:u w:val="single"/>
    </w:rPr>
  </w:style>
  <w:style w:type="character" w:customStyle="1" w:styleId="size-m">
    <w:name w:val="size-m"/>
    <w:basedOn w:val="DefaultParagraphFont"/>
    <w:rsid w:val="00AD1DEA"/>
  </w:style>
  <w:style w:type="paragraph" w:styleId="Revision">
    <w:name w:val="Revision"/>
    <w:hidden/>
    <w:uiPriority w:val="99"/>
    <w:semiHidden/>
    <w:rsid w:val="00AE42CD"/>
    <w:pPr>
      <w:spacing w:after="0" w:line="240" w:lineRule="auto"/>
    </w:pPr>
  </w:style>
  <w:style w:type="paragraph" w:styleId="PlainText">
    <w:name w:val="Plain Text"/>
    <w:basedOn w:val="Normal"/>
    <w:link w:val="PlainTextChar"/>
    <w:uiPriority w:val="99"/>
    <w:unhideWhenUsed/>
    <w:rsid w:val="00D87036"/>
    <w:pPr>
      <w:spacing w:after="0" w:line="240" w:lineRule="auto"/>
    </w:pPr>
    <w:rPr>
      <w:rFonts w:ascii="Calibri" w:eastAsia="Times New Roman" w:hAnsi="Calibri" w:cs="Times New Roman"/>
      <w:lang w:bidi="he-IL"/>
    </w:rPr>
  </w:style>
  <w:style w:type="character" w:customStyle="1" w:styleId="PlainTextChar">
    <w:name w:val="Plain Text Char"/>
    <w:basedOn w:val="DefaultParagraphFont"/>
    <w:link w:val="PlainText"/>
    <w:uiPriority w:val="99"/>
    <w:rsid w:val="00D87036"/>
    <w:rPr>
      <w:rFonts w:ascii="Calibri" w:eastAsia="Times New Roman" w:hAnsi="Calibri" w:cs="Times New Roman"/>
      <w:lang w:bidi="he-IL"/>
    </w:rPr>
  </w:style>
  <w:style w:type="character" w:styleId="Emphasis">
    <w:name w:val="Emphasis"/>
    <w:basedOn w:val="DefaultParagraphFont"/>
    <w:uiPriority w:val="20"/>
    <w:qFormat/>
    <w:rsid w:val="00197397"/>
    <w:rPr>
      <w:i/>
      <w:iCs/>
    </w:rPr>
  </w:style>
  <w:style w:type="character" w:customStyle="1" w:styleId="Heading3Char">
    <w:name w:val="Heading 3 Char"/>
    <w:basedOn w:val="DefaultParagraphFont"/>
    <w:link w:val="Heading3"/>
    <w:uiPriority w:val="9"/>
    <w:semiHidden/>
    <w:rsid w:val="00197397"/>
    <w:rPr>
      <w:rFonts w:asciiTheme="majorHAnsi" w:eastAsiaTheme="majorEastAsia" w:hAnsiTheme="majorHAnsi" w:cstheme="majorBidi"/>
      <w:color w:val="1F4D78" w:themeColor="accent1" w:themeShade="7F"/>
      <w:sz w:val="24"/>
      <w:szCs w:val="24"/>
    </w:rPr>
  </w:style>
  <w:style w:type="character" w:customStyle="1" w:styleId="m8576489863013678839msofootnotereference">
    <w:name w:val="m_8576489863013678839msofootnotereference"/>
    <w:basedOn w:val="DefaultParagraphFont"/>
    <w:rsid w:val="00800D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401518">
      <w:bodyDiv w:val="1"/>
      <w:marLeft w:val="0"/>
      <w:marRight w:val="0"/>
      <w:marTop w:val="0"/>
      <w:marBottom w:val="0"/>
      <w:divBdr>
        <w:top w:val="none" w:sz="0" w:space="0" w:color="auto"/>
        <w:left w:val="none" w:sz="0" w:space="0" w:color="auto"/>
        <w:bottom w:val="none" w:sz="0" w:space="0" w:color="auto"/>
        <w:right w:val="none" w:sz="0" w:space="0" w:color="auto"/>
      </w:divBdr>
    </w:div>
    <w:div w:id="664091394">
      <w:bodyDiv w:val="1"/>
      <w:marLeft w:val="0"/>
      <w:marRight w:val="0"/>
      <w:marTop w:val="0"/>
      <w:marBottom w:val="0"/>
      <w:divBdr>
        <w:top w:val="none" w:sz="0" w:space="0" w:color="auto"/>
        <w:left w:val="none" w:sz="0" w:space="0" w:color="auto"/>
        <w:bottom w:val="none" w:sz="0" w:space="0" w:color="auto"/>
        <w:right w:val="none" w:sz="0" w:space="0" w:color="auto"/>
      </w:divBdr>
    </w:div>
    <w:div w:id="676348829">
      <w:bodyDiv w:val="1"/>
      <w:marLeft w:val="0"/>
      <w:marRight w:val="0"/>
      <w:marTop w:val="0"/>
      <w:marBottom w:val="0"/>
      <w:divBdr>
        <w:top w:val="none" w:sz="0" w:space="0" w:color="auto"/>
        <w:left w:val="none" w:sz="0" w:space="0" w:color="auto"/>
        <w:bottom w:val="none" w:sz="0" w:space="0" w:color="auto"/>
        <w:right w:val="none" w:sz="0" w:space="0" w:color="auto"/>
      </w:divBdr>
    </w:div>
    <w:div w:id="865796507">
      <w:bodyDiv w:val="1"/>
      <w:marLeft w:val="0"/>
      <w:marRight w:val="0"/>
      <w:marTop w:val="0"/>
      <w:marBottom w:val="0"/>
      <w:divBdr>
        <w:top w:val="none" w:sz="0" w:space="0" w:color="auto"/>
        <w:left w:val="none" w:sz="0" w:space="0" w:color="auto"/>
        <w:bottom w:val="none" w:sz="0" w:space="0" w:color="auto"/>
        <w:right w:val="none" w:sz="0" w:space="0" w:color="auto"/>
      </w:divBdr>
      <w:divsChild>
        <w:div w:id="161355126">
          <w:marLeft w:val="0"/>
          <w:marRight w:val="0"/>
          <w:marTop w:val="0"/>
          <w:marBottom w:val="0"/>
          <w:divBdr>
            <w:top w:val="none" w:sz="0" w:space="0" w:color="auto"/>
            <w:left w:val="none" w:sz="0" w:space="0" w:color="auto"/>
            <w:bottom w:val="none" w:sz="0" w:space="0" w:color="auto"/>
            <w:right w:val="none" w:sz="0" w:space="0" w:color="auto"/>
          </w:divBdr>
        </w:div>
        <w:div w:id="404500318">
          <w:marLeft w:val="0"/>
          <w:marRight w:val="0"/>
          <w:marTop w:val="0"/>
          <w:marBottom w:val="120"/>
          <w:divBdr>
            <w:top w:val="none" w:sz="0" w:space="0" w:color="auto"/>
            <w:left w:val="none" w:sz="0" w:space="0" w:color="auto"/>
            <w:bottom w:val="none" w:sz="0" w:space="0" w:color="auto"/>
            <w:right w:val="none" w:sz="0" w:space="0" w:color="auto"/>
          </w:divBdr>
          <w:divsChild>
            <w:div w:id="2048407089">
              <w:marLeft w:val="0"/>
              <w:marRight w:val="0"/>
              <w:marTop w:val="0"/>
              <w:marBottom w:val="0"/>
              <w:divBdr>
                <w:top w:val="none" w:sz="0" w:space="0" w:color="auto"/>
                <w:left w:val="none" w:sz="0" w:space="0" w:color="auto"/>
                <w:bottom w:val="none" w:sz="0" w:space="0" w:color="auto"/>
                <w:right w:val="none" w:sz="0" w:space="0" w:color="auto"/>
              </w:divBdr>
              <w:divsChild>
                <w:div w:id="556084861">
                  <w:marLeft w:val="0"/>
                  <w:marRight w:val="0"/>
                  <w:marTop w:val="0"/>
                  <w:marBottom w:val="0"/>
                  <w:divBdr>
                    <w:top w:val="none" w:sz="0" w:space="0" w:color="auto"/>
                    <w:left w:val="none" w:sz="0" w:space="0" w:color="auto"/>
                    <w:bottom w:val="none" w:sz="0" w:space="0" w:color="auto"/>
                    <w:right w:val="none" w:sz="0" w:space="0" w:color="auto"/>
                  </w:divBdr>
                  <w:divsChild>
                    <w:div w:id="1468819768">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sChild>
        </w:div>
      </w:divsChild>
    </w:div>
    <w:div w:id="871382787">
      <w:bodyDiv w:val="1"/>
      <w:marLeft w:val="0"/>
      <w:marRight w:val="0"/>
      <w:marTop w:val="0"/>
      <w:marBottom w:val="0"/>
      <w:divBdr>
        <w:top w:val="none" w:sz="0" w:space="0" w:color="auto"/>
        <w:left w:val="none" w:sz="0" w:space="0" w:color="auto"/>
        <w:bottom w:val="none" w:sz="0" w:space="0" w:color="auto"/>
        <w:right w:val="none" w:sz="0" w:space="0" w:color="auto"/>
      </w:divBdr>
    </w:div>
    <w:div w:id="1067461681">
      <w:bodyDiv w:val="1"/>
      <w:marLeft w:val="0"/>
      <w:marRight w:val="0"/>
      <w:marTop w:val="0"/>
      <w:marBottom w:val="0"/>
      <w:divBdr>
        <w:top w:val="none" w:sz="0" w:space="0" w:color="auto"/>
        <w:left w:val="none" w:sz="0" w:space="0" w:color="auto"/>
        <w:bottom w:val="none" w:sz="0" w:space="0" w:color="auto"/>
        <w:right w:val="none" w:sz="0" w:space="0" w:color="auto"/>
      </w:divBdr>
      <w:divsChild>
        <w:div w:id="1490944008">
          <w:marLeft w:val="0"/>
          <w:marRight w:val="0"/>
          <w:marTop w:val="0"/>
          <w:marBottom w:val="0"/>
          <w:divBdr>
            <w:top w:val="none" w:sz="0" w:space="0" w:color="auto"/>
            <w:left w:val="none" w:sz="0" w:space="0" w:color="auto"/>
            <w:bottom w:val="none" w:sz="0" w:space="0" w:color="auto"/>
            <w:right w:val="none" w:sz="0" w:space="0" w:color="auto"/>
          </w:divBdr>
          <w:divsChild>
            <w:div w:id="1315336526">
              <w:marLeft w:val="0"/>
              <w:marRight w:val="0"/>
              <w:marTop w:val="0"/>
              <w:marBottom w:val="0"/>
              <w:divBdr>
                <w:top w:val="none" w:sz="0" w:space="0" w:color="auto"/>
                <w:left w:val="none" w:sz="0" w:space="0" w:color="auto"/>
                <w:bottom w:val="none" w:sz="0" w:space="0" w:color="auto"/>
                <w:right w:val="none" w:sz="0" w:space="0" w:color="auto"/>
              </w:divBdr>
              <w:divsChild>
                <w:div w:id="1789856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586688">
      <w:bodyDiv w:val="1"/>
      <w:marLeft w:val="0"/>
      <w:marRight w:val="0"/>
      <w:marTop w:val="0"/>
      <w:marBottom w:val="0"/>
      <w:divBdr>
        <w:top w:val="none" w:sz="0" w:space="0" w:color="auto"/>
        <w:left w:val="none" w:sz="0" w:space="0" w:color="auto"/>
        <w:bottom w:val="none" w:sz="0" w:space="0" w:color="auto"/>
        <w:right w:val="none" w:sz="0" w:space="0" w:color="auto"/>
      </w:divBdr>
    </w:div>
    <w:div w:id="1267737694">
      <w:bodyDiv w:val="1"/>
      <w:marLeft w:val="0"/>
      <w:marRight w:val="0"/>
      <w:marTop w:val="0"/>
      <w:marBottom w:val="0"/>
      <w:divBdr>
        <w:top w:val="none" w:sz="0" w:space="0" w:color="auto"/>
        <w:left w:val="none" w:sz="0" w:space="0" w:color="auto"/>
        <w:bottom w:val="none" w:sz="0" w:space="0" w:color="auto"/>
        <w:right w:val="none" w:sz="0" w:space="0" w:color="auto"/>
      </w:divBdr>
    </w:div>
    <w:div w:id="1338733816">
      <w:bodyDiv w:val="1"/>
      <w:marLeft w:val="0"/>
      <w:marRight w:val="0"/>
      <w:marTop w:val="0"/>
      <w:marBottom w:val="0"/>
      <w:divBdr>
        <w:top w:val="none" w:sz="0" w:space="0" w:color="auto"/>
        <w:left w:val="none" w:sz="0" w:space="0" w:color="auto"/>
        <w:bottom w:val="none" w:sz="0" w:space="0" w:color="auto"/>
        <w:right w:val="none" w:sz="0" w:space="0" w:color="auto"/>
      </w:divBdr>
      <w:divsChild>
        <w:div w:id="2143573864">
          <w:marLeft w:val="0"/>
          <w:marRight w:val="0"/>
          <w:marTop w:val="0"/>
          <w:marBottom w:val="0"/>
          <w:divBdr>
            <w:top w:val="none" w:sz="0" w:space="0" w:color="auto"/>
            <w:left w:val="none" w:sz="0" w:space="0" w:color="auto"/>
            <w:bottom w:val="none" w:sz="0" w:space="0" w:color="auto"/>
            <w:right w:val="none" w:sz="0" w:space="0" w:color="auto"/>
          </w:divBdr>
          <w:divsChild>
            <w:div w:id="591476887">
              <w:marLeft w:val="0"/>
              <w:marRight w:val="0"/>
              <w:marTop w:val="0"/>
              <w:marBottom w:val="0"/>
              <w:divBdr>
                <w:top w:val="none" w:sz="0" w:space="0" w:color="auto"/>
                <w:left w:val="none" w:sz="0" w:space="0" w:color="auto"/>
                <w:bottom w:val="none" w:sz="0" w:space="0" w:color="auto"/>
                <w:right w:val="none" w:sz="0" w:space="0" w:color="auto"/>
              </w:divBdr>
              <w:divsChild>
                <w:div w:id="33294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4159592">
      <w:bodyDiv w:val="1"/>
      <w:marLeft w:val="0"/>
      <w:marRight w:val="0"/>
      <w:marTop w:val="0"/>
      <w:marBottom w:val="0"/>
      <w:divBdr>
        <w:top w:val="none" w:sz="0" w:space="0" w:color="auto"/>
        <w:left w:val="none" w:sz="0" w:space="0" w:color="auto"/>
        <w:bottom w:val="none" w:sz="0" w:space="0" w:color="auto"/>
        <w:right w:val="none" w:sz="0" w:space="0" w:color="auto"/>
      </w:divBdr>
    </w:div>
    <w:div w:id="1691756822">
      <w:bodyDiv w:val="1"/>
      <w:marLeft w:val="0"/>
      <w:marRight w:val="0"/>
      <w:marTop w:val="0"/>
      <w:marBottom w:val="0"/>
      <w:divBdr>
        <w:top w:val="none" w:sz="0" w:space="0" w:color="auto"/>
        <w:left w:val="none" w:sz="0" w:space="0" w:color="auto"/>
        <w:bottom w:val="none" w:sz="0" w:space="0" w:color="auto"/>
        <w:right w:val="none" w:sz="0" w:space="0" w:color="auto"/>
      </w:divBdr>
    </w:div>
    <w:div w:id="1731996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package" Target="embeddings/Microsoft_Excel_Worksheet3.xlsx"/><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image" Target="media/image10.emf"/><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image" Target="media/image6.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package" Target="embeddings/Microsoft_Excel_Worksheet4.xlsx"/><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Excel_Worksheet2.xlsx"/><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emf"/><Relationship Id="rId23" Type="http://schemas.openxmlformats.org/officeDocument/2006/relationships/footer" Target="footer1.xml"/><Relationship Id="rId10" Type="http://schemas.openxmlformats.org/officeDocument/2006/relationships/image" Target="media/image2.emf"/><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package" Target="embeddings/Microsoft_Excel_Worksheet1.xlsx"/><Relationship Id="rId14" Type="http://schemas.openxmlformats.org/officeDocument/2006/relationships/image" Target="media/image4.png"/><Relationship Id="rId22" Type="http://schemas.openxmlformats.org/officeDocument/2006/relationships/package" Target="embeddings/Microsoft_Excel_Worksheet5.xls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0C974B-EC2F-4396-8359-BAF15720D8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1531</Words>
  <Characters>8733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Columbia University</Company>
  <LinksUpToDate>false</LinksUpToDate>
  <CharactersWithSpaces>10244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Sicherman, Nachum</dc:creator>
  <cp:lastModifiedBy>Nachum Sicherman</cp:lastModifiedBy>
  <cp:revision>3</cp:revision>
  <cp:lastPrinted>2019-01-20T01:54:00Z</cp:lastPrinted>
  <dcterms:created xsi:type="dcterms:W3CDTF">2020-03-12T19:39:00Z</dcterms:created>
  <dcterms:modified xsi:type="dcterms:W3CDTF">2020-03-18T15:28:00Z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endeley Document_1">
    <vt:lpwstr>True</vt:lpwstr>
  </property>
  <property fmtid="{D5CDD505-2E9C-101B-9397-08002B2CF9AE}" pid="4" name="Mendeley Unique User Id_1">
    <vt:lpwstr>d47ef7a3-38a0-3abf-8df1-94b78cc61526</vt:lpwstr>
  </property>
  <property fmtid="{D5CDD505-2E9C-101B-9397-08002B2CF9AE}" pid="5" name="Mendeley Citation Style_1">
    <vt:lpwstr>http://www.zotero.org/styles/harvard1</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16th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http://www.zotero.org/styles/harvard1</vt:lpwstr>
  </property>
  <property fmtid="{D5CDD505-2E9C-101B-9397-08002B2CF9AE}" pid="19" name="Mendeley Recent Style Name 6_1">
    <vt:lpwstr>Harvard reference format 1 (deprecated)</vt:lpwstr>
  </property>
  <property fmtid="{D5CDD505-2E9C-101B-9397-08002B2CF9AE}" pid="20" name="Mendeley Recent Style Id 7_1">
    <vt:lpwstr>http://www.zotero.org/styles/ieee</vt:lpwstr>
  </property>
  <property fmtid="{D5CDD505-2E9C-101B-9397-08002B2CF9AE}" pid="21" name="Mendeley Recent Style Name 7_1">
    <vt:lpwstr>IEEE</vt:lpwstr>
  </property>
  <property fmtid="{D5CDD505-2E9C-101B-9397-08002B2CF9AE}" pid="22" name="Mendeley Recent Style Id 8_1">
    <vt:lpwstr>http://www.zotero.org/styles/jama</vt:lpwstr>
  </property>
  <property fmtid="{D5CDD505-2E9C-101B-9397-08002B2CF9AE}" pid="23" name="Mendeley Recent Style Name 8_1">
    <vt:lpwstr>JAMA (The Journal of the American Medical Association)</vt:lpwstr>
  </property>
  <property fmtid="{D5CDD505-2E9C-101B-9397-08002B2CF9AE}" pid="24" name="Mendeley Recent Style Id 9_1">
    <vt:lpwstr>http://www.zotero.org/styles/vancouver</vt:lpwstr>
  </property>
  <property fmtid="{D5CDD505-2E9C-101B-9397-08002B2CF9AE}" pid="25" name="Mendeley Recent Style Name 9_1">
    <vt:lpwstr>Vancouver</vt:lpwstr>
  </property>
</Properties>
</file>