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204FECB0" w14:textId="77777777" w:rsidR="00951998" w:rsidRPr="00CC7673" w:rsidRDefault="00951998" w:rsidP="00951998">
      <w:pPr>
        <w:rPr>
          <w:rFonts w:cs="Times New Roman"/>
          <w:b/>
          <w:bCs/>
          <w:sz w:val="28"/>
          <w:lang w:val="en-US"/>
        </w:rPr>
      </w:pPr>
      <w:r w:rsidRPr="00CC7673">
        <w:rPr>
          <w:rFonts w:cs="Times New Roman"/>
          <w:b/>
          <w:bCs/>
          <w:sz w:val="28"/>
          <w:lang w:val="en-US"/>
        </w:rPr>
        <w:t>Supplementary Tables &amp; Figures</w:t>
      </w:r>
    </w:p>
    <w:p w14:paraId="3537ED89" w14:textId="77777777" w:rsidR="00951998" w:rsidRPr="005D0CA1" w:rsidRDefault="00951998" w:rsidP="00951998">
      <w:pPr>
        <w:jc w:val="both"/>
        <w:rPr>
          <w:rFonts w:cs="Times New Roman"/>
          <w:bCs/>
          <w:lang w:val="en-US"/>
        </w:rPr>
      </w:pPr>
      <w:r>
        <w:rPr>
          <w:rFonts w:cs="Times New Roman"/>
          <w:b/>
          <w:bCs/>
          <w:lang w:val="en-US"/>
        </w:rPr>
        <w:t>Table S1</w:t>
      </w:r>
      <w:r w:rsidRPr="008756AC">
        <w:rPr>
          <w:rFonts w:cs="Times New Roman"/>
          <w:b/>
          <w:bCs/>
          <w:lang w:val="en-US"/>
        </w:rPr>
        <w:t>.</w:t>
      </w:r>
      <w:r>
        <w:rPr>
          <w:rFonts w:cs="Times New Roman"/>
          <w:b/>
          <w:bCs/>
          <w:lang w:val="en-US"/>
        </w:rPr>
        <w:t xml:space="preserve"> </w:t>
      </w:r>
      <w:r w:rsidRPr="00A57627">
        <w:rPr>
          <w:rFonts w:cs="Times New Roman"/>
          <w:b/>
          <w:bCs/>
          <w:lang w:val="en-US"/>
        </w:rPr>
        <w:t>List of antibodies used in this study.</w:t>
      </w:r>
      <w:r>
        <w:rPr>
          <w:rFonts w:cs="Times New Roman"/>
          <w:bCs/>
          <w:lang w:val="en-US"/>
        </w:rPr>
        <w:t xml:space="preserve"> The table provides information about the target antigen, the concentration applied in experiments, the specific application the antibodies were used for and the respective suppliers.</w:t>
      </w:r>
    </w:p>
    <w:tbl>
      <w:tblPr>
        <w:tblW w:w="453.60pt" w:type="dxa"/>
        <w:tblCellMar>
          <w:start w:w="3.50pt" w:type="dxa"/>
          <w:end w:w="3.50pt" w:type="dxa"/>
        </w:tblCellMar>
        <w:tblLook w:firstRow="1" w:lastRow="0" w:firstColumn="1" w:lastColumn="0" w:noHBand="0" w:noVBand="1"/>
      </w:tblPr>
      <w:tblGrid>
        <w:gridCol w:w="1276"/>
        <w:gridCol w:w="1701"/>
        <w:gridCol w:w="1701"/>
        <w:gridCol w:w="1418"/>
        <w:gridCol w:w="2976"/>
      </w:tblGrid>
      <w:tr w:rsidR="00951998" w:rsidRPr="005243B1" w14:paraId="377427B1" w14:textId="77777777" w:rsidTr="007A6401">
        <w:trPr>
          <w:trHeight w:val="288"/>
        </w:trPr>
        <w:tc>
          <w:tcPr>
            <w:tcW w:w="63.80pt" w:type="dxa"/>
            <w:tcBorders>
              <w:top w:val="nil"/>
              <w:start w:val="nil"/>
              <w:bottom w:val="single" w:sz="4" w:space="0" w:color="auto"/>
              <w:end w:val="nil"/>
            </w:tcBorders>
            <w:shd w:val="clear" w:color="auto" w:fill="auto"/>
            <w:noWrap/>
            <w:vAlign w:val="bottom"/>
            <w:hideMark/>
          </w:tcPr>
          <w:p w14:paraId="3DA07331" w14:textId="77777777" w:rsidR="00951998" w:rsidRPr="005243B1" w:rsidRDefault="00951998" w:rsidP="007A6401">
            <w:pPr>
              <w:spacing w:after="0pt" w:line="12pt" w:lineRule="auto"/>
              <w:rPr>
                <w:rFonts w:eastAsia="Times New Roman" w:cs="Times New Roman"/>
                <w:b/>
                <w:bCs/>
                <w:color w:val="000000"/>
                <w:sz w:val="24"/>
                <w:szCs w:val="24"/>
                <w:lang w:eastAsia="de-DE"/>
              </w:rPr>
            </w:pPr>
            <w:r w:rsidRPr="005243B1">
              <w:rPr>
                <w:rFonts w:eastAsia="Times New Roman" w:cs="Times New Roman"/>
                <w:b/>
                <w:bCs/>
                <w:color w:val="000000"/>
                <w:sz w:val="24"/>
                <w:szCs w:val="24"/>
                <w:lang w:eastAsia="de-DE"/>
              </w:rPr>
              <w:t>Target</w:t>
            </w:r>
          </w:p>
        </w:tc>
        <w:tc>
          <w:tcPr>
            <w:tcW w:w="85.05pt" w:type="dxa"/>
            <w:tcBorders>
              <w:top w:val="nil"/>
              <w:start w:val="nil"/>
              <w:bottom w:val="single" w:sz="4" w:space="0" w:color="auto"/>
              <w:end w:val="nil"/>
            </w:tcBorders>
            <w:shd w:val="clear" w:color="auto" w:fill="auto"/>
            <w:noWrap/>
            <w:vAlign w:val="bottom"/>
            <w:hideMark/>
          </w:tcPr>
          <w:p w14:paraId="4F6FF125" w14:textId="77777777" w:rsidR="00951998" w:rsidRPr="005243B1" w:rsidRDefault="00951998" w:rsidP="007A6401">
            <w:pPr>
              <w:spacing w:after="0pt" w:line="12pt" w:lineRule="auto"/>
              <w:jc w:val="center"/>
              <w:rPr>
                <w:rFonts w:eastAsia="Times New Roman" w:cs="Times New Roman"/>
                <w:b/>
                <w:bCs/>
                <w:color w:val="000000"/>
                <w:sz w:val="24"/>
                <w:szCs w:val="24"/>
                <w:lang w:eastAsia="de-DE"/>
              </w:rPr>
            </w:pPr>
            <w:r w:rsidRPr="005243B1">
              <w:rPr>
                <w:rFonts w:eastAsia="Times New Roman" w:cs="Times New Roman"/>
                <w:b/>
                <w:bCs/>
                <w:color w:val="000000"/>
                <w:sz w:val="24"/>
                <w:szCs w:val="24"/>
                <w:lang w:eastAsia="de-DE"/>
              </w:rPr>
              <w:t>Concentration</w:t>
            </w:r>
          </w:p>
        </w:tc>
        <w:tc>
          <w:tcPr>
            <w:tcW w:w="85.05pt" w:type="dxa"/>
            <w:tcBorders>
              <w:top w:val="nil"/>
              <w:start w:val="nil"/>
              <w:bottom w:val="nil"/>
              <w:end w:val="nil"/>
            </w:tcBorders>
            <w:shd w:val="clear" w:color="auto" w:fill="auto"/>
            <w:noWrap/>
            <w:vAlign w:val="bottom"/>
            <w:hideMark/>
          </w:tcPr>
          <w:p w14:paraId="14830A2F" w14:textId="77777777" w:rsidR="00951998" w:rsidRPr="005243B1" w:rsidRDefault="00951998" w:rsidP="007A6401">
            <w:pPr>
              <w:spacing w:after="0pt" w:line="12pt" w:lineRule="auto"/>
              <w:jc w:val="center"/>
              <w:rPr>
                <w:rFonts w:eastAsia="Times New Roman" w:cs="Times New Roman"/>
                <w:b/>
                <w:bCs/>
                <w:color w:val="000000"/>
                <w:sz w:val="24"/>
                <w:szCs w:val="24"/>
                <w:lang w:eastAsia="de-DE"/>
              </w:rPr>
            </w:pPr>
            <w:r w:rsidRPr="005243B1">
              <w:rPr>
                <w:rFonts w:eastAsia="Times New Roman" w:cs="Times New Roman"/>
                <w:b/>
                <w:bCs/>
                <w:color w:val="000000"/>
                <w:sz w:val="24"/>
                <w:szCs w:val="24"/>
                <w:lang w:eastAsia="de-DE"/>
              </w:rPr>
              <w:t>Application</w:t>
            </w:r>
          </w:p>
        </w:tc>
        <w:tc>
          <w:tcPr>
            <w:tcW w:w="70.90pt" w:type="dxa"/>
            <w:tcBorders>
              <w:top w:val="nil"/>
              <w:start w:val="nil"/>
              <w:bottom w:val="single" w:sz="4" w:space="0" w:color="auto"/>
              <w:end w:val="nil"/>
            </w:tcBorders>
            <w:shd w:val="clear" w:color="auto" w:fill="auto"/>
            <w:noWrap/>
            <w:vAlign w:val="bottom"/>
            <w:hideMark/>
          </w:tcPr>
          <w:p w14:paraId="022A7C94" w14:textId="77777777" w:rsidR="00951998" w:rsidRPr="005243B1" w:rsidRDefault="00951998" w:rsidP="007A6401">
            <w:pPr>
              <w:spacing w:after="0pt" w:line="12pt" w:lineRule="auto"/>
              <w:jc w:val="center"/>
              <w:rPr>
                <w:rFonts w:eastAsia="Times New Roman" w:cs="Times New Roman"/>
                <w:b/>
                <w:bCs/>
                <w:color w:val="000000"/>
                <w:sz w:val="24"/>
                <w:szCs w:val="24"/>
                <w:lang w:eastAsia="de-DE"/>
              </w:rPr>
            </w:pPr>
            <w:r w:rsidRPr="005243B1">
              <w:rPr>
                <w:rFonts w:eastAsia="Times New Roman" w:cs="Times New Roman"/>
                <w:b/>
                <w:bCs/>
                <w:color w:val="000000"/>
                <w:sz w:val="24"/>
                <w:szCs w:val="24"/>
                <w:lang w:eastAsia="de-DE"/>
              </w:rPr>
              <w:t>Ref</w:t>
            </w:r>
          </w:p>
        </w:tc>
        <w:tc>
          <w:tcPr>
            <w:tcW w:w="148.80pt" w:type="dxa"/>
            <w:tcBorders>
              <w:top w:val="nil"/>
              <w:start w:val="nil"/>
              <w:bottom w:val="single" w:sz="4" w:space="0" w:color="auto"/>
              <w:end w:val="nil"/>
            </w:tcBorders>
            <w:shd w:val="clear" w:color="auto" w:fill="auto"/>
            <w:noWrap/>
            <w:vAlign w:val="bottom"/>
            <w:hideMark/>
          </w:tcPr>
          <w:p w14:paraId="32F9E287" w14:textId="77777777" w:rsidR="00951998" w:rsidRPr="005243B1" w:rsidRDefault="00951998" w:rsidP="007A6401">
            <w:pPr>
              <w:spacing w:after="0pt" w:line="12pt" w:lineRule="auto"/>
              <w:rPr>
                <w:rFonts w:eastAsia="Times New Roman" w:cs="Times New Roman"/>
                <w:b/>
                <w:bCs/>
                <w:color w:val="000000"/>
                <w:sz w:val="24"/>
                <w:szCs w:val="24"/>
                <w:lang w:eastAsia="de-DE"/>
              </w:rPr>
            </w:pPr>
            <w:r w:rsidRPr="005243B1">
              <w:rPr>
                <w:rFonts w:eastAsia="Times New Roman" w:cs="Times New Roman"/>
                <w:b/>
                <w:bCs/>
                <w:color w:val="000000"/>
                <w:sz w:val="24"/>
                <w:szCs w:val="24"/>
                <w:lang w:eastAsia="de-DE"/>
              </w:rPr>
              <w:t>Supplier</w:t>
            </w:r>
          </w:p>
        </w:tc>
      </w:tr>
      <w:tr w:rsidR="00951998" w:rsidRPr="005243B1" w14:paraId="1A8D2982" w14:textId="77777777" w:rsidTr="007A6401">
        <w:trPr>
          <w:trHeight w:val="312"/>
        </w:trPr>
        <w:tc>
          <w:tcPr>
            <w:tcW w:w="63.80pt" w:type="dxa"/>
            <w:tcBorders>
              <w:top w:val="nil"/>
              <w:start w:val="nil"/>
              <w:bottom w:val="nil"/>
              <w:end w:val="nil"/>
            </w:tcBorders>
            <w:shd w:val="clear" w:color="auto" w:fill="auto"/>
            <w:noWrap/>
            <w:vAlign w:val="bottom"/>
            <w:hideMark/>
          </w:tcPr>
          <w:p w14:paraId="7E238930"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Anti-mouse</w:t>
            </w:r>
          </w:p>
        </w:tc>
        <w:tc>
          <w:tcPr>
            <w:tcW w:w="85.05pt" w:type="dxa"/>
            <w:tcBorders>
              <w:top w:val="nil"/>
              <w:start w:val="nil"/>
              <w:bottom w:val="nil"/>
              <w:end w:val="nil"/>
            </w:tcBorders>
            <w:shd w:val="clear" w:color="auto" w:fill="auto"/>
            <w:noWrap/>
            <w:vAlign w:val="bottom"/>
            <w:hideMark/>
          </w:tcPr>
          <w:p w14:paraId="3452F91D"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20 ng/mL</w:t>
            </w:r>
          </w:p>
        </w:tc>
        <w:tc>
          <w:tcPr>
            <w:tcW w:w="85.05pt" w:type="dxa"/>
            <w:tcBorders>
              <w:top w:val="single" w:sz="4" w:space="0" w:color="auto"/>
              <w:start w:val="nil"/>
              <w:bottom w:val="nil"/>
              <w:end w:val="nil"/>
            </w:tcBorders>
            <w:shd w:val="clear" w:color="auto" w:fill="auto"/>
            <w:noWrap/>
            <w:vAlign w:val="bottom"/>
            <w:hideMark/>
          </w:tcPr>
          <w:p w14:paraId="6E2B9EFB"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WB</w:t>
            </w:r>
          </w:p>
        </w:tc>
        <w:tc>
          <w:tcPr>
            <w:tcW w:w="70.90pt" w:type="dxa"/>
            <w:tcBorders>
              <w:top w:val="nil"/>
              <w:start w:val="nil"/>
              <w:bottom w:val="nil"/>
              <w:end w:val="nil"/>
            </w:tcBorders>
            <w:shd w:val="clear" w:color="auto" w:fill="auto"/>
            <w:noWrap/>
            <w:vAlign w:val="bottom"/>
            <w:hideMark/>
          </w:tcPr>
          <w:p w14:paraId="1A7EEE09"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#7076</w:t>
            </w:r>
          </w:p>
        </w:tc>
        <w:tc>
          <w:tcPr>
            <w:tcW w:w="148.80pt" w:type="dxa"/>
            <w:tcBorders>
              <w:top w:val="nil"/>
              <w:start w:val="nil"/>
              <w:bottom w:val="nil"/>
              <w:end w:val="nil"/>
            </w:tcBorders>
            <w:shd w:val="clear" w:color="auto" w:fill="auto"/>
            <w:noWrap/>
            <w:vAlign w:val="bottom"/>
            <w:hideMark/>
          </w:tcPr>
          <w:p w14:paraId="127E83A6"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Cell Signaling Technology</w:t>
            </w:r>
          </w:p>
        </w:tc>
      </w:tr>
      <w:tr w:rsidR="00951998" w:rsidRPr="005243B1" w14:paraId="63E5F326" w14:textId="77777777" w:rsidTr="007A6401">
        <w:trPr>
          <w:trHeight w:val="288"/>
        </w:trPr>
        <w:tc>
          <w:tcPr>
            <w:tcW w:w="63.80pt" w:type="dxa"/>
            <w:tcBorders>
              <w:top w:val="nil"/>
              <w:start w:val="nil"/>
              <w:end w:val="nil"/>
            </w:tcBorders>
            <w:shd w:val="clear" w:color="auto" w:fill="auto"/>
            <w:noWrap/>
            <w:vAlign w:val="bottom"/>
            <w:hideMark/>
          </w:tcPr>
          <w:p w14:paraId="347E2E87"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Anti-rabbit</w:t>
            </w:r>
          </w:p>
        </w:tc>
        <w:tc>
          <w:tcPr>
            <w:tcW w:w="85.05pt" w:type="dxa"/>
            <w:tcBorders>
              <w:top w:val="nil"/>
              <w:start w:val="nil"/>
              <w:bottom w:val="nil"/>
              <w:end w:val="nil"/>
            </w:tcBorders>
            <w:shd w:val="clear" w:color="auto" w:fill="auto"/>
            <w:noWrap/>
            <w:vAlign w:val="bottom"/>
            <w:hideMark/>
          </w:tcPr>
          <w:p w14:paraId="67CBC3C3"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15 ng/mL</w:t>
            </w:r>
          </w:p>
        </w:tc>
        <w:tc>
          <w:tcPr>
            <w:tcW w:w="85.05pt" w:type="dxa"/>
            <w:tcBorders>
              <w:top w:val="nil"/>
              <w:start w:val="nil"/>
              <w:bottom w:val="nil"/>
              <w:end w:val="nil"/>
            </w:tcBorders>
            <w:shd w:val="clear" w:color="auto" w:fill="auto"/>
            <w:noWrap/>
            <w:vAlign w:val="bottom"/>
            <w:hideMark/>
          </w:tcPr>
          <w:p w14:paraId="0F21FE10"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WB</w:t>
            </w:r>
          </w:p>
        </w:tc>
        <w:tc>
          <w:tcPr>
            <w:tcW w:w="70.90pt" w:type="dxa"/>
            <w:tcBorders>
              <w:top w:val="nil"/>
              <w:start w:val="nil"/>
              <w:bottom w:val="nil"/>
              <w:end w:val="nil"/>
            </w:tcBorders>
            <w:shd w:val="clear" w:color="auto" w:fill="auto"/>
            <w:noWrap/>
            <w:vAlign w:val="bottom"/>
            <w:hideMark/>
          </w:tcPr>
          <w:p w14:paraId="261C66B5"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#7074</w:t>
            </w:r>
          </w:p>
        </w:tc>
        <w:tc>
          <w:tcPr>
            <w:tcW w:w="148.80pt" w:type="dxa"/>
            <w:tcBorders>
              <w:top w:val="nil"/>
              <w:start w:val="nil"/>
              <w:bottom w:val="nil"/>
              <w:end w:val="nil"/>
            </w:tcBorders>
            <w:shd w:val="clear" w:color="auto" w:fill="auto"/>
            <w:noWrap/>
            <w:vAlign w:val="bottom"/>
            <w:hideMark/>
          </w:tcPr>
          <w:p w14:paraId="2A9CFEC1"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Cell Signaling Technology</w:t>
            </w:r>
          </w:p>
        </w:tc>
      </w:tr>
      <w:tr w:rsidR="00951998" w:rsidRPr="005243B1" w14:paraId="58EFFFF2" w14:textId="77777777" w:rsidTr="007A6401">
        <w:trPr>
          <w:trHeight w:val="324"/>
        </w:trPr>
        <w:tc>
          <w:tcPr>
            <w:tcW w:w="63.80pt" w:type="dxa"/>
            <w:vMerge w:val="restart"/>
            <w:tcBorders>
              <w:top w:val="nil"/>
              <w:bottom w:val="nil"/>
              <w:end w:val="nil"/>
            </w:tcBorders>
            <w:shd w:val="clear" w:color="auto" w:fill="auto"/>
            <w:noWrap/>
            <w:vAlign w:val="center"/>
            <w:hideMark/>
          </w:tcPr>
          <w:p w14:paraId="07ADEC20"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CD142</w:t>
            </w:r>
          </w:p>
        </w:tc>
        <w:tc>
          <w:tcPr>
            <w:tcW w:w="85.05pt" w:type="dxa"/>
            <w:tcBorders>
              <w:top w:val="nil"/>
              <w:start w:val="nil"/>
              <w:bottom w:val="nil"/>
              <w:end w:val="nil"/>
            </w:tcBorders>
            <w:shd w:val="clear" w:color="auto" w:fill="auto"/>
            <w:noWrap/>
            <w:vAlign w:val="bottom"/>
            <w:hideMark/>
          </w:tcPr>
          <w:p w14:paraId="364829A5"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1 - 10 µg/mL</w:t>
            </w:r>
          </w:p>
        </w:tc>
        <w:tc>
          <w:tcPr>
            <w:tcW w:w="85.05pt" w:type="dxa"/>
            <w:tcBorders>
              <w:top w:val="nil"/>
              <w:start w:val="nil"/>
              <w:bottom w:val="nil"/>
              <w:end w:val="nil"/>
            </w:tcBorders>
            <w:shd w:val="clear" w:color="auto" w:fill="auto"/>
            <w:noWrap/>
            <w:vAlign w:val="bottom"/>
            <w:hideMark/>
          </w:tcPr>
          <w:p w14:paraId="09726441"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Aggregometry</w:t>
            </w:r>
          </w:p>
        </w:tc>
        <w:tc>
          <w:tcPr>
            <w:tcW w:w="70.90pt" w:type="dxa"/>
            <w:vMerge w:val="restart"/>
            <w:tcBorders>
              <w:top w:val="nil"/>
              <w:start w:val="nil"/>
              <w:bottom w:val="nil"/>
              <w:end w:val="nil"/>
            </w:tcBorders>
            <w:shd w:val="clear" w:color="auto" w:fill="auto"/>
            <w:noWrap/>
            <w:vAlign w:val="center"/>
            <w:hideMark/>
          </w:tcPr>
          <w:p w14:paraId="047CC5C4"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#16-1429-82</w:t>
            </w:r>
          </w:p>
        </w:tc>
        <w:tc>
          <w:tcPr>
            <w:tcW w:w="148.80pt" w:type="dxa"/>
            <w:vMerge w:val="restart"/>
            <w:tcBorders>
              <w:top w:val="nil"/>
              <w:start w:val="nil"/>
              <w:bottom w:val="nil"/>
              <w:end w:val="nil"/>
            </w:tcBorders>
            <w:shd w:val="clear" w:color="auto" w:fill="auto"/>
            <w:noWrap/>
            <w:vAlign w:val="center"/>
            <w:hideMark/>
          </w:tcPr>
          <w:p w14:paraId="41BBB3DD"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ThermoFisher Scientific</w:t>
            </w:r>
          </w:p>
        </w:tc>
      </w:tr>
      <w:tr w:rsidR="00951998" w:rsidRPr="005243B1" w14:paraId="3016F3D0" w14:textId="77777777" w:rsidTr="007A6401">
        <w:trPr>
          <w:trHeight w:val="288"/>
        </w:trPr>
        <w:tc>
          <w:tcPr>
            <w:tcW w:w="63.80pt" w:type="dxa"/>
            <w:vMerge/>
            <w:tcBorders>
              <w:top w:val="nil"/>
              <w:bottom w:val="nil"/>
              <w:end w:val="nil"/>
            </w:tcBorders>
            <w:vAlign w:val="center"/>
            <w:hideMark/>
          </w:tcPr>
          <w:p w14:paraId="0A3ADEE1" w14:textId="77777777" w:rsidR="00951998" w:rsidRPr="005243B1" w:rsidRDefault="00951998" w:rsidP="007A6401">
            <w:pPr>
              <w:spacing w:after="0pt" w:line="12pt" w:lineRule="auto"/>
              <w:rPr>
                <w:rFonts w:eastAsia="Times New Roman" w:cs="Times New Roman"/>
                <w:b/>
                <w:color w:val="000000"/>
                <w:lang w:eastAsia="de-DE"/>
              </w:rPr>
            </w:pPr>
          </w:p>
        </w:tc>
        <w:tc>
          <w:tcPr>
            <w:tcW w:w="85.05pt" w:type="dxa"/>
            <w:tcBorders>
              <w:top w:val="nil"/>
              <w:start w:val="nil"/>
              <w:bottom w:val="nil"/>
              <w:end w:val="nil"/>
            </w:tcBorders>
            <w:shd w:val="clear" w:color="auto" w:fill="auto"/>
            <w:noWrap/>
            <w:vAlign w:val="bottom"/>
            <w:hideMark/>
          </w:tcPr>
          <w:p w14:paraId="0F8509CD"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 µg/mL</w:t>
            </w:r>
          </w:p>
        </w:tc>
        <w:tc>
          <w:tcPr>
            <w:tcW w:w="85.05pt" w:type="dxa"/>
            <w:tcBorders>
              <w:top w:val="nil"/>
              <w:start w:val="nil"/>
              <w:bottom w:val="nil"/>
              <w:end w:val="nil"/>
            </w:tcBorders>
            <w:shd w:val="clear" w:color="auto" w:fill="auto"/>
            <w:noWrap/>
            <w:vAlign w:val="bottom"/>
            <w:hideMark/>
          </w:tcPr>
          <w:p w14:paraId="7DD5A974"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WB</w:t>
            </w:r>
          </w:p>
        </w:tc>
        <w:tc>
          <w:tcPr>
            <w:tcW w:w="70.90pt" w:type="dxa"/>
            <w:vMerge/>
            <w:tcBorders>
              <w:top w:val="nil"/>
              <w:start w:val="nil"/>
              <w:bottom w:val="nil"/>
              <w:end w:val="nil"/>
            </w:tcBorders>
            <w:vAlign w:val="center"/>
            <w:hideMark/>
          </w:tcPr>
          <w:p w14:paraId="08D2B8E3" w14:textId="77777777" w:rsidR="00951998" w:rsidRPr="005243B1" w:rsidRDefault="00951998" w:rsidP="007A6401">
            <w:pPr>
              <w:spacing w:after="0pt" w:line="12pt" w:lineRule="auto"/>
              <w:jc w:val="center"/>
              <w:rPr>
                <w:rFonts w:eastAsia="Times New Roman" w:cs="Times New Roman"/>
                <w:color w:val="000000"/>
                <w:lang w:eastAsia="de-DE"/>
              </w:rPr>
            </w:pPr>
          </w:p>
        </w:tc>
        <w:tc>
          <w:tcPr>
            <w:tcW w:w="148.80pt" w:type="dxa"/>
            <w:vMerge/>
            <w:tcBorders>
              <w:top w:val="nil"/>
              <w:start w:val="nil"/>
              <w:bottom w:val="nil"/>
              <w:end w:val="nil"/>
            </w:tcBorders>
            <w:vAlign w:val="center"/>
            <w:hideMark/>
          </w:tcPr>
          <w:p w14:paraId="170B85C1" w14:textId="77777777" w:rsidR="00951998" w:rsidRPr="005243B1" w:rsidRDefault="00951998" w:rsidP="007A6401">
            <w:pPr>
              <w:spacing w:after="0pt" w:line="12pt" w:lineRule="auto"/>
              <w:rPr>
                <w:rFonts w:eastAsia="Times New Roman" w:cs="Times New Roman"/>
                <w:color w:val="000000"/>
                <w:lang w:eastAsia="de-DE"/>
              </w:rPr>
            </w:pPr>
          </w:p>
        </w:tc>
      </w:tr>
      <w:tr w:rsidR="00951998" w:rsidRPr="005243B1" w14:paraId="0233B9D3" w14:textId="77777777" w:rsidTr="007A6401">
        <w:trPr>
          <w:trHeight w:val="288"/>
        </w:trPr>
        <w:tc>
          <w:tcPr>
            <w:tcW w:w="63.80pt" w:type="dxa"/>
            <w:tcBorders>
              <w:top w:val="nil"/>
              <w:start w:val="nil"/>
              <w:bottom w:val="nil"/>
              <w:end w:val="nil"/>
            </w:tcBorders>
            <w:shd w:val="clear" w:color="auto" w:fill="auto"/>
            <w:noWrap/>
            <w:vAlign w:val="bottom"/>
            <w:hideMark/>
          </w:tcPr>
          <w:p w14:paraId="7B943CF7"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CD142</w:t>
            </w:r>
          </w:p>
        </w:tc>
        <w:tc>
          <w:tcPr>
            <w:tcW w:w="85.05pt" w:type="dxa"/>
            <w:tcBorders>
              <w:top w:val="nil"/>
              <w:start w:val="nil"/>
              <w:bottom w:val="nil"/>
              <w:end w:val="nil"/>
            </w:tcBorders>
            <w:shd w:val="clear" w:color="auto" w:fill="auto"/>
            <w:noWrap/>
            <w:vAlign w:val="bottom"/>
            <w:hideMark/>
          </w:tcPr>
          <w:p w14:paraId="00F3B7BC"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 µg/mL</w:t>
            </w:r>
          </w:p>
        </w:tc>
        <w:tc>
          <w:tcPr>
            <w:tcW w:w="85.05pt" w:type="dxa"/>
            <w:tcBorders>
              <w:top w:val="nil"/>
              <w:start w:val="nil"/>
              <w:bottom w:val="nil"/>
              <w:end w:val="nil"/>
            </w:tcBorders>
            <w:shd w:val="clear" w:color="auto" w:fill="auto"/>
            <w:noWrap/>
            <w:vAlign w:val="bottom"/>
            <w:hideMark/>
          </w:tcPr>
          <w:p w14:paraId="20DC5F45"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Flow cytometry</w:t>
            </w:r>
          </w:p>
        </w:tc>
        <w:tc>
          <w:tcPr>
            <w:tcW w:w="70.90pt" w:type="dxa"/>
            <w:tcBorders>
              <w:top w:val="nil"/>
              <w:start w:val="nil"/>
              <w:bottom w:val="nil"/>
              <w:end w:val="nil"/>
            </w:tcBorders>
            <w:shd w:val="clear" w:color="auto" w:fill="auto"/>
            <w:noWrap/>
            <w:vAlign w:val="bottom"/>
            <w:hideMark/>
          </w:tcPr>
          <w:p w14:paraId="413FA7D8"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#365203</w:t>
            </w:r>
          </w:p>
        </w:tc>
        <w:tc>
          <w:tcPr>
            <w:tcW w:w="148.80pt" w:type="dxa"/>
            <w:tcBorders>
              <w:top w:val="nil"/>
              <w:start w:val="nil"/>
              <w:bottom w:val="nil"/>
              <w:end w:val="nil"/>
            </w:tcBorders>
            <w:shd w:val="clear" w:color="auto" w:fill="auto"/>
            <w:noWrap/>
            <w:vAlign w:val="bottom"/>
            <w:hideMark/>
          </w:tcPr>
          <w:p w14:paraId="4216DD47"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Biolegend</w:t>
            </w:r>
          </w:p>
        </w:tc>
      </w:tr>
      <w:tr w:rsidR="00951998" w:rsidRPr="005243B1" w14:paraId="7C19C1C5" w14:textId="77777777" w:rsidTr="007A6401">
        <w:trPr>
          <w:trHeight w:val="288"/>
        </w:trPr>
        <w:tc>
          <w:tcPr>
            <w:tcW w:w="63.80pt" w:type="dxa"/>
            <w:tcBorders>
              <w:top w:val="nil"/>
              <w:start w:val="nil"/>
              <w:bottom w:val="nil"/>
              <w:end w:val="nil"/>
            </w:tcBorders>
            <w:shd w:val="clear" w:color="auto" w:fill="auto"/>
            <w:noWrap/>
            <w:vAlign w:val="bottom"/>
            <w:hideMark/>
          </w:tcPr>
          <w:p w14:paraId="156C7CA4"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CD41</w:t>
            </w:r>
          </w:p>
        </w:tc>
        <w:tc>
          <w:tcPr>
            <w:tcW w:w="85.05pt" w:type="dxa"/>
            <w:tcBorders>
              <w:top w:val="nil"/>
              <w:start w:val="nil"/>
              <w:bottom w:val="nil"/>
              <w:end w:val="nil"/>
            </w:tcBorders>
            <w:shd w:val="clear" w:color="auto" w:fill="auto"/>
            <w:noWrap/>
            <w:vAlign w:val="bottom"/>
            <w:hideMark/>
          </w:tcPr>
          <w:p w14:paraId="7DF660C4"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500 ng/mL</w:t>
            </w:r>
          </w:p>
        </w:tc>
        <w:tc>
          <w:tcPr>
            <w:tcW w:w="85.05pt" w:type="dxa"/>
            <w:tcBorders>
              <w:top w:val="nil"/>
              <w:start w:val="nil"/>
              <w:bottom w:val="nil"/>
              <w:end w:val="nil"/>
            </w:tcBorders>
            <w:shd w:val="clear" w:color="auto" w:fill="auto"/>
            <w:noWrap/>
            <w:vAlign w:val="bottom"/>
            <w:hideMark/>
          </w:tcPr>
          <w:p w14:paraId="6FEB3117"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Flow cytometry</w:t>
            </w:r>
          </w:p>
        </w:tc>
        <w:tc>
          <w:tcPr>
            <w:tcW w:w="70.90pt" w:type="dxa"/>
            <w:tcBorders>
              <w:top w:val="nil"/>
              <w:start w:val="nil"/>
              <w:bottom w:val="nil"/>
              <w:end w:val="nil"/>
            </w:tcBorders>
            <w:shd w:val="clear" w:color="auto" w:fill="auto"/>
            <w:noWrap/>
            <w:vAlign w:val="bottom"/>
            <w:hideMark/>
          </w:tcPr>
          <w:p w14:paraId="2CC74328"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#303710</w:t>
            </w:r>
          </w:p>
        </w:tc>
        <w:tc>
          <w:tcPr>
            <w:tcW w:w="148.80pt" w:type="dxa"/>
            <w:tcBorders>
              <w:top w:val="nil"/>
              <w:start w:val="nil"/>
              <w:bottom w:val="nil"/>
              <w:end w:val="nil"/>
            </w:tcBorders>
            <w:shd w:val="clear" w:color="auto" w:fill="auto"/>
            <w:noWrap/>
            <w:vAlign w:val="bottom"/>
            <w:hideMark/>
          </w:tcPr>
          <w:p w14:paraId="73681C7C"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Biolegend</w:t>
            </w:r>
          </w:p>
        </w:tc>
      </w:tr>
      <w:tr w:rsidR="00951998" w:rsidRPr="005243B1" w14:paraId="510A8231" w14:textId="77777777" w:rsidTr="007A6401">
        <w:trPr>
          <w:trHeight w:val="288"/>
        </w:trPr>
        <w:tc>
          <w:tcPr>
            <w:tcW w:w="63.80pt" w:type="dxa"/>
            <w:tcBorders>
              <w:top w:val="nil"/>
              <w:start w:val="nil"/>
              <w:bottom w:val="nil"/>
              <w:end w:val="nil"/>
            </w:tcBorders>
            <w:shd w:val="clear" w:color="auto" w:fill="auto"/>
            <w:noWrap/>
            <w:vAlign w:val="bottom"/>
            <w:hideMark/>
          </w:tcPr>
          <w:p w14:paraId="032BA52C"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CD41</w:t>
            </w:r>
          </w:p>
        </w:tc>
        <w:tc>
          <w:tcPr>
            <w:tcW w:w="85.05pt" w:type="dxa"/>
            <w:tcBorders>
              <w:top w:val="nil"/>
              <w:start w:val="nil"/>
              <w:bottom w:val="nil"/>
              <w:end w:val="nil"/>
            </w:tcBorders>
            <w:shd w:val="clear" w:color="auto" w:fill="auto"/>
            <w:noWrap/>
            <w:vAlign w:val="bottom"/>
            <w:hideMark/>
          </w:tcPr>
          <w:p w14:paraId="3C6C2D2D"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 µg/mL</w:t>
            </w:r>
          </w:p>
        </w:tc>
        <w:tc>
          <w:tcPr>
            <w:tcW w:w="85.05pt" w:type="dxa"/>
            <w:tcBorders>
              <w:top w:val="nil"/>
              <w:start w:val="nil"/>
              <w:bottom w:val="nil"/>
              <w:end w:val="nil"/>
            </w:tcBorders>
            <w:shd w:val="clear" w:color="auto" w:fill="auto"/>
            <w:noWrap/>
            <w:vAlign w:val="bottom"/>
            <w:hideMark/>
          </w:tcPr>
          <w:p w14:paraId="1D0DE6ED"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IF</w:t>
            </w:r>
          </w:p>
        </w:tc>
        <w:tc>
          <w:tcPr>
            <w:tcW w:w="70.90pt" w:type="dxa"/>
            <w:tcBorders>
              <w:top w:val="nil"/>
              <w:start w:val="nil"/>
              <w:bottom w:val="nil"/>
              <w:end w:val="nil"/>
            </w:tcBorders>
            <w:shd w:val="clear" w:color="auto" w:fill="auto"/>
            <w:noWrap/>
            <w:vAlign w:val="bottom"/>
            <w:hideMark/>
          </w:tcPr>
          <w:p w14:paraId="3960D8D5"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#303729</w:t>
            </w:r>
          </w:p>
        </w:tc>
        <w:tc>
          <w:tcPr>
            <w:tcW w:w="148.80pt" w:type="dxa"/>
            <w:tcBorders>
              <w:top w:val="nil"/>
              <w:start w:val="nil"/>
              <w:bottom w:val="nil"/>
              <w:end w:val="nil"/>
            </w:tcBorders>
            <w:shd w:val="clear" w:color="auto" w:fill="auto"/>
            <w:noWrap/>
            <w:vAlign w:val="bottom"/>
            <w:hideMark/>
          </w:tcPr>
          <w:p w14:paraId="536B28D6"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Biolegend</w:t>
            </w:r>
          </w:p>
        </w:tc>
      </w:tr>
      <w:tr w:rsidR="00951998" w:rsidRPr="005243B1" w14:paraId="1CF8BFEB" w14:textId="77777777" w:rsidTr="007A6401">
        <w:trPr>
          <w:trHeight w:val="288"/>
        </w:trPr>
        <w:tc>
          <w:tcPr>
            <w:tcW w:w="63.80pt" w:type="dxa"/>
            <w:tcBorders>
              <w:top w:val="nil"/>
              <w:start w:val="nil"/>
              <w:bottom w:val="nil"/>
              <w:end w:val="nil"/>
            </w:tcBorders>
            <w:shd w:val="clear" w:color="auto" w:fill="auto"/>
            <w:noWrap/>
            <w:vAlign w:val="bottom"/>
            <w:hideMark/>
          </w:tcPr>
          <w:p w14:paraId="1B317396"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CD62p</w:t>
            </w:r>
          </w:p>
        </w:tc>
        <w:tc>
          <w:tcPr>
            <w:tcW w:w="85.05pt" w:type="dxa"/>
            <w:tcBorders>
              <w:top w:val="nil"/>
              <w:start w:val="nil"/>
              <w:bottom w:val="nil"/>
              <w:end w:val="nil"/>
            </w:tcBorders>
            <w:shd w:val="clear" w:color="auto" w:fill="auto"/>
            <w:noWrap/>
            <w:vAlign w:val="bottom"/>
            <w:hideMark/>
          </w:tcPr>
          <w:p w14:paraId="532BF68A"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 µg/mL</w:t>
            </w:r>
          </w:p>
        </w:tc>
        <w:tc>
          <w:tcPr>
            <w:tcW w:w="85.05pt" w:type="dxa"/>
            <w:tcBorders>
              <w:top w:val="nil"/>
              <w:start w:val="nil"/>
              <w:bottom w:val="nil"/>
              <w:end w:val="nil"/>
            </w:tcBorders>
            <w:shd w:val="clear" w:color="auto" w:fill="auto"/>
            <w:noWrap/>
            <w:vAlign w:val="bottom"/>
            <w:hideMark/>
          </w:tcPr>
          <w:p w14:paraId="589DFD0C"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Flow cytometry</w:t>
            </w:r>
          </w:p>
        </w:tc>
        <w:tc>
          <w:tcPr>
            <w:tcW w:w="70.90pt" w:type="dxa"/>
            <w:tcBorders>
              <w:top w:val="nil"/>
              <w:start w:val="nil"/>
              <w:bottom w:val="nil"/>
              <w:end w:val="nil"/>
            </w:tcBorders>
            <w:shd w:val="clear" w:color="auto" w:fill="auto"/>
            <w:noWrap/>
            <w:vAlign w:val="bottom"/>
            <w:hideMark/>
          </w:tcPr>
          <w:p w14:paraId="4001AB4C"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#304936</w:t>
            </w:r>
          </w:p>
        </w:tc>
        <w:tc>
          <w:tcPr>
            <w:tcW w:w="148.80pt" w:type="dxa"/>
            <w:tcBorders>
              <w:top w:val="nil"/>
              <w:start w:val="nil"/>
              <w:bottom w:val="nil"/>
              <w:end w:val="nil"/>
            </w:tcBorders>
            <w:shd w:val="clear" w:color="auto" w:fill="auto"/>
            <w:noWrap/>
            <w:vAlign w:val="bottom"/>
            <w:hideMark/>
          </w:tcPr>
          <w:p w14:paraId="1B1558B4"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Biolegend</w:t>
            </w:r>
          </w:p>
        </w:tc>
      </w:tr>
      <w:tr w:rsidR="00951998" w:rsidRPr="005243B1" w14:paraId="13EEE394" w14:textId="77777777" w:rsidTr="007A6401">
        <w:trPr>
          <w:trHeight w:val="288"/>
        </w:trPr>
        <w:tc>
          <w:tcPr>
            <w:tcW w:w="63.80pt" w:type="dxa"/>
            <w:tcBorders>
              <w:top w:val="nil"/>
              <w:start w:val="nil"/>
              <w:bottom w:val="nil"/>
              <w:end w:val="nil"/>
            </w:tcBorders>
            <w:shd w:val="clear" w:color="auto" w:fill="auto"/>
            <w:noWrap/>
            <w:vAlign w:val="bottom"/>
            <w:hideMark/>
          </w:tcPr>
          <w:p w14:paraId="0DE75BA3"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CD63</w:t>
            </w:r>
          </w:p>
        </w:tc>
        <w:tc>
          <w:tcPr>
            <w:tcW w:w="85.05pt" w:type="dxa"/>
            <w:tcBorders>
              <w:top w:val="nil"/>
              <w:start w:val="nil"/>
              <w:bottom w:val="nil"/>
              <w:end w:val="nil"/>
            </w:tcBorders>
            <w:shd w:val="clear" w:color="auto" w:fill="auto"/>
            <w:noWrap/>
            <w:vAlign w:val="bottom"/>
            <w:hideMark/>
          </w:tcPr>
          <w:p w14:paraId="7FB337B4"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250 ng/mL</w:t>
            </w:r>
          </w:p>
        </w:tc>
        <w:tc>
          <w:tcPr>
            <w:tcW w:w="85.05pt" w:type="dxa"/>
            <w:tcBorders>
              <w:top w:val="nil"/>
              <w:start w:val="nil"/>
              <w:bottom w:val="nil"/>
              <w:end w:val="nil"/>
            </w:tcBorders>
            <w:shd w:val="clear" w:color="auto" w:fill="auto"/>
            <w:noWrap/>
            <w:vAlign w:val="bottom"/>
            <w:hideMark/>
          </w:tcPr>
          <w:p w14:paraId="196CFD23"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Flow cytometry</w:t>
            </w:r>
          </w:p>
        </w:tc>
        <w:tc>
          <w:tcPr>
            <w:tcW w:w="70.90pt" w:type="dxa"/>
            <w:tcBorders>
              <w:top w:val="nil"/>
              <w:start w:val="nil"/>
              <w:bottom w:val="nil"/>
              <w:end w:val="nil"/>
            </w:tcBorders>
            <w:shd w:val="clear" w:color="auto" w:fill="auto"/>
            <w:noWrap/>
            <w:vAlign w:val="bottom"/>
            <w:hideMark/>
          </w:tcPr>
          <w:p w14:paraId="0537EE3A"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#353030</w:t>
            </w:r>
          </w:p>
        </w:tc>
        <w:tc>
          <w:tcPr>
            <w:tcW w:w="148.80pt" w:type="dxa"/>
            <w:tcBorders>
              <w:top w:val="nil"/>
              <w:start w:val="nil"/>
              <w:bottom w:val="nil"/>
              <w:end w:val="nil"/>
            </w:tcBorders>
            <w:shd w:val="clear" w:color="auto" w:fill="auto"/>
            <w:noWrap/>
            <w:vAlign w:val="bottom"/>
            <w:hideMark/>
          </w:tcPr>
          <w:p w14:paraId="4DBAD7A0"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Biolegend</w:t>
            </w:r>
          </w:p>
        </w:tc>
      </w:tr>
      <w:tr w:rsidR="00951998" w:rsidRPr="005243B1" w14:paraId="2654D6C3" w14:textId="77777777" w:rsidTr="007A6401">
        <w:trPr>
          <w:trHeight w:val="288"/>
        </w:trPr>
        <w:tc>
          <w:tcPr>
            <w:tcW w:w="63.80pt" w:type="dxa"/>
            <w:tcBorders>
              <w:top w:val="nil"/>
              <w:start w:val="nil"/>
              <w:bottom w:val="nil"/>
              <w:end w:val="nil"/>
            </w:tcBorders>
            <w:shd w:val="clear" w:color="auto" w:fill="auto"/>
            <w:noWrap/>
            <w:vAlign w:val="bottom"/>
            <w:hideMark/>
          </w:tcPr>
          <w:p w14:paraId="4E9D5F0F"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CD63</w:t>
            </w:r>
          </w:p>
        </w:tc>
        <w:tc>
          <w:tcPr>
            <w:tcW w:w="85.05pt" w:type="dxa"/>
            <w:tcBorders>
              <w:top w:val="nil"/>
              <w:start w:val="nil"/>
              <w:bottom w:val="nil"/>
              <w:end w:val="nil"/>
            </w:tcBorders>
            <w:shd w:val="clear" w:color="auto" w:fill="auto"/>
            <w:noWrap/>
            <w:vAlign w:val="bottom"/>
            <w:hideMark/>
          </w:tcPr>
          <w:p w14:paraId="0654A86E"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10 µg/mL</w:t>
            </w:r>
          </w:p>
        </w:tc>
        <w:tc>
          <w:tcPr>
            <w:tcW w:w="85.05pt" w:type="dxa"/>
            <w:tcBorders>
              <w:top w:val="nil"/>
              <w:start w:val="nil"/>
              <w:bottom w:val="nil"/>
              <w:end w:val="nil"/>
            </w:tcBorders>
            <w:shd w:val="clear" w:color="auto" w:fill="auto"/>
            <w:noWrap/>
            <w:vAlign w:val="bottom"/>
            <w:hideMark/>
          </w:tcPr>
          <w:p w14:paraId="78CE3F9A"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Flow cytometry</w:t>
            </w:r>
          </w:p>
        </w:tc>
        <w:tc>
          <w:tcPr>
            <w:tcW w:w="70.90pt" w:type="dxa"/>
            <w:tcBorders>
              <w:top w:val="nil"/>
              <w:start w:val="nil"/>
              <w:bottom w:val="nil"/>
              <w:end w:val="nil"/>
            </w:tcBorders>
            <w:shd w:val="clear" w:color="auto" w:fill="auto"/>
            <w:noWrap/>
            <w:vAlign w:val="bottom"/>
            <w:hideMark/>
          </w:tcPr>
          <w:p w14:paraId="1B6AE744"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#B92467</w:t>
            </w:r>
          </w:p>
        </w:tc>
        <w:tc>
          <w:tcPr>
            <w:tcW w:w="148.80pt" w:type="dxa"/>
            <w:tcBorders>
              <w:top w:val="nil"/>
              <w:start w:val="nil"/>
              <w:bottom w:val="nil"/>
              <w:end w:val="nil"/>
            </w:tcBorders>
            <w:shd w:val="clear" w:color="auto" w:fill="auto"/>
            <w:noWrap/>
            <w:vAlign w:val="bottom"/>
            <w:hideMark/>
          </w:tcPr>
          <w:p w14:paraId="6F36D9F7"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Beckman Coulter Life Sciences</w:t>
            </w:r>
          </w:p>
        </w:tc>
      </w:tr>
      <w:tr w:rsidR="00951998" w:rsidRPr="005243B1" w14:paraId="21FC28EC" w14:textId="77777777" w:rsidTr="007A6401">
        <w:trPr>
          <w:trHeight w:val="288"/>
        </w:trPr>
        <w:tc>
          <w:tcPr>
            <w:tcW w:w="63.80pt" w:type="dxa"/>
            <w:tcBorders>
              <w:top w:val="nil"/>
              <w:start w:val="nil"/>
              <w:bottom w:val="nil"/>
              <w:end w:val="nil"/>
            </w:tcBorders>
            <w:shd w:val="clear" w:color="auto" w:fill="auto"/>
            <w:noWrap/>
            <w:vAlign w:val="bottom"/>
            <w:hideMark/>
          </w:tcPr>
          <w:p w14:paraId="1FBFBE66"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CD63</w:t>
            </w:r>
          </w:p>
        </w:tc>
        <w:tc>
          <w:tcPr>
            <w:tcW w:w="85.05pt" w:type="dxa"/>
            <w:tcBorders>
              <w:top w:val="nil"/>
              <w:start w:val="nil"/>
              <w:bottom w:val="nil"/>
              <w:end w:val="nil"/>
            </w:tcBorders>
            <w:shd w:val="clear" w:color="auto" w:fill="auto"/>
            <w:noWrap/>
            <w:vAlign w:val="bottom"/>
            <w:hideMark/>
          </w:tcPr>
          <w:p w14:paraId="19F81471"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500 ng/mL</w:t>
            </w:r>
          </w:p>
        </w:tc>
        <w:tc>
          <w:tcPr>
            <w:tcW w:w="85.05pt" w:type="dxa"/>
            <w:tcBorders>
              <w:top w:val="nil"/>
              <w:start w:val="nil"/>
              <w:bottom w:val="nil"/>
              <w:end w:val="nil"/>
            </w:tcBorders>
            <w:shd w:val="clear" w:color="auto" w:fill="auto"/>
            <w:noWrap/>
            <w:vAlign w:val="bottom"/>
            <w:hideMark/>
          </w:tcPr>
          <w:p w14:paraId="5D34EE2B"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WB</w:t>
            </w:r>
          </w:p>
        </w:tc>
        <w:tc>
          <w:tcPr>
            <w:tcW w:w="70.90pt" w:type="dxa"/>
            <w:tcBorders>
              <w:top w:val="nil"/>
              <w:start w:val="nil"/>
              <w:bottom w:val="nil"/>
              <w:end w:val="nil"/>
            </w:tcBorders>
            <w:shd w:val="clear" w:color="auto" w:fill="auto"/>
            <w:noWrap/>
            <w:vAlign w:val="bottom"/>
            <w:hideMark/>
          </w:tcPr>
          <w:p w14:paraId="52A1CD86"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#10628D</w:t>
            </w:r>
          </w:p>
        </w:tc>
        <w:tc>
          <w:tcPr>
            <w:tcW w:w="148.80pt" w:type="dxa"/>
            <w:tcBorders>
              <w:top w:val="nil"/>
              <w:start w:val="nil"/>
              <w:bottom w:val="nil"/>
              <w:end w:val="nil"/>
            </w:tcBorders>
            <w:shd w:val="clear" w:color="auto" w:fill="auto"/>
            <w:noWrap/>
            <w:vAlign w:val="bottom"/>
            <w:hideMark/>
          </w:tcPr>
          <w:p w14:paraId="245668B8"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ThermoFisher Scientific</w:t>
            </w:r>
          </w:p>
        </w:tc>
      </w:tr>
      <w:tr w:rsidR="00951998" w:rsidRPr="005243B1" w14:paraId="3F738516" w14:textId="77777777" w:rsidTr="007A6401">
        <w:trPr>
          <w:trHeight w:val="288"/>
        </w:trPr>
        <w:tc>
          <w:tcPr>
            <w:tcW w:w="63.80pt" w:type="dxa"/>
            <w:tcBorders>
              <w:top w:val="nil"/>
              <w:start w:val="nil"/>
              <w:bottom w:val="nil"/>
              <w:end w:val="nil"/>
            </w:tcBorders>
            <w:shd w:val="clear" w:color="auto" w:fill="auto"/>
            <w:noWrap/>
            <w:vAlign w:val="bottom"/>
            <w:hideMark/>
          </w:tcPr>
          <w:p w14:paraId="61BAA38C"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CD81</w:t>
            </w:r>
          </w:p>
        </w:tc>
        <w:tc>
          <w:tcPr>
            <w:tcW w:w="85.05pt" w:type="dxa"/>
            <w:tcBorders>
              <w:top w:val="nil"/>
              <w:start w:val="nil"/>
              <w:bottom w:val="nil"/>
              <w:end w:val="nil"/>
            </w:tcBorders>
            <w:shd w:val="clear" w:color="auto" w:fill="auto"/>
            <w:noWrap/>
            <w:vAlign w:val="bottom"/>
            <w:hideMark/>
          </w:tcPr>
          <w:p w14:paraId="50212C71"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10 µg/mL</w:t>
            </w:r>
          </w:p>
        </w:tc>
        <w:tc>
          <w:tcPr>
            <w:tcW w:w="85.05pt" w:type="dxa"/>
            <w:tcBorders>
              <w:top w:val="nil"/>
              <w:start w:val="nil"/>
              <w:bottom w:val="nil"/>
              <w:end w:val="nil"/>
            </w:tcBorders>
            <w:shd w:val="clear" w:color="auto" w:fill="auto"/>
            <w:noWrap/>
            <w:vAlign w:val="bottom"/>
            <w:hideMark/>
          </w:tcPr>
          <w:p w14:paraId="23B2CB30"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Flow cytometry</w:t>
            </w:r>
          </w:p>
        </w:tc>
        <w:tc>
          <w:tcPr>
            <w:tcW w:w="70.90pt" w:type="dxa"/>
            <w:tcBorders>
              <w:top w:val="nil"/>
              <w:start w:val="nil"/>
              <w:bottom w:val="nil"/>
              <w:end w:val="nil"/>
            </w:tcBorders>
            <w:shd w:val="clear" w:color="auto" w:fill="auto"/>
            <w:noWrap/>
            <w:vAlign w:val="bottom"/>
            <w:hideMark/>
          </w:tcPr>
          <w:p w14:paraId="1D29A5A4"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#B25329</w:t>
            </w:r>
          </w:p>
        </w:tc>
        <w:tc>
          <w:tcPr>
            <w:tcW w:w="148.80pt" w:type="dxa"/>
            <w:tcBorders>
              <w:top w:val="nil"/>
              <w:start w:val="nil"/>
              <w:bottom w:val="nil"/>
              <w:end w:val="nil"/>
            </w:tcBorders>
            <w:shd w:val="clear" w:color="auto" w:fill="auto"/>
            <w:noWrap/>
            <w:vAlign w:val="bottom"/>
            <w:hideMark/>
          </w:tcPr>
          <w:p w14:paraId="61C436B4"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Beckman Coulter Life Sciences</w:t>
            </w:r>
          </w:p>
        </w:tc>
      </w:tr>
      <w:tr w:rsidR="00951998" w:rsidRPr="005243B1" w14:paraId="6A3AEFF0" w14:textId="77777777" w:rsidTr="007A6401">
        <w:trPr>
          <w:trHeight w:val="288"/>
        </w:trPr>
        <w:tc>
          <w:tcPr>
            <w:tcW w:w="63.80pt" w:type="dxa"/>
            <w:tcBorders>
              <w:top w:val="nil"/>
              <w:start w:val="nil"/>
              <w:bottom w:val="nil"/>
              <w:end w:val="nil"/>
            </w:tcBorders>
            <w:shd w:val="clear" w:color="auto" w:fill="auto"/>
            <w:noWrap/>
            <w:vAlign w:val="bottom"/>
            <w:hideMark/>
          </w:tcPr>
          <w:p w14:paraId="4DC573D5"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CD9</w:t>
            </w:r>
          </w:p>
        </w:tc>
        <w:tc>
          <w:tcPr>
            <w:tcW w:w="85.05pt" w:type="dxa"/>
            <w:tcBorders>
              <w:top w:val="nil"/>
              <w:start w:val="nil"/>
              <w:bottom w:val="nil"/>
              <w:end w:val="nil"/>
            </w:tcBorders>
            <w:shd w:val="clear" w:color="auto" w:fill="auto"/>
            <w:noWrap/>
            <w:vAlign w:val="bottom"/>
            <w:hideMark/>
          </w:tcPr>
          <w:p w14:paraId="2AF9A03A"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500 ng/mL</w:t>
            </w:r>
          </w:p>
        </w:tc>
        <w:tc>
          <w:tcPr>
            <w:tcW w:w="85.05pt" w:type="dxa"/>
            <w:tcBorders>
              <w:top w:val="nil"/>
              <w:start w:val="nil"/>
              <w:bottom w:val="nil"/>
              <w:end w:val="nil"/>
            </w:tcBorders>
            <w:shd w:val="clear" w:color="auto" w:fill="auto"/>
            <w:noWrap/>
            <w:vAlign w:val="bottom"/>
            <w:hideMark/>
          </w:tcPr>
          <w:p w14:paraId="45848F7C"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WB</w:t>
            </w:r>
          </w:p>
        </w:tc>
        <w:tc>
          <w:tcPr>
            <w:tcW w:w="70.90pt" w:type="dxa"/>
            <w:tcBorders>
              <w:top w:val="nil"/>
              <w:start w:val="nil"/>
              <w:bottom w:val="nil"/>
              <w:end w:val="nil"/>
            </w:tcBorders>
            <w:shd w:val="clear" w:color="auto" w:fill="auto"/>
            <w:noWrap/>
            <w:vAlign w:val="bottom"/>
            <w:hideMark/>
          </w:tcPr>
          <w:p w14:paraId="09816DA7"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#10626D</w:t>
            </w:r>
          </w:p>
        </w:tc>
        <w:tc>
          <w:tcPr>
            <w:tcW w:w="148.80pt" w:type="dxa"/>
            <w:tcBorders>
              <w:top w:val="nil"/>
              <w:start w:val="nil"/>
              <w:bottom w:val="nil"/>
              <w:end w:val="nil"/>
            </w:tcBorders>
            <w:shd w:val="clear" w:color="auto" w:fill="auto"/>
            <w:noWrap/>
            <w:vAlign w:val="bottom"/>
            <w:hideMark/>
          </w:tcPr>
          <w:p w14:paraId="45585ED5"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ThermoFisher Scientific</w:t>
            </w:r>
          </w:p>
        </w:tc>
      </w:tr>
      <w:tr w:rsidR="00951998" w:rsidRPr="005243B1" w14:paraId="772B347C" w14:textId="77777777" w:rsidTr="007A6401">
        <w:trPr>
          <w:trHeight w:val="288"/>
        </w:trPr>
        <w:tc>
          <w:tcPr>
            <w:tcW w:w="63.80pt" w:type="dxa"/>
            <w:tcBorders>
              <w:top w:val="nil"/>
              <w:start w:val="nil"/>
              <w:bottom w:val="nil"/>
              <w:end w:val="nil"/>
            </w:tcBorders>
            <w:shd w:val="clear" w:color="auto" w:fill="auto"/>
            <w:noWrap/>
            <w:vAlign w:val="bottom"/>
            <w:hideMark/>
          </w:tcPr>
          <w:p w14:paraId="7213ACDE"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CD9</w:t>
            </w:r>
          </w:p>
        </w:tc>
        <w:tc>
          <w:tcPr>
            <w:tcW w:w="85.05pt" w:type="dxa"/>
            <w:tcBorders>
              <w:top w:val="nil"/>
              <w:start w:val="nil"/>
              <w:bottom w:val="nil"/>
              <w:end w:val="nil"/>
            </w:tcBorders>
            <w:shd w:val="clear" w:color="auto" w:fill="auto"/>
            <w:noWrap/>
            <w:vAlign w:val="bottom"/>
            <w:hideMark/>
          </w:tcPr>
          <w:p w14:paraId="77DBA2F4"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10 µg/mL</w:t>
            </w:r>
          </w:p>
        </w:tc>
        <w:tc>
          <w:tcPr>
            <w:tcW w:w="85.05pt" w:type="dxa"/>
            <w:tcBorders>
              <w:top w:val="nil"/>
              <w:start w:val="nil"/>
              <w:bottom w:val="nil"/>
              <w:end w:val="nil"/>
            </w:tcBorders>
            <w:shd w:val="clear" w:color="auto" w:fill="auto"/>
            <w:noWrap/>
            <w:vAlign w:val="bottom"/>
            <w:hideMark/>
          </w:tcPr>
          <w:p w14:paraId="40075078"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Flow cytometry</w:t>
            </w:r>
          </w:p>
        </w:tc>
        <w:tc>
          <w:tcPr>
            <w:tcW w:w="70.90pt" w:type="dxa"/>
            <w:tcBorders>
              <w:top w:val="nil"/>
              <w:start w:val="nil"/>
              <w:bottom w:val="nil"/>
              <w:end w:val="nil"/>
            </w:tcBorders>
            <w:shd w:val="clear" w:color="auto" w:fill="auto"/>
            <w:noWrap/>
            <w:vAlign w:val="bottom"/>
            <w:hideMark/>
          </w:tcPr>
          <w:p w14:paraId="73A6DFBC"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#IM1755U</w:t>
            </w:r>
          </w:p>
        </w:tc>
        <w:tc>
          <w:tcPr>
            <w:tcW w:w="148.80pt" w:type="dxa"/>
            <w:tcBorders>
              <w:top w:val="nil"/>
              <w:start w:val="nil"/>
              <w:bottom w:val="nil"/>
              <w:end w:val="nil"/>
            </w:tcBorders>
            <w:shd w:val="clear" w:color="auto" w:fill="auto"/>
            <w:noWrap/>
            <w:vAlign w:val="bottom"/>
            <w:hideMark/>
          </w:tcPr>
          <w:p w14:paraId="63E22ED3"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Beckman Coulter Life Sciences</w:t>
            </w:r>
          </w:p>
        </w:tc>
      </w:tr>
      <w:tr w:rsidR="00951998" w:rsidRPr="005243B1" w14:paraId="7804ADA4" w14:textId="77777777" w:rsidTr="007A6401">
        <w:trPr>
          <w:trHeight w:val="288"/>
        </w:trPr>
        <w:tc>
          <w:tcPr>
            <w:tcW w:w="63.80pt" w:type="dxa"/>
            <w:tcBorders>
              <w:top w:val="nil"/>
              <w:start w:val="nil"/>
              <w:bottom w:val="nil"/>
              <w:end w:val="nil"/>
            </w:tcBorders>
            <w:shd w:val="clear" w:color="auto" w:fill="auto"/>
            <w:noWrap/>
            <w:vAlign w:val="bottom"/>
            <w:hideMark/>
          </w:tcPr>
          <w:p w14:paraId="4F895F19"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GAPDH</w:t>
            </w:r>
          </w:p>
        </w:tc>
        <w:tc>
          <w:tcPr>
            <w:tcW w:w="85.05pt" w:type="dxa"/>
            <w:tcBorders>
              <w:top w:val="nil"/>
              <w:start w:val="nil"/>
              <w:bottom w:val="nil"/>
              <w:end w:val="nil"/>
            </w:tcBorders>
            <w:shd w:val="clear" w:color="auto" w:fill="auto"/>
            <w:noWrap/>
            <w:vAlign w:val="bottom"/>
            <w:hideMark/>
          </w:tcPr>
          <w:p w14:paraId="64122B34"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35 ng/mL</w:t>
            </w:r>
          </w:p>
        </w:tc>
        <w:tc>
          <w:tcPr>
            <w:tcW w:w="85.05pt" w:type="dxa"/>
            <w:tcBorders>
              <w:top w:val="nil"/>
              <w:start w:val="nil"/>
              <w:bottom w:val="nil"/>
              <w:end w:val="nil"/>
            </w:tcBorders>
            <w:shd w:val="clear" w:color="auto" w:fill="auto"/>
            <w:noWrap/>
            <w:vAlign w:val="bottom"/>
            <w:hideMark/>
          </w:tcPr>
          <w:p w14:paraId="28106407"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WB</w:t>
            </w:r>
          </w:p>
        </w:tc>
        <w:tc>
          <w:tcPr>
            <w:tcW w:w="70.90pt" w:type="dxa"/>
            <w:tcBorders>
              <w:top w:val="nil"/>
              <w:start w:val="nil"/>
              <w:bottom w:val="nil"/>
              <w:end w:val="nil"/>
            </w:tcBorders>
            <w:shd w:val="clear" w:color="auto" w:fill="auto"/>
            <w:noWrap/>
            <w:vAlign w:val="bottom"/>
            <w:hideMark/>
          </w:tcPr>
          <w:p w14:paraId="17DA16DE"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#5174</w:t>
            </w:r>
          </w:p>
        </w:tc>
        <w:tc>
          <w:tcPr>
            <w:tcW w:w="148.80pt" w:type="dxa"/>
            <w:tcBorders>
              <w:top w:val="nil"/>
              <w:start w:val="nil"/>
              <w:bottom w:val="nil"/>
              <w:end w:val="nil"/>
            </w:tcBorders>
            <w:shd w:val="clear" w:color="auto" w:fill="auto"/>
            <w:noWrap/>
            <w:vAlign w:val="bottom"/>
            <w:hideMark/>
          </w:tcPr>
          <w:p w14:paraId="24AC1093"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Cell Signaling Technology</w:t>
            </w:r>
          </w:p>
        </w:tc>
      </w:tr>
      <w:tr w:rsidR="00951998" w:rsidRPr="005243B1" w14:paraId="2ADE5EA0" w14:textId="77777777" w:rsidTr="007A6401">
        <w:trPr>
          <w:trHeight w:val="288"/>
        </w:trPr>
        <w:tc>
          <w:tcPr>
            <w:tcW w:w="63.80pt" w:type="dxa"/>
            <w:tcBorders>
              <w:top w:val="nil"/>
              <w:start w:val="nil"/>
              <w:bottom w:val="nil"/>
              <w:end w:val="nil"/>
            </w:tcBorders>
            <w:shd w:val="clear" w:color="auto" w:fill="auto"/>
            <w:noWrap/>
            <w:vAlign w:val="bottom"/>
            <w:hideMark/>
          </w:tcPr>
          <w:p w14:paraId="66866F67"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GRP94</w:t>
            </w:r>
          </w:p>
        </w:tc>
        <w:tc>
          <w:tcPr>
            <w:tcW w:w="85.05pt" w:type="dxa"/>
            <w:tcBorders>
              <w:top w:val="nil"/>
              <w:start w:val="nil"/>
              <w:bottom w:val="nil"/>
              <w:end w:val="nil"/>
            </w:tcBorders>
            <w:shd w:val="clear" w:color="auto" w:fill="auto"/>
            <w:noWrap/>
            <w:vAlign w:val="bottom"/>
            <w:hideMark/>
          </w:tcPr>
          <w:p w14:paraId="4E6CA1F3"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1:1000 dilution</w:t>
            </w:r>
          </w:p>
        </w:tc>
        <w:tc>
          <w:tcPr>
            <w:tcW w:w="85.05pt" w:type="dxa"/>
            <w:tcBorders>
              <w:top w:val="nil"/>
              <w:start w:val="nil"/>
              <w:bottom w:val="nil"/>
              <w:end w:val="nil"/>
            </w:tcBorders>
            <w:shd w:val="clear" w:color="auto" w:fill="auto"/>
            <w:noWrap/>
            <w:vAlign w:val="bottom"/>
            <w:hideMark/>
          </w:tcPr>
          <w:p w14:paraId="388DD7D2"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WB</w:t>
            </w:r>
          </w:p>
        </w:tc>
        <w:tc>
          <w:tcPr>
            <w:tcW w:w="70.90pt" w:type="dxa"/>
            <w:tcBorders>
              <w:top w:val="nil"/>
              <w:start w:val="nil"/>
              <w:bottom w:val="nil"/>
              <w:end w:val="nil"/>
            </w:tcBorders>
            <w:shd w:val="clear" w:color="auto" w:fill="auto"/>
            <w:noWrap/>
            <w:vAlign w:val="bottom"/>
            <w:hideMark/>
          </w:tcPr>
          <w:p w14:paraId="349D6663"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#2104</w:t>
            </w:r>
          </w:p>
        </w:tc>
        <w:tc>
          <w:tcPr>
            <w:tcW w:w="148.80pt" w:type="dxa"/>
            <w:tcBorders>
              <w:top w:val="nil"/>
              <w:start w:val="nil"/>
              <w:bottom w:val="nil"/>
              <w:end w:val="nil"/>
            </w:tcBorders>
            <w:shd w:val="clear" w:color="auto" w:fill="auto"/>
            <w:noWrap/>
            <w:vAlign w:val="bottom"/>
            <w:hideMark/>
          </w:tcPr>
          <w:p w14:paraId="156DA84D"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Cell Signaling Technology</w:t>
            </w:r>
          </w:p>
        </w:tc>
      </w:tr>
      <w:tr w:rsidR="00951998" w:rsidRPr="00864706" w14:paraId="37F07486" w14:textId="77777777" w:rsidTr="007A6401">
        <w:trPr>
          <w:trHeight w:val="288"/>
        </w:trPr>
        <w:tc>
          <w:tcPr>
            <w:tcW w:w="63.80pt" w:type="dxa"/>
            <w:tcBorders>
              <w:top w:val="nil"/>
              <w:start w:val="nil"/>
              <w:bottom w:val="nil"/>
              <w:end w:val="nil"/>
            </w:tcBorders>
            <w:shd w:val="clear" w:color="auto" w:fill="auto"/>
            <w:noWrap/>
            <w:vAlign w:val="bottom"/>
            <w:hideMark/>
          </w:tcPr>
          <w:p w14:paraId="2FE0F2FF"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IV.3</w:t>
            </w:r>
          </w:p>
        </w:tc>
        <w:tc>
          <w:tcPr>
            <w:tcW w:w="85.05pt" w:type="dxa"/>
            <w:tcBorders>
              <w:top w:val="nil"/>
              <w:start w:val="nil"/>
              <w:bottom w:val="nil"/>
              <w:end w:val="nil"/>
            </w:tcBorders>
            <w:shd w:val="clear" w:color="auto" w:fill="auto"/>
            <w:noWrap/>
            <w:vAlign w:val="bottom"/>
            <w:hideMark/>
          </w:tcPr>
          <w:p w14:paraId="63D6F66E"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300 ng/mL</w:t>
            </w:r>
          </w:p>
        </w:tc>
        <w:tc>
          <w:tcPr>
            <w:tcW w:w="85.05pt" w:type="dxa"/>
            <w:tcBorders>
              <w:top w:val="nil"/>
              <w:start w:val="nil"/>
              <w:bottom w:val="nil"/>
              <w:end w:val="nil"/>
            </w:tcBorders>
            <w:shd w:val="clear" w:color="auto" w:fill="auto"/>
            <w:noWrap/>
            <w:vAlign w:val="bottom"/>
            <w:hideMark/>
          </w:tcPr>
          <w:p w14:paraId="48B8B2FA"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Aggregometry</w:t>
            </w:r>
          </w:p>
        </w:tc>
        <w:tc>
          <w:tcPr>
            <w:tcW w:w="70.90pt" w:type="dxa"/>
            <w:tcBorders>
              <w:top w:val="nil"/>
              <w:start w:val="nil"/>
              <w:bottom w:val="nil"/>
              <w:end w:val="nil"/>
            </w:tcBorders>
            <w:shd w:val="clear" w:color="auto" w:fill="auto"/>
            <w:noWrap/>
            <w:vAlign w:val="bottom"/>
            <w:hideMark/>
          </w:tcPr>
          <w:p w14:paraId="70B6F290" w14:textId="77777777" w:rsidR="00951998" w:rsidRPr="005243B1" w:rsidRDefault="00951998" w:rsidP="007A6401">
            <w:pPr>
              <w:spacing w:after="0pt" w:line="12pt" w:lineRule="auto"/>
              <w:jc w:val="center"/>
              <w:rPr>
                <w:rFonts w:eastAsia="Times New Roman" w:cs="Times New Roman"/>
                <w:color w:val="000000"/>
                <w:lang w:eastAsia="de-DE"/>
              </w:rPr>
            </w:pPr>
          </w:p>
        </w:tc>
        <w:tc>
          <w:tcPr>
            <w:tcW w:w="148.80pt" w:type="dxa"/>
            <w:tcBorders>
              <w:top w:val="nil"/>
              <w:start w:val="nil"/>
              <w:bottom w:val="nil"/>
              <w:end w:val="nil"/>
            </w:tcBorders>
            <w:shd w:val="clear" w:color="auto" w:fill="auto"/>
            <w:noWrap/>
            <w:vAlign w:val="bottom"/>
            <w:hideMark/>
          </w:tcPr>
          <w:p w14:paraId="35848509" w14:textId="77777777" w:rsidR="00951998" w:rsidRPr="00864706" w:rsidRDefault="00951998" w:rsidP="007A6401">
            <w:pPr>
              <w:spacing w:after="0pt" w:line="12pt" w:lineRule="auto"/>
              <w:rPr>
                <w:rFonts w:eastAsia="Times New Roman" w:cs="Times New Roman"/>
                <w:color w:val="000000"/>
                <w:lang w:eastAsia="de-DE"/>
              </w:rPr>
            </w:pPr>
            <w:r w:rsidRPr="00864706">
              <w:rPr>
                <w:rFonts w:cs="Times New Roman"/>
                <w:lang w:val="en-US" w:eastAsia="de-DE"/>
              </w:rPr>
              <w:t>provided by Ronald Taylor</w:t>
            </w:r>
          </w:p>
        </w:tc>
      </w:tr>
      <w:tr w:rsidR="00951998" w:rsidRPr="005243B1" w14:paraId="7F568ED9" w14:textId="77777777" w:rsidTr="007A6401">
        <w:trPr>
          <w:trHeight w:val="288"/>
        </w:trPr>
        <w:tc>
          <w:tcPr>
            <w:tcW w:w="63.80pt" w:type="dxa"/>
            <w:tcBorders>
              <w:top w:val="nil"/>
              <w:start w:val="nil"/>
              <w:bottom w:val="nil"/>
              <w:end w:val="nil"/>
            </w:tcBorders>
            <w:shd w:val="clear" w:color="auto" w:fill="auto"/>
            <w:noWrap/>
            <w:vAlign w:val="bottom"/>
            <w:hideMark/>
          </w:tcPr>
          <w:p w14:paraId="1EB312BF" w14:textId="77777777" w:rsidR="00951998" w:rsidRPr="005243B1" w:rsidRDefault="00951998" w:rsidP="007A6401">
            <w:pPr>
              <w:spacing w:after="0pt" w:line="12pt" w:lineRule="auto"/>
              <w:rPr>
                <w:rFonts w:eastAsia="Times New Roman" w:cs="Times New Roman"/>
                <w:b/>
                <w:color w:val="000000"/>
                <w:lang w:eastAsia="de-DE"/>
              </w:rPr>
            </w:pPr>
            <w:r w:rsidRPr="005243B1">
              <w:rPr>
                <w:rFonts w:eastAsia="Times New Roman" w:cs="Times New Roman"/>
                <w:b/>
                <w:color w:val="000000"/>
                <w:lang w:eastAsia="de-DE"/>
              </w:rPr>
              <w:t>TSG101</w:t>
            </w:r>
          </w:p>
        </w:tc>
        <w:tc>
          <w:tcPr>
            <w:tcW w:w="85.05pt" w:type="dxa"/>
            <w:tcBorders>
              <w:top w:val="nil"/>
              <w:start w:val="nil"/>
              <w:bottom w:val="nil"/>
              <w:end w:val="nil"/>
            </w:tcBorders>
            <w:shd w:val="clear" w:color="auto" w:fill="auto"/>
            <w:noWrap/>
            <w:vAlign w:val="bottom"/>
            <w:hideMark/>
          </w:tcPr>
          <w:p w14:paraId="56E2E999"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3 µg/mL</w:t>
            </w:r>
          </w:p>
        </w:tc>
        <w:tc>
          <w:tcPr>
            <w:tcW w:w="85.05pt" w:type="dxa"/>
            <w:tcBorders>
              <w:top w:val="nil"/>
              <w:start w:val="nil"/>
              <w:bottom w:val="nil"/>
              <w:end w:val="nil"/>
            </w:tcBorders>
            <w:shd w:val="clear" w:color="auto" w:fill="auto"/>
            <w:noWrap/>
            <w:vAlign w:val="bottom"/>
            <w:hideMark/>
          </w:tcPr>
          <w:p w14:paraId="5A2885F8"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WB</w:t>
            </w:r>
          </w:p>
        </w:tc>
        <w:tc>
          <w:tcPr>
            <w:tcW w:w="70.90pt" w:type="dxa"/>
            <w:tcBorders>
              <w:top w:val="nil"/>
              <w:start w:val="nil"/>
              <w:bottom w:val="nil"/>
              <w:end w:val="nil"/>
            </w:tcBorders>
            <w:shd w:val="clear" w:color="auto" w:fill="auto"/>
            <w:noWrap/>
            <w:vAlign w:val="bottom"/>
            <w:hideMark/>
          </w:tcPr>
          <w:p w14:paraId="5FA870CE" w14:textId="77777777" w:rsidR="00951998" w:rsidRPr="005243B1" w:rsidRDefault="00951998" w:rsidP="007A6401">
            <w:pPr>
              <w:spacing w:after="0pt" w:line="12pt" w:lineRule="auto"/>
              <w:jc w:val="center"/>
              <w:rPr>
                <w:rFonts w:eastAsia="Times New Roman" w:cs="Times New Roman"/>
                <w:color w:val="000000"/>
                <w:lang w:eastAsia="de-DE"/>
              </w:rPr>
            </w:pPr>
            <w:r w:rsidRPr="005243B1">
              <w:rPr>
                <w:rFonts w:eastAsia="Times New Roman" w:cs="Times New Roman"/>
                <w:color w:val="000000"/>
                <w:lang w:eastAsia="de-DE"/>
              </w:rPr>
              <w:t>#MA5-32463</w:t>
            </w:r>
          </w:p>
        </w:tc>
        <w:tc>
          <w:tcPr>
            <w:tcW w:w="148.80pt" w:type="dxa"/>
            <w:tcBorders>
              <w:top w:val="nil"/>
              <w:start w:val="nil"/>
              <w:bottom w:val="nil"/>
              <w:end w:val="nil"/>
            </w:tcBorders>
            <w:shd w:val="clear" w:color="auto" w:fill="auto"/>
            <w:noWrap/>
            <w:vAlign w:val="bottom"/>
            <w:hideMark/>
          </w:tcPr>
          <w:p w14:paraId="5BFC7663" w14:textId="77777777" w:rsidR="00951998" w:rsidRPr="005243B1" w:rsidRDefault="00951998" w:rsidP="007A6401">
            <w:pPr>
              <w:spacing w:after="0pt" w:line="12pt" w:lineRule="auto"/>
              <w:rPr>
                <w:rFonts w:eastAsia="Times New Roman" w:cs="Times New Roman"/>
                <w:color w:val="000000"/>
                <w:lang w:eastAsia="de-DE"/>
              </w:rPr>
            </w:pPr>
            <w:r w:rsidRPr="005243B1">
              <w:rPr>
                <w:rFonts w:eastAsia="Times New Roman" w:cs="Times New Roman"/>
                <w:color w:val="000000"/>
                <w:lang w:eastAsia="de-DE"/>
              </w:rPr>
              <w:t>ThermoFisher Scientific</w:t>
            </w:r>
          </w:p>
        </w:tc>
      </w:tr>
    </w:tbl>
    <w:p w14:paraId="36B327B3" w14:textId="77777777" w:rsidR="00951998" w:rsidRPr="00166B3C" w:rsidRDefault="00951998" w:rsidP="00951998">
      <w:pPr>
        <w:jc w:val="both"/>
        <w:rPr>
          <w:rFonts w:cs="Times New Roman"/>
          <w:bCs/>
          <w:lang w:val="en-US"/>
        </w:rPr>
      </w:pPr>
    </w:p>
    <w:p w14:paraId="1206C417" w14:textId="77777777" w:rsidR="00951998" w:rsidRPr="00EE1EB8" w:rsidRDefault="00951998" w:rsidP="00951998">
      <w:pPr>
        <w:jc w:val="both"/>
        <w:rPr>
          <w:rFonts w:cs="Times New Roman"/>
          <w:lang w:val="en-US"/>
        </w:rPr>
      </w:pPr>
      <w:r>
        <w:rPr>
          <w:rFonts w:cs="Times New Roman"/>
          <w:b/>
          <w:bCs/>
          <w:lang w:val="en-US"/>
        </w:rPr>
        <w:t>Table S2</w:t>
      </w:r>
      <w:r w:rsidRPr="00EE1EB8">
        <w:rPr>
          <w:rFonts w:cs="Times New Roman"/>
          <w:b/>
          <w:bCs/>
          <w:lang w:val="en-US"/>
        </w:rPr>
        <w:t>.</w:t>
      </w:r>
      <w:r w:rsidRPr="00EE1EB8">
        <w:rPr>
          <w:rFonts w:cs="Times New Roman"/>
          <w:lang w:val="en-US"/>
        </w:rPr>
        <w:t xml:space="preserve"> </w:t>
      </w:r>
      <w:r w:rsidRPr="0074541E">
        <w:rPr>
          <w:rFonts w:cs="Times New Roman"/>
          <w:b/>
          <w:lang w:val="en-US"/>
        </w:rPr>
        <w:t xml:space="preserve">All proteins identified in SAS </w:t>
      </w:r>
      <w:r>
        <w:rPr>
          <w:rFonts w:cs="Times New Roman"/>
          <w:b/>
          <w:lang w:val="en-US"/>
        </w:rPr>
        <w:t>EV</w:t>
      </w:r>
      <w:r w:rsidRPr="0074541E">
        <w:rPr>
          <w:rFonts w:cs="Times New Roman"/>
          <w:b/>
          <w:lang w:val="en-US"/>
        </w:rPr>
        <w:t xml:space="preserve"> proteomics.</w:t>
      </w:r>
      <w:r w:rsidRPr="00EE1EB8">
        <w:rPr>
          <w:rFonts w:cs="Times New Roman"/>
          <w:lang w:val="en-US"/>
        </w:rPr>
        <w:t xml:space="preserve"> The proteins in bold were identified with at least two unique peptides and detected in four out of five replicates.</w:t>
      </w:r>
    </w:p>
    <w:p w14:paraId="289D5377" w14:textId="77777777" w:rsidR="00951998" w:rsidRDefault="00951998" w:rsidP="00951998">
      <w:pPr>
        <w:rPr>
          <w:rFonts w:cs="Times New Roman"/>
          <w:b/>
          <w:lang w:val="en-US"/>
        </w:rPr>
      </w:pPr>
      <w:r w:rsidRPr="00EE1EB8">
        <w:rPr>
          <w:rFonts w:cs="Times New Roman"/>
          <w:b/>
          <w:bCs/>
          <w:lang w:val="en-US"/>
        </w:rPr>
        <w:t>Table S</w:t>
      </w:r>
      <w:r>
        <w:rPr>
          <w:rFonts w:cs="Times New Roman"/>
          <w:b/>
          <w:bCs/>
          <w:lang w:val="en-US"/>
        </w:rPr>
        <w:t>3</w:t>
      </w:r>
      <w:r w:rsidRPr="00EE1EB8">
        <w:rPr>
          <w:rFonts w:cs="Times New Roman"/>
          <w:b/>
          <w:bCs/>
          <w:lang w:val="en-US"/>
        </w:rPr>
        <w:t>.</w:t>
      </w:r>
      <w:r w:rsidRPr="00EE1EB8">
        <w:rPr>
          <w:rFonts w:cs="Times New Roman"/>
          <w:lang w:val="en-US"/>
        </w:rPr>
        <w:t xml:space="preserve"> </w:t>
      </w:r>
      <w:r w:rsidRPr="0074541E">
        <w:rPr>
          <w:rFonts w:cs="Times New Roman"/>
          <w:b/>
          <w:lang w:val="en-US"/>
        </w:rPr>
        <w:t>The top enriched pathways ranked by -log10(p-value) and the related proteins.</w:t>
      </w:r>
    </w:p>
    <w:p w14:paraId="31F6CFCA" w14:textId="77777777" w:rsidR="00A91650" w:rsidRDefault="00A91650"/>
    <w:p w14:paraId="35C4E623" w14:textId="77777777" w:rsidR="004F2FDA" w:rsidRDefault="004F2FDA" w:rsidP="004F2FDA">
      <w:pPr>
        <w:keepNext/>
      </w:pPr>
      <w:r>
        <w:rPr>
          <w:rFonts w:cs="Times New Roman"/>
          <w:b/>
          <w:noProof/>
          <w:lang w:val="en-US"/>
        </w:rPr>
        <w:lastRenderedPageBreak/>
        <w:drawing>
          <wp:inline distT="0" distB="0" distL="0" distR="0" wp14:anchorId="55EEF248" wp14:editId="089CBECB">
            <wp:extent cx="5762625" cy="5996763"/>
            <wp:effectExtent l="0" t="0" r="0" b="0"/>
            <wp:docPr id="12" name="Grafik 12" descr="A screenshot of a computer game&#10;&#10;AI-generated content may be incorrect."/>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2" name="Grafik 12" descr="A screenshot of a computer game&#10;&#10;AI-generated content may be incorrect."/>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33.411%"/>
                    <a:stretch/>
                  </pic:blipFill>
                  <pic:spPr bwMode="auto">
                    <a:xfrm>
                      <a:off x="0" y="0"/>
                      <a:ext cx="5762625" cy="5996763"/>
                    </a:xfrm>
                    <a:prstGeom prst="rect">
                      <a:avLst/>
                    </a:prstGeom>
                    <a:noFill/>
                    <a:ln>
                      <a:noFill/>
                    </a:ln>
                    <a:extLst>
                      <a:ext uri="{53640926-AAD7-44D8-BBD7-CCE9431645EC}">
                        <a14:shadowObscured xmlns:a14="http://schemas.microsoft.com/office/drawing/2010/main"/>
                      </a:ext>
                    </a:extLst>
                  </pic:spPr>
                </pic:pic>
              </a:graphicData>
            </a:graphic>
          </wp:inline>
        </w:drawing>
      </w:r>
    </w:p>
    <w:p w14:paraId="5DBDA07C" w14:textId="77777777" w:rsidR="004F2FDA" w:rsidRPr="00973DD9" w:rsidRDefault="004F2FDA" w:rsidP="004F2FDA">
      <w:pPr>
        <w:jc w:val="both"/>
        <w:rPr>
          <w:rFonts w:cs="Times New Roman"/>
          <w:sz w:val="20"/>
          <w:szCs w:val="20"/>
          <w:lang w:val="en-US"/>
        </w:rPr>
      </w:pPr>
      <w:r w:rsidRPr="00FE0355">
        <w:rPr>
          <w:b/>
          <w:sz w:val="20"/>
          <w:lang w:val="en-US"/>
        </w:rPr>
        <w:t>Figure S</w:t>
      </w:r>
      <w:r w:rsidRPr="00FE0355">
        <w:rPr>
          <w:b/>
          <w:sz w:val="20"/>
        </w:rPr>
        <w:fldChar w:fldCharType="begin"/>
      </w:r>
      <w:r w:rsidRPr="00FE0355">
        <w:rPr>
          <w:b/>
          <w:sz w:val="20"/>
          <w:lang w:val="en-US"/>
        </w:rPr>
        <w:instrText xml:space="preserve"> SEQ Figure_S \* ARABIC </w:instrText>
      </w:r>
      <w:r w:rsidRPr="00FE0355">
        <w:rPr>
          <w:b/>
          <w:sz w:val="20"/>
        </w:rPr>
        <w:fldChar w:fldCharType="separate"/>
      </w:r>
      <w:r w:rsidRPr="00FE0355">
        <w:rPr>
          <w:b/>
          <w:noProof/>
          <w:sz w:val="20"/>
          <w:lang w:val="en-US"/>
        </w:rPr>
        <w:t>1</w:t>
      </w:r>
      <w:r w:rsidRPr="00FE0355">
        <w:rPr>
          <w:b/>
          <w:sz w:val="20"/>
        </w:rPr>
        <w:fldChar w:fldCharType="end"/>
      </w:r>
      <w:r w:rsidRPr="002339E9">
        <w:rPr>
          <w:b/>
          <w:sz w:val="20"/>
          <w:lang w:val="en-US"/>
        </w:rPr>
        <w:t>.</w:t>
      </w:r>
      <w:r w:rsidRPr="00FE0355">
        <w:rPr>
          <w:rFonts w:cs="Times New Roman"/>
          <w:b/>
          <w:bCs/>
          <w:sz w:val="20"/>
          <w:lang w:val="en-US"/>
        </w:rPr>
        <w:t xml:space="preserve"> Ca²⁺-dependent platelet activation and aggregation induced by HNSCC-derived EVs.</w:t>
      </w:r>
      <w:r w:rsidRPr="00FE0355">
        <w:rPr>
          <w:rFonts w:cs="Times New Roman"/>
          <w:sz w:val="20"/>
          <w:lang w:val="en-US"/>
        </w:rPr>
        <w:t xml:space="preserve"> </w:t>
      </w:r>
      <w:r w:rsidRPr="00FE0355">
        <w:rPr>
          <w:rFonts w:cs="Times New Roman"/>
          <w:b/>
          <w:bCs/>
          <w:sz w:val="20"/>
          <w:lang w:val="en-US"/>
        </w:rPr>
        <w:t>(A)</w:t>
      </w:r>
      <w:r>
        <w:rPr>
          <w:rFonts w:cs="Times New Roman"/>
          <w:sz w:val="20"/>
          <w:lang w:val="en-US"/>
        </w:rPr>
        <w:t xml:space="preserve"> </w:t>
      </w:r>
      <w:r w:rsidRPr="00FE0355">
        <w:rPr>
          <w:rFonts w:cs="Times New Roman"/>
          <w:sz w:val="20"/>
          <w:lang w:val="en-US"/>
        </w:rPr>
        <w:t xml:space="preserve">Measurement of Ca²⁺ levels in the serum (n = 4) and plasma (n = 3) of blood donors used for PLT isolation. </w:t>
      </w:r>
      <w:r w:rsidRPr="00FE0355">
        <w:rPr>
          <w:rFonts w:cs="Times New Roman"/>
          <w:b/>
          <w:bCs/>
          <w:sz w:val="20"/>
          <w:lang w:val="en-US"/>
        </w:rPr>
        <w:t>(B)</w:t>
      </w:r>
      <w:r w:rsidRPr="00FE0355">
        <w:rPr>
          <w:rFonts w:cs="Times New Roman"/>
          <w:sz w:val="20"/>
          <w:lang w:val="en-US"/>
        </w:rPr>
        <w:t xml:space="preserve"> PLT aggregation lag time was measured in the presence of 2 mM Ca²⁺ after treatment with varying concentrations of SAS- and UD5-derived EVs. </w:t>
      </w:r>
      <w:r w:rsidRPr="00FE0355">
        <w:rPr>
          <w:rFonts w:cs="Times New Roman"/>
          <w:b/>
          <w:sz w:val="20"/>
          <w:lang w:val="en-US"/>
        </w:rPr>
        <w:t>(C</w:t>
      </w:r>
      <w:r>
        <w:rPr>
          <w:rFonts w:cs="Times New Roman"/>
          <w:b/>
          <w:sz w:val="20"/>
          <w:lang w:val="en-US"/>
        </w:rPr>
        <w:t xml:space="preserve">, </w:t>
      </w:r>
      <w:r w:rsidRPr="00E524B9">
        <w:rPr>
          <w:rFonts w:cs="Times New Roman"/>
          <w:b/>
          <w:sz w:val="20"/>
          <w:lang w:val="en-US"/>
        </w:rPr>
        <w:t>D</w:t>
      </w:r>
      <w:r w:rsidRPr="00FE0355">
        <w:rPr>
          <w:rFonts w:cs="Times New Roman"/>
          <w:b/>
          <w:sz w:val="20"/>
          <w:lang w:val="en-US"/>
        </w:rPr>
        <w:t>)</w:t>
      </w:r>
      <w:r w:rsidRPr="00FE0355">
        <w:rPr>
          <w:rFonts w:cs="Times New Roman"/>
          <w:sz w:val="20"/>
          <w:lang w:val="en-US"/>
        </w:rPr>
        <w:t xml:space="preserve"> Maximal PLT aggregation induced by HNSCC </w:t>
      </w:r>
      <w:proofErr w:type="gramStart"/>
      <w:r w:rsidRPr="00FE0355">
        <w:rPr>
          <w:rFonts w:cs="Times New Roman"/>
          <w:sz w:val="20"/>
          <w:lang w:val="en-US"/>
        </w:rPr>
        <w:t>cell line</w:t>
      </w:r>
      <w:proofErr w:type="gramEnd"/>
      <w:r w:rsidRPr="00FE0355">
        <w:rPr>
          <w:rFonts w:cs="Times New Roman"/>
          <w:sz w:val="20"/>
          <w:lang w:val="en-US"/>
        </w:rPr>
        <w:t xml:space="preserve">-derived EVs. Aggregation following treatment with </w:t>
      </w:r>
      <w:r w:rsidRPr="00067AD7">
        <w:rPr>
          <w:rFonts w:cs="Times New Roman"/>
          <w:sz w:val="20"/>
          <w:szCs w:val="20"/>
          <w:lang w:val="en-US"/>
        </w:rPr>
        <w:t>SAS- and UD5-derived EVs is shown. PLTs in Tyrode’s buffer, with (+) or without (−) 2 mM Ca²⁺, were treated with 60 µg/mL EVs. TRAP and PBS served as controls (n = 12-21, C; n = 8-11</w:t>
      </w:r>
      <w:r w:rsidRPr="00E524B9">
        <w:rPr>
          <w:rFonts w:cs="Times New Roman"/>
          <w:sz w:val="20"/>
          <w:szCs w:val="20"/>
          <w:lang w:val="en-US"/>
        </w:rPr>
        <w:t>, D</w:t>
      </w:r>
      <w:r w:rsidRPr="00067AD7">
        <w:rPr>
          <w:rFonts w:cs="Times New Roman"/>
          <w:sz w:val="20"/>
          <w:szCs w:val="20"/>
          <w:lang w:val="en-US"/>
        </w:rPr>
        <w:t xml:space="preserve">). </w:t>
      </w:r>
      <w:r w:rsidRPr="00973DD9">
        <w:rPr>
          <w:rFonts w:cs="Times New Roman"/>
          <w:b/>
          <w:sz w:val="20"/>
          <w:szCs w:val="20"/>
          <w:highlight w:val="yellow"/>
          <w:lang w:val="en-US"/>
        </w:rPr>
        <w:t>(</w:t>
      </w:r>
      <w:r w:rsidRPr="00973DD9">
        <w:rPr>
          <w:b/>
          <w:sz w:val="20"/>
          <w:szCs w:val="20"/>
          <w:highlight w:val="yellow"/>
          <w:lang w:val="en-US"/>
        </w:rPr>
        <w:t>E)</w:t>
      </w:r>
      <w:r w:rsidRPr="00973DD9">
        <w:rPr>
          <w:sz w:val="20"/>
          <w:szCs w:val="20"/>
          <w:highlight w:val="yellow"/>
          <w:lang w:val="en-US"/>
        </w:rPr>
        <w:t xml:space="preserve"> The aggregation of triple-washed platelets (PBS/EDTA, washed PLTs) was measured in the presence (+) or absence (−) of 1% autologous plasma after the addition of SAS and UD5 EVs (60 </w:t>
      </w:r>
      <w:proofErr w:type="gramStart"/>
      <w:r w:rsidRPr="00973DD9">
        <w:rPr>
          <w:sz w:val="20"/>
          <w:szCs w:val="20"/>
          <w:highlight w:val="yellow"/>
          <w:lang w:val="en-US"/>
        </w:rPr>
        <w:t>µg</w:t>
      </w:r>
      <w:proofErr w:type="gramEnd"/>
      <w:r w:rsidRPr="00973DD9">
        <w:rPr>
          <w:sz w:val="20"/>
          <w:szCs w:val="20"/>
          <w:highlight w:val="yellow"/>
          <w:lang w:val="en-US"/>
        </w:rPr>
        <w:t xml:space="preserve">/mL). Platelets were resuspended in Tyrode’s buffer either containing (+) or lacking (−) 2 mM Ca²⁺. TRAP and PBS were used as controls. </w:t>
      </w:r>
      <w:r w:rsidRPr="00973DD9">
        <w:rPr>
          <w:b/>
          <w:sz w:val="20"/>
          <w:szCs w:val="20"/>
          <w:highlight w:val="yellow"/>
          <w:lang w:val="en-US"/>
        </w:rPr>
        <w:t>(F)</w:t>
      </w:r>
      <w:r w:rsidRPr="00973DD9">
        <w:rPr>
          <w:sz w:val="20"/>
          <w:szCs w:val="20"/>
          <w:highlight w:val="yellow"/>
          <w:lang w:val="en-US"/>
        </w:rPr>
        <w:t xml:space="preserve"> To test </w:t>
      </w:r>
      <w:proofErr w:type="spellStart"/>
      <w:r w:rsidRPr="00973DD9">
        <w:rPr>
          <w:sz w:val="20"/>
          <w:szCs w:val="20"/>
          <w:highlight w:val="yellow"/>
          <w:lang w:val="en-US"/>
        </w:rPr>
        <w:t>Innovin</w:t>
      </w:r>
      <w:proofErr w:type="spellEnd"/>
      <w:r w:rsidRPr="00973DD9">
        <w:rPr>
          <w:sz w:val="20"/>
          <w:szCs w:val="20"/>
          <w:highlight w:val="yellow"/>
          <w:lang w:val="en-US"/>
        </w:rPr>
        <w:t>-induced (100 ng/mL) aggregation, experiments were conducted in Tyrode’s buffer without Ca²⁺ using PLTs and triple-washed platelets (PBS/EDTA, washed PLTs).</w:t>
      </w:r>
      <w:r>
        <w:rPr>
          <w:rFonts w:cs="Times New Roman"/>
          <w:sz w:val="20"/>
          <w:szCs w:val="20"/>
          <w:lang w:val="en-US"/>
        </w:rPr>
        <w:t xml:space="preserve"> </w:t>
      </w:r>
      <w:r w:rsidRPr="00B15C79">
        <w:rPr>
          <w:rFonts w:cs="Times New Roman"/>
          <w:b/>
          <w:bCs/>
          <w:sz w:val="20"/>
          <w:lang w:val="en-US"/>
        </w:rPr>
        <w:t>(G)</w:t>
      </w:r>
      <w:r w:rsidRPr="00FE0355">
        <w:rPr>
          <w:rFonts w:cs="Times New Roman"/>
          <w:sz w:val="20"/>
          <w:lang w:val="en-US"/>
        </w:rPr>
        <w:t xml:space="preserve"> Representative gating strategy for identifying CD62P expression on CD41-positive PLTs</w:t>
      </w:r>
      <w:r w:rsidRPr="00B15C79">
        <w:rPr>
          <w:rFonts w:cs="Times New Roman"/>
          <w:sz w:val="20"/>
          <w:lang w:val="en-US"/>
        </w:rPr>
        <w:t xml:space="preserve">. </w:t>
      </w:r>
      <w:r w:rsidRPr="00B15C79">
        <w:rPr>
          <w:rFonts w:cs="Times New Roman"/>
          <w:b/>
          <w:bCs/>
          <w:sz w:val="20"/>
          <w:lang w:val="en-US"/>
        </w:rPr>
        <w:t>(H)</w:t>
      </w:r>
      <w:r w:rsidRPr="00FE0355">
        <w:rPr>
          <w:rFonts w:cs="Times New Roman"/>
          <w:sz w:val="20"/>
          <w:lang w:val="en-US"/>
        </w:rPr>
        <w:t xml:space="preserve"> Analysis of CD63, a PLT activation </w:t>
      </w:r>
      <w:r w:rsidRPr="00FE0355">
        <w:rPr>
          <w:rFonts w:cs="Times New Roman"/>
          <w:sz w:val="20"/>
          <w:lang w:val="en-US"/>
        </w:rPr>
        <w:lastRenderedPageBreak/>
        <w:t xml:space="preserve">marker. CD63 expression is displayed after treatment of PLTs with SAS- and UD5-derived EVs (60 </w:t>
      </w:r>
      <w:proofErr w:type="gramStart"/>
      <w:r w:rsidRPr="00FE0355">
        <w:rPr>
          <w:rFonts w:cs="Times New Roman"/>
          <w:sz w:val="20"/>
          <w:lang w:val="en-US"/>
        </w:rPr>
        <w:t>µg</w:t>
      </w:r>
      <w:proofErr w:type="gramEnd"/>
      <w:r w:rsidRPr="00FE0355">
        <w:rPr>
          <w:rFonts w:cs="Times New Roman"/>
          <w:sz w:val="20"/>
          <w:lang w:val="en-US"/>
        </w:rPr>
        <w:t xml:space="preserve">/mL, n = 5). Data are presented as mean + SD. Statistical significance is as follows: *p &lt; 0.05, **p &lt; 0.01, </w:t>
      </w:r>
      <w:r w:rsidRPr="0008761A">
        <w:rPr>
          <w:rFonts w:cs="Times New Roman"/>
          <w:sz w:val="20"/>
          <w:highlight w:val="yellow"/>
          <w:lang w:val="en-US"/>
        </w:rPr>
        <w:t>***p &lt; 0.001</w:t>
      </w:r>
      <w:r>
        <w:rPr>
          <w:rFonts w:cs="Times New Roman"/>
          <w:sz w:val="20"/>
          <w:lang w:val="en-US"/>
        </w:rPr>
        <w:t xml:space="preserve">, </w:t>
      </w:r>
      <w:r w:rsidRPr="00FE0355">
        <w:rPr>
          <w:rFonts w:cs="Times New Roman"/>
          <w:sz w:val="20"/>
          <w:lang w:val="en-US"/>
        </w:rPr>
        <w:t>****p &lt; 0.0001. Kruskal-</w:t>
      </w:r>
      <w:proofErr w:type="gramStart"/>
      <w:r w:rsidRPr="00FE0355">
        <w:rPr>
          <w:rFonts w:cs="Times New Roman"/>
          <w:sz w:val="20"/>
          <w:lang w:val="en-US"/>
        </w:rPr>
        <w:t>Wallis</w:t>
      </w:r>
      <w:proofErr w:type="gramEnd"/>
      <w:r w:rsidRPr="00FE0355">
        <w:rPr>
          <w:rFonts w:cs="Times New Roman"/>
          <w:sz w:val="20"/>
          <w:lang w:val="en-US"/>
        </w:rPr>
        <w:t xml:space="preserve"> test followed by Dunn’s post-hoc test for (C</w:t>
      </w:r>
      <w:r>
        <w:rPr>
          <w:rFonts w:cs="Times New Roman"/>
          <w:sz w:val="20"/>
          <w:lang w:val="en-US"/>
        </w:rPr>
        <w:t xml:space="preserve">, </w:t>
      </w:r>
      <w:r w:rsidRPr="00F14AD8">
        <w:rPr>
          <w:rFonts w:cs="Times New Roman"/>
          <w:sz w:val="20"/>
          <w:highlight w:val="yellow"/>
          <w:lang w:val="en-US"/>
        </w:rPr>
        <w:t>D</w:t>
      </w:r>
      <w:r w:rsidRPr="00722C4D">
        <w:rPr>
          <w:rFonts w:cs="Times New Roman"/>
          <w:sz w:val="20"/>
          <w:highlight w:val="yellow"/>
          <w:lang w:val="en-US"/>
        </w:rPr>
        <w:t xml:space="preserve">). </w:t>
      </w:r>
      <w:r w:rsidRPr="00722C4D">
        <w:rPr>
          <w:rFonts w:cs="Times New Roman"/>
          <w:bCs/>
          <w:sz w:val="20"/>
          <w:highlight w:val="yellow"/>
          <w:lang w:val="en-US"/>
        </w:rPr>
        <w:t>One-way ANOVA followed by Tukey’s post-hoc test for (E).</w:t>
      </w:r>
      <w:r w:rsidRPr="00FE0355">
        <w:rPr>
          <w:rFonts w:cs="Times New Roman"/>
          <w:bCs/>
          <w:sz w:val="20"/>
          <w:lang w:val="en-US"/>
        </w:rPr>
        <w:t xml:space="preserve"> </w:t>
      </w:r>
      <w:r w:rsidRPr="00FE0355">
        <w:rPr>
          <w:rFonts w:cs="Times New Roman"/>
          <w:sz w:val="20"/>
          <w:lang w:val="en-US"/>
        </w:rPr>
        <w:t xml:space="preserve">Mann-Whitney test for </w:t>
      </w:r>
      <w:r w:rsidRPr="00722C4D">
        <w:rPr>
          <w:rFonts w:cs="Times New Roman"/>
          <w:sz w:val="20"/>
          <w:highlight w:val="yellow"/>
          <w:lang w:val="en-US"/>
        </w:rPr>
        <w:t>(F)</w:t>
      </w:r>
      <w:r>
        <w:rPr>
          <w:rFonts w:cs="Times New Roman"/>
          <w:sz w:val="20"/>
          <w:lang w:val="en-US"/>
        </w:rPr>
        <w:t xml:space="preserve"> and </w:t>
      </w:r>
      <w:r w:rsidRPr="00722C4D">
        <w:rPr>
          <w:rFonts w:cs="Times New Roman"/>
          <w:sz w:val="20"/>
          <w:highlight w:val="yellow"/>
          <w:lang w:val="en-US"/>
        </w:rPr>
        <w:t>(H, SAS EVs)</w:t>
      </w:r>
      <w:r w:rsidRPr="00FE0355">
        <w:rPr>
          <w:rFonts w:cs="Times New Roman"/>
          <w:sz w:val="20"/>
          <w:lang w:val="en-US"/>
        </w:rPr>
        <w:t xml:space="preserve"> and unpaired Student’s </w:t>
      </w:r>
      <w:r w:rsidRPr="00FE0355">
        <w:rPr>
          <w:rFonts w:cs="Times New Roman"/>
          <w:i/>
          <w:sz w:val="20"/>
          <w:lang w:val="en-US"/>
        </w:rPr>
        <w:t>t</w:t>
      </w:r>
      <w:r w:rsidRPr="00FE0355">
        <w:rPr>
          <w:rFonts w:cs="Times New Roman"/>
          <w:sz w:val="20"/>
          <w:lang w:val="en-US"/>
        </w:rPr>
        <w:t xml:space="preserve">-test for </w:t>
      </w:r>
      <w:r w:rsidRPr="00722C4D">
        <w:rPr>
          <w:rFonts w:cs="Times New Roman"/>
          <w:sz w:val="20"/>
          <w:highlight w:val="yellow"/>
          <w:lang w:val="en-US"/>
        </w:rPr>
        <w:t>(H, UD5 EVs).</w:t>
      </w:r>
    </w:p>
    <w:p w14:paraId="4EC291BC" w14:textId="77777777" w:rsidR="004F2FDA" w:rsidRDefault="004F2FDA" w:rsidP="004F2FDA">
      <w:pPr>
        <w:keepNext/>
        <w:jc w:val="both"/>
      </w:pPr>
      <w:r>
        <w:rPr>
          <w:rFonts w:cs="Times New Roman"/>
          <w:b/>
          <w:bCs/>
          <w:noProof/>
          <w:lang w:val="en-US"/>
        </w:rPr>
        <w:drawing>
          <wp:inline distT="0" distB="0" distL="0" distR="0" wp14:anchorId="66AB4580" wp14:editId="00503855">
            <wp:extent cx="5762625" cy="4231759"/>
            <wp:effectExtent l="0" t="0" r="0" b="0"/>
            <wp:docPr id="13" name="Grafik 13" descr="A screenshot of a video game&#10;&#10;AI-generated content may be incorrect."/>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3" name="Grafik 13" descr="A screenshot of a video game&#10;&#10;AI-generated content may be incorrect."/>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53.01%"/>
                    <a:stretch/>
                  </pic:blipFill>
                  <pic:spPr bwMode="auto">
                    <a:xfrm>
                      <a:off x="0" y="0"/>
                      <a:ext cx="5762625" cy="4231759"/>
                    </a:xfrm>
                    <a:prstGeom prst="rect">
                      <a:avLst/>
                    </a:prstGeom>
                    <a:noFill/>
                    <a:ln>
                      <a:noFill/>
                    </a:ln>
                    <a:extLst>
                      <a:ext uri="{53640926-AAD7-44D8-BBD7-CCE9431645EC}">
                        <a14:shadowObscured xmlns:a14="http://schemas.microsoft.com/office/drawing/2010/main"/>
                      </a:ext>
                    </a:extLst>
                  </pic:spPr>
                </pic:pic>
              </a:graphicData>
            </a:graphic>
          </wp:inline>
        </w:drawing>
      </w:r>
    </w:p>
    <w:p w14:paraId="195DA73A" w14:textId="77777777" w:rsidR="004F2FDA" w:rsidRPr="00786BB7" w:rsidRDefault="004F2FDA" w:rsidP="004F2FDA">
      <w:pPr>
        <w:jc w:val="both"/>
        <w:rPr>
          <w:rFonts w:cs="Times New Roman"/>
          <w:sz w:val="20"/>
          <w:lang w:val="en-US"/>
        </w:rPr>
      </w:pPr>
      <w:r w:rsidRPr="00FE0355">
        <w:rPr>
          <w:b/>
          <w:sz w:val="20"/>
          <w:lang w:val="en-US"/>
        </w:rPr>
        <w:t>Figure S</w:t>
      </w:r>
      <w:r w:rsidRPr="00FE0355">
        <w:rPr>
          <w:b/>
          <w:sz w:val="20"/>
        </w:rPr>
        <w:fldChar w:fldCharType="begin"/>
      </w:r>
      <w:r w:rsidRPr="00FE0355">
        <w:rPr>
          <w:b/>
          <w:sz w:val="20"/>
          <w:lang w:val="en-US"/>
        </w:rPr>
        <w:instrText xml:space="preserve"> SEQ Figure_S \* ARABIC </w:instrText>
      </w:r>
      <w:r w:rsidRPr="00FE0355">
        <w:rPr>
          <w:b/>
          <w:sz w:val="20"/>
        </w:rPr>
        <w:fldChar w:fldCharType="separate"/>
      </w:r>
      <w:r w:rsidRPr="00FE0355">
        <w:rPr>
          <w:b/>
          <w:noProof/>
          <w:sz w:val="20"/>
          <w:lang w:val="en-US"/>
        </w:rPr>
        <w:t>2</w:t>
      </w:r>
      <w:r w:rsidRPr="00FE0355">
        <w:rPr>
          <w:b/>
          <w:sz w:val="20"/>
        </w:rPr>
        <w:fldChar w:fldCharType="end"/>
      </w:r>
      <w:r w:rsidRPr="00FE0355">
        <w:rPr>
          <w:b/>
          <w:sz w:val="20"/>
          <w:lang w:val="en-US"/>
        </w:rPr>
        <w:t>.</w:t>
      </w:r>
      <w:r w:rsidRPr="00FE0355">
        <w:rPr>
          <w:rFonts w:cs="Times New Roman"/>
          <w:b/>
          <w:bCs/>
          <w:sz w:val="20"/>
          <w:lang w:val="en-US"/>
        </w:rPr>
        <w:t xml:space="preserve"> Establishing effective inhibitors for EV-induced PLT aggregation. </w:t>
      </w:r>
      <w:r w:rsidRPr="00FE0355">
        <w:rPr>
          <w:rFonts w:cs="Times New Roman"/>
          <w:sz w:val="20"/>
          <w:lang w:val="en-US"/>
        </w:rPr>
        <w:t xml:space="preserve">PLTs and inhibitors were mixed in Tyrode’s buffer containing 2 mM Ca²⁺ within the aggregometer. After a 300-second pre-incubation, SAS-derived EVs (60 </w:t>
      </w:r>
      <w:proofErr w:type="gramStart"/>
      <w:r w:rsidRPr="00FE0355">
        <w:rPr>
          <w:rFonts w:cs="Times New Roman"/>
          <w:sz w:val="20"/>
          <w:lang w:val="en-US"/>
        </w:rPr>
        <w:t>µg</w:t>
      </w:r>
      <w:proofErr w:type="gramEnd"/>
      <w:r w:rsidRPr="00FE0355">
        <w:rPr>
          <w:rFonts w:cs="Times New Roman"/>
          <w:sz w:val="20"/>
          <w:lang w:val="en-US"/>
        </w:rPr>
        <w:t xml:space="preserve">/mL) were added to induce aggregation and inhibitor efficacy was assessed. </w:t>
      </w:r>
      <w:r w:rsidRPr="00FE0355">
        <w:rPr>
          <w:rFonts w:cs="Times New Roman"/>
          <w:b/>
          <w:bCs/>
          <w:sz w:val="20"/>
          <w:lang w:val="en-US"/>
        </w:rPr>
        <w:t>(A)</w:t>
      </w:r>
      <w:r w:rsidRPr="00FE0355">
        <w:rPr>
          <w:rFonts w:cs="Times New Roman"/>
          <w:sz w:val="20"/>
          <w:lang w:val="en-US"/>
        </w:rPr>
        <w:t xml:space="preserve"> A dose-response analysis of U73122, a PLC inhibitor, was performed to identify effective concentrations for suppressing EV-induced PLT aggregation. Multiple concentrations of U73122 (1–25 µM) were tested, with DMSO diluted 1:100 as the control (n = 3-10). </w:t>
      </w:r>
      <w:r w:rsidRPr="00FE0355">
        <w:rPr>
          <w:rFonts w:cs="Times New Roman"/>
          <w:b/>
          <w:bCs/>
          <w:sz w:val="20"/>
          <w:lang w:val="en-US"/>
        </w:rPr>
        <w:t>(B)</w:t>
      </w:r>
      <w:r w:rsidRPr="00FE0355">
        <w:rPr>
          <w:rFonts w:cs="Times New Roman"/>
          <w:sz w:val="20"/>
          <w:lang w:val="en-US"/>
        </w:rPr>
        <w:t xml:space="preserve"> The effect of thrombin receptor inhibition on SAS EV-induced PLT aggregation was evaluated. Vorapaxar (PAR1 inhibitor, 10 µM) and BMS986120 (PAR4 inhibitor, 10 µM) were administered individually or in combination, with DMSO diluted 1:500 (-) as the control (n = 4-6). </w:t>
      </w:r>
      <w:r w:rsidRPr="00FE0355">
        <w:rPr>
          <w:rFonts w:cs="Times New Roman"/>
          <w:b/>
          <w:bCs/>
          <w:sz w:val="20"/>
          <w:lang w:val="en-US"/>
        </w:rPr>
        <w:t>(C)</w:t>
      </w:r>
      <w:r w:rsidRPr="00FE0355">
        <w:rPr>
          <w:rFonts w:cs="Times New Roman"/>
          <w:sz w:val="20"/>
          <w:lang w:val="en-US"/>
        </w:rPr>
        <w:t xml:space="preserve"> The inhibitory effect of PPACK, a thrombin inhibitor, was assessed at concentrations ranging from 0.1–20 µM to determine its efficacy against EV-induced PLT aggregation. DMSO (1:20,000) was used as the control (n = 3-16).</w:t>
      </w:r>
      <w:r>
        <w:rPr>
          <w:rFonts w:cs="Times New Roman"/>
          <w:sz w:val="20"/>
          <w:lang w:val="en-US"/>
        </w:rPr>
        <w:t xml:space="preserve"> </w:t>
      </w:r>
      <w:bookmarkStart w:id="0" w:name="_Hlk195550973"/>
      <w:r w:rsidRPr="002C572F">
        <w:rPr>
          <w:rFonts w:cs="Times New Roman"/>
          <w:b/>
          <w:sz w:val="20"/>
          <w:highlight w:val="yellow"/>
          <w:lang w:val="en-US"/>
        </w:rPr>
        <w:t>(D)</w:t>
      </w:r>
      <w:r w:rsidRPr="002C572F">
        <w:rPr>
          <w:rFonts w:cs="Times New Roman"/>
          <w:sz w:val="20"/>
          <w:highlight w:val="yellow"/>
          <w:lang w:val="en-US"/>
        </w:rPr>
        <w:t xml:space="preserve"> Testing of different Hirudin (thrombin inhibitor) concentrations (0.5-10 U/mL) for inhibitory effect on SAS EV-induced aggregation of PLTs. H</w:t>
      </w:r>
      <w:r w:rsidRPr="002C572F">
        <w:rPr>
          <w:rFonts w:cs="Times New Roman"/>
          <w:sz w:val="20"/>
          <w:highlight w:val="yellow"/>
          <w:vertAlign w:val="subscript"/>
          <w:lang w:val="en-US"/>
        </w:rPr>
        <w:t>2</w:t>
      </w:r>
      <w:r w:rsidRPr="002C572F">
        <w:rPr>
          <w:rFonts w:cs="Times New Roman"/>
          <w:sz w:val="20"/>
          <w:highlight w:val="yellow"/>
          <w:lang w:val="en-US"/>
        </w:rPr>
        <w:t>O (1:100) served as control (n = 4-5).</w:t>
      </w:r>
      <w:r w:rsidRPr="00FE0355">
        <w:rPr>
          <w:rFonts w:cs="Times New Roman"/>
          <w:sz w:val="20"/>
          <w:lang w:val="en-US"/>
        </w:rPr>
        <w:t xml:space="preserve"> </w:t>
      </w:r>
      <w:bookmarkStart w:id="1" w:name="_Hlk195550555"/>
      <w:bookmarkEnd w:id="0"/>
      <w:r w:rsidRPr="008B77F6">
        <w:rPr>
          <w:rFonts w:cs="Times New Roman"/>
          <w:b/>
          <w:sz w:val="20"/>
          <w:highlight w:val="yellow"/>
          <w:lang w:val="en-US"/>
        </w:rPr>
        <w:t>(E)</w:t>
      </w:r>
      <w:r w:rsidRPr="008B77F6">
        <w:rPr>
          <w:rFonts w:cs="Times New Roman"/>
          <w:sz w:val="20"/>
          <w:highlight w:val="yellow"/>
          <w:lang w:val="en-US"/>
        </w:rPr>
        <w:t xml:space="preserve"> The Thrombin activity (IU/mL) was measured in supernatants of human plasma after the addition of </w:t>
      </w:r>
      <w:r w:rsidRPr="008B77F6">
        <w:rPr>
          <w:sz w:val="20"/>
          <w:highlight w:val="yellow"/>
          <w:lang w:val="en-US"/>
        </w:rPr>
        <w:t xml:space="preserve">SAS- or UD5-derived EVs (60 </w:t>
      </w:r>
      <w:proofErr w:type="gramStart"/>
      <w:r w:rsidRPr="008B77F6">
        <w:rPr>
          <w:sz w:val="20"/>
          <w:highlight w:val="yellow"/>
          <w:lang w:val="en-US"/>
        </w:rPr>
        <w:t>µg</w:t>
      </w:r>
      <w:proofErr w:type="gramEnd"/>
      <w:r w:rsidRPr="008B77F6">
        <w:rPr>
          <w:sz w:val="20"/>
          <w:highlight w:val="yellow"/>
          <w:lang w:val="en-US"/>
        </w:rPr>
        <w:t>/mL). Addition of PBS served as control (n = 4-7).</w:t>
      </w:r>
      <w:bookmarkEnd w:id="1"/>
      <w:r>
        <w:rPr>
          <w:sz w:val="20"/>
          <w:lang w:val="en-US"/>
        </w:rPr>
        <w:t xml:space="preserve"> </w:t>
      </w:r>
      <w:r w:rsidRPr="00FE0355">
        <w:rPr>
          <w:rFonts w:cs="Times New Roman"/>
          <w:sz w:val="20"/>
          <w:lang w:val="en-US"/>
        </w:rPr>
        <w:t xml:space="preserve">Data are presented as mean + SD. Statistical significance is </w:t>
      </w:r>
      <w:r w:rsidRPr="00FE0355">
        <w:rPr>
          <w:rFonts w:cs="Times New Roman"/>
          <w:sz w:val="20"/>
          <w:lang w:val="en-US"/>
        </w:rPr>
        <w:lastRenderedPageBreak/>
        <w:t>as follows: *p &lt; 0.05, **p &lt; 0.01, ****p &lt; 0.0001. Kruskal-</w:t>
      </w:r>
      <w:proofErr w:type="gramStart"/>
      <w:r w:rsidRPr="00FE0355">
        <w:rPr>
          <w:rFonts w:cs="Times New Roman"/>
          <w:sz w:val="20"/>
          <w:lang w:val="en-US"/>
        </w:rPr>
        <w:t>Wallis</w:t>
      </w:r>
      <w:proofErr w:type="gramEnd"/>
      <w:r w:rsidRPr="00FE0355">
        <w:rPr>
          <w:rFonts w:cs="Times New Roman"/>
          <w:sz w:val="20"/>
          <w:lang w:val="en-US"/>
        </w:rPr>
        <w:t xml:space="preserve"> test followed by Dunn’s post-hoc test for (A-</w:t>
      </w:r>
      <w:r>
        <w:rPr>
          <w:rFonts w:cs="Times New Roman"/>
          <w:sz w:val="20"/>
          <w:lang w:val="en-US"/>
        </w:rPr>
        <w:t>D</w:t>
      </w:r>
      <w:r w:rsidRPr="00FE0355">
        <w:rPr>
          <w:rFonts w:cs="Times New Roman"/>
          <w:sz w:val="20"/>
          <w:lang w:val="en-US"/>
        </w:rPr>
        <w:t>).</w:t>
      </w:r>
    </w:p>
    <w:p w14:paraId="38E50BF3" w14:textId="77777777" w:rsidR="004F2FDA" w:rsidRDefault="004F2FDA" w:rsidP="004F2FDA">
      <w:pPr>
        <w:keepNext/>
        <w:jc w:val="both"/>
      </w:pPr>
      <w:r>
        <w:rPr>
          <w:rFonts w:cs="Times New Roman"/>
          <w:b/>
          <w:bCs/>
          <w:noProof/>
          <w:lang w:val="en-US"/>
        </w:rPr>
        <w:drawing>
          <wp:inline distT="0" distB="0" distL="0" distR="0" wp14:anchorId="4578952D" wp14:editId="208DCC67">
            <wp:extent cx="5753100" cy="2295525"/>
            <wp:effectExtent l="0" t="0" r="0" b="9525"/>
            <wp:docPr id="9" name="Grafik 9" descr="A screenshot of a computer&#10;&#10;AI-generated content may be incorrect."/>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9" name="Grafik 9" descr="A screenshot of a computer&#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53100" cy="2295525"/>
                    </a:xfrm>
                    <a:prstGeom prst="rect">
                      <a:avLst/>
                    </a:prstGeom>
                    <a:noFill/>
                    <a:ln>
                      <a:noFill/>
                    </a:ln>
                  </pic:spPr>
                </pic:pic>
              </a:graphicData>
            </a:graphic>
          </wp:inline>
        </w:drawing>
      </w:r>
    </w:p>
    <w:p w14:paraId="460845BD" w14:textId="77777777" w:rsidR="004F2FDA" w:rsidRPr="00FE0355" w:rsidRDefault="004F2FDA" w:rsidP="004F2FDA">
      <w:pPr>
        <w:jc w:val="both"/>
        <w:rPr>
          <w:b/>
          <w:bCs/>
          <w:sz w:val="20"/>
          <w:lang w:val="en-US"/>
        </w:rPr>
      </w:pPr>
      <w:r w:rsidRPr="00FE0355">
        <w:rPr>
          <w:b/>
          <w:sz w:val="20"/>
          <w:lang w:val="en-US"/>
        </w:rPr>
        <w:t>Figure S</w:t>
      </w:r>
      <w:r w:rsidRPr="00FE0355">
        <w:rPr>
          <w:b/>
          <w:sz w:val="20"/>
        </w:rPr>
        <w:fldChar w:fldCharType="begin"/>
      </w:r>
      <w:r w:rsidRPr="00FE0355">
        <w:rPr>
          <w:b/>
          <w:sz w:val="20"/>
          <w:lang w:val="en-US"/>
        </w:rPr>
        <w:instrText xml:space="preserve"> SEQ Figure_S \* ARABIC </w:instrText>
      </w:r>
      <w:r w:rsidRPr="00FE0355">
        <w:rPr>
          <w:b/>
          <w:sz w:val="20"/>
        </w:rPr>
        <w:fldChar w:fldCharType="separate"/>
      </w:r>
      <w:r w:rsidRPr="00FE0355">
        <w:rPr>
          <w:b/>
          <w:noProof/>
          <w:sz w:val="20"/>
          <w:lang w:val="en-US"/>
        </w:rPr>
        <w:t>3</w:t>
      </w:r>
      <w:r w:rsidRPr="00FE0355">
        <w:rPr>
          <w:b/>
          <w:sz w:val="20"/>
        </w:rPr>
        <w:fldChar w:fldCharType="end"/>
      </w:r>
      <w:r w:rsidRPr="00FE0355">
        <w:rPr>
          <w:b/>
          <w:bCs/>
          <w:sz w:val="20"/>
          <w:lang w:val="en-US"/>
        </w:rPr>
        <w:t>. Profiling of SAS EVs proteome.</w:t>
      </w:r>
      <w:r w:rsidRPr="00FE0355">
        <w:rPr>
          <w:sz w:val="20"/>
          <w:lang w:val="en-US"/>
        </w:rPr>
        <w:t xml:space="preserve"> </w:t>
      </w:r>
      <w:r w:rsidRPr="00FE0355">
        <w:rPr>
          <w:b/>
          <w:bCs/>
          <w:sz w:val="20"/>
          <w:lang w:val="en-US"/>
        </w:rPr>
        <w:t>(A)</w:t>
      </w:r>
      <w:r w:rsidRPr="00FE0355">
        <w:rPr>
          <w:sz w:val="20"/>
          <w:lang w:val="en-US"/>
        </w:rPr>
        <w:t xml:space="preserve"> Bar chart showing the top enriched pathways, ranked by -log</w:t>
      </w:r>
      <w:r w:rsidRPr="00FE0355">
        <w:rPr>
          <w:sz w:val="20"/>
          <w:vertAlign w:val="subscript"/>
          <w:lang w:val="en-US"/>
        </w:rPr>
        <w:t>10</w:t>
      </w:r>
      <w:r w:rsidRPr="00FE0355">
        <w:rPr>
          <w:sz w:val="20"/>
          <w:lang w:val="en-US"/>
        </w:rPr>
        <w:t xml:space="preserve">(p-value), with the corresponding p-value displayed next to each term. An asterisk (*) next to a p-value indicates that the pathway also has a significant adjusted p-value (&lt;0.05). The analyses were generated by </w:t>
      </w:r>
      <w:proofErr w:type="spellStart"/>
      <w:r w:rsidRPr="00FE0355">
        <w:rPr>
          <w:sz w:val="20"/>
          <w:lang w:val="en-US"/>
        </w:rPr>
        <w:t>Enrichr</w:t>
      </w:r>
      <w:proofErr w:type="spellEnd"/>
      <w:r w:rsidRPr="00FE0355">
        <w:rPr>
          <w:sz w:val="20"/>
          <w:lang w:val="en-US"/>
        </w:rPr>
        <w:t xml:space="preserve"> (https://maayanlab.cloud/Enrichr/) </w:t>
      </w:r>
      <w:r w:rsidRPr="00FE0355">
        <w:rPr>
          <w:b/>
          <w:bCs/>
          <w:sz w:val="20"/>
          <w:lang w:val="en-US"/>
        </w:rPr>
        <w:t>(</w:t>
      </w:r>
      <w:proofErr w:type="gramStart"/>
      <w:r w:rsidRPr="00FE0355">
        <w:rPr>
          <w:b/>
          <w:bCs/>
          <w:sz w:val="20"/>
          <w:lang w:val="en-US"/>
        </w:rPr>
        <w:t>B)</w:t>
      </w:r>
      <w:r w:rsidRPr="00FE0355">
        <w:rPr>
          <w:sz w:val="20"/>
          <w:lang w:val="en-US"/>
        </w:rPr>
        <w:t xml:space="preserve"> Protein-protein interaction analysis of proteins involved in coagulation.</w:t>
      </w:r>
      <w:proofErr w:type="gramEnd"/>
      <w:r w:rsidRPr="00FE0355">
        <w:rPr>
          <w:sz w:val="20"/>
          <w:lang w:val="en-US"/>
        </w:rPr>
        <w:t xml:space="preserve"> Blue nodes represent proteins associated with positive regulation of coagulation, while red nodes represent those associated with negative regulation. Green nodes are complementing proteins, and yellow nodes represent PLT alpha granules. The analyses were generated by STRING database (https://string-db.org). The list of proteins is available in supplementary Table S3.</w:t>
      </w:r>
    </w:p>
    <w:p w14:paraId="4668430B" w14:textId="77777777" w:rsidR="004F2FDA" w:rsidRDefault="004F2FDA" w:rsidP="004F2FDA">
      <w:pPr>
        <w:keepNext/>
        <w:jc w:val="both"/>
      </w:pPr>
      <w:r>
        <w:rPr>
          <w:rFonts w:cs="Times New Roman"/>
          <w:noProof/>
          <w:sz w:val="20"/>
          <w:lang w:val="en-US"/>
        </w:rPr>
        <w:lastRenderedPageBreak/>
        <w:drawing>
          <wp:inline distT="0" distB="0" distL="0" distR="0" wp14:anchorId="15D7DEF7" wp14:editId="7AE755BF">
            <wp:extent cx="5753100" cy="5699760"/>
            <wp:effectExtent l="0" t="0" r="0" b="0"/>
            <wp:docPr id="7" name="Grafik 7" descr="A screenshot of a computer&#10;&#10;AI-generated content may be incorrect."/>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7" name="Grafik 7" descr="A screenshot of a computer&#10;&#10;AI-generated content may be incorrect."/>
                    <pic:cNvPicPr>
                      <a:picLocks noChangeAspect="1" noChangeArrowheads="1"/>
                    </pic:cNvPicPr>
                  </pic:nvPicPr>
                  <pic:blipFill rotWithShape="1">
                    <a:blip r:embed="rId7">
                      <a:extLst>
                        <a:ext uri="{28A0092B-C50C-407E-A947-70E740481C1C}">
                          <a14:useLocalDpi xmlns:a14="http://schemas.microsoft.com/office/drawing/2010/main" val="0"/>
                        </a:ext>
                      </a:extLst>
                    </a:blip>
                    <a:srcRect b="36.664%"/>
                    <a:stretch/>
                  </pic:blipFill>
                  <pic:spPr bwMode="auto">
                    <a:xfrm>
                      <a:off x="0" y="0"/>
                      <a:ext cx="5753100" cy="5699760"/>
                    </a:xfrm>
                    <a:prstGeom prst="rect">
                      <a:avLst/>
                    </a:prstGeom>
                    <a:noFill/>
                    <a:ln>
                      <a:noFill/>
                    </a:ln>
                    <a:extLst>
                      <a:ext uri="{53640926-AAD7-44D8-BBD7-CCE9431645EC}">
                        <a14:shadowObscured xmlns:a14="http://schemas.microsoft.com/office/drawing/2010/main"/>
                      </a:ext>
                    </a:extLst>
                  </pic:spPr>
                </pic:pic>
              </a:graphicData>
            </a:graphic>
          </wp:inline>
        </w:drawing>
      </w:r>
    </w:p>
    <w:p w14:paraId="28E0DF9A" w14:textId="77777777" w:rsidR="004F2FDA" w:rsidRPr="00FE0355" w:rsidRDefault="004F2FDA" w:rsidP="004F2FDA">
      <w:pPr>
        <w:jc w:val="both"/>
        <w:rPr>
          <w:rFonts w:cs="Times New Roman"/>
          <w:sz w:val="20"/>
          <w:lang w:val="en-US"/>
        </w:rPr>
      </w:pPr>
      <w:r w:rsidRPr="00FE0355">
        <w:rPr>
          <w:b/>
          <w:sz w:val="20"/>
          <w:lang w:val="en-US"/>
        </w:rPr>
        <w:t>Figure S</w:t>
      </w:r>
      <w:r w:rsidRPr="00FE0355">
        <w:rPr>
          <w:b/>
          <w:sz w:val="20"/>
        </w:rPr>
        <w:fldChar w:fldCharType="begin"/>
      </w:r>
      <w:r w:rsidRPr="00FE0355">
        <w:rPr>
          <w:b/>
          <w:sz w:val="20"/>
          <w:lang w:val="en-US"/>
        </w:rPr>
        <w:instrText xml:space="preserve"> SEQ Figure_S \* ARABIC </w:instrText>
      </w:r>
      <w:r w:rsidRPr="00FE0355">
        <w:rPr>
          <w:b/>
          <w:sz w:val="20"/>
        </w:rPr>
        <w:fldChar w:fldCharType="separate"/>
      </w:r>
      <w:r w:rsidRPr="00FE0355">
        <w:rPr>
          <w:b/>
          <w:noProof/>
          <w:sz w:val="20"/>
          <w:lang w:val="en-US"/>
        </w:rPr>
        <w:t>4</w:t>
      </w:r>
      <w:r w:rsidRPr="00FE0355">
        <w:rPr>
          <w:b/>
          <w:sz w:val="20"/>
        </w:rPr>
        <w:fldChar w:fldCharType="end"/>
      </w:r>
      <w:r w:rsidRPr="002339E9">
        <w:rPr>
          <w:sz w:val="20"/>
          <w:lang w:val="en-US"/>
        </w:rPr>
        <w:t>.</w:t>
      </w:r>
      <w:r w:rsidRPr="00FE0355">
        <w:rPr>
          <w:rFonts w:cs="Times New Roman"/>
          <w:b/>
          <w:bCs/>
          <w:sz w:val="20"/>
          <w:lang w:val="en-US"/>
        </w:rPr>
        <w:t xml:space="preserve"> Quantification of TF (CD142) expression on cell lines and EV characterization.</w:t>
      </w:r>
      <w:r w:rsidRPr="00FE0355">
        <w:rPr>
          <w:rFonts w:cs="Times New Roman"/>
          <w:sz w:val="20"/>
          <w:lang w:val="en-US"/>
        </w:rPr>
        <w:t xml:space="preserve"> </w:t>
      </w:r>
      <w:r w:rsidRPr="00FE0355">
        <w:rPr>
          <w:rFonts w:cs="Times New Roman"/>
          <w:b/>
          <w:bCs/>
          <w:sz w:val="20"/>
          <w:lang w:val="en-US"/>
        </w:rPr>
        <w:t>(A)</w:t>
      </w:r>
      <w:r w:rsidRPr="00FE0355">
        <w:rPr>
          <w:rFonts w:cs="Times New Roman"/>
          <w:sz w:val="20"/>
          <w:lang w:val="en-US"/>
        </w:rPr>
        <w:t xml:space="preserve"> Representative example of the gating strategy used to assess TF (CD142) expression on SAS and UD5 cells. The panels illustrate the gating strategy, showing cell populations </w:t>
      </w:r>
      <w:proofErr w:type="gramStart"/>
      <w:r w:rsidRPr="00FE0355">
        <w:rPr>
          <w:rFonts w:cs="Times New Roman"/>
          <w:sz w:val="20"/>
          <w:lang w:val="en-US"/>
        </w:rPr>
        <w:t>in side</w:t>
      </w:r>
      <w:proofErr w:type="gramEnd"/>
      <w:r w:rsidRPr="00FE0355">
        <w:rPr>
          <w:rFonts w:cs="Times New Roman"/>
          <w:sz w:val="20"/>
          <w:lang w:val="en-US"/>
        </w:rPr>
        <w:t xml:space="preserve"> scatter (SSC) and forward scatter (FSC) plots, followed by the selection of single cells. TF (CD142) expression is displayed in the histogram. Expression was determined by multiparameter flow cytometry, with black histograms representing TF (CD142) and white histograms (black line) representing isotype-matched controls. </w:t>
      </w:r>
      <w:r w:rsidRPr="00FE0355">
        <w:rPr>
          <w:rFonts w:cs="Times New Roman"/>
          <w:b/>
          <w:bCs/>
          <w:sz w:val="20"/>
          <w:lang w:val="en-US"/>
        </w:rPr>
        <w:t>(B)</w:t>
      </w:r>
      <w:r w:rsidRPr="00FE0355">
        <w:rPr>
          <w:rFonts w:cs="Times New Roman"/>
          <w:sz w:val="20"/>
          <w:lang w:val="en-US"/>
        </w:rPr>
        <w:t xml:space="preserve"> Quantification of TF (CD142) expression on SAS, UD5, and Raji cells measured by flow cytometry. Mean fluorescence intensity (MFI) values were normalized to the average MFI of unstained samples. </w:t>
      </w:r>
      <w:r w:rsidRPr="00FE0355">
        <w:rPr>
          <w:rFonts w:cs="Times New Roman"/>
          <w:b/>
          <w:bCs/>
          <w:sz w:val="20"/>
          <w:lang w:val="en-US"/>
        </w:rPr>
        <w:t>(C)</w:t>
      </w:r>
      <w:r w:rsidRPr="00FE0355">
        <w:rPr>
          <w:rFonts w:cs="Times New Roman"/>
          <w:sz w:val="20"/>
          <w:lang w:val="en-US"/>
        </w:rPr>
        <w:t xml:space="preserve"> Representative size distribution profile of Raji EVs, analyzed via NTA. </w:t>
      </w:r>
      <w:r w:rsidRPr="00FE0355">
        <w:rPr>
          <w:rFonts w:cs="Times New Roman"/>
          <w:b/>
          <w:bCs/>
          <w:sz w:val="20"/>
          <w:lang w:val="en-US"/>
        </w:rPr>
        <w:t>(D)</w:t>
      </w:r>
      <w:r w:rsidRPr="00FE0355">
        <w:rPr>
          <w:rFonts w:cs="Times New Roman"/>
          <w:sz w:val="20"/>
          <w:lang w:val="en-US"/>
        </w:rPr>
        <w:t xml:space="preserve"> Representative flow cytometric histograms showing EV-specific surface markers on Raji EVs (gray histograms), labeled with FITC-conjugated CD63 and CD81 monoclonal antibodies. White histograms (black line) represent negative controls using isotype-matched monoclonal antibodies. </w:t>
      </w:r>
      <w:r w:rsidRPr="00FE0355">
        <w:rPr>
          <w:rFonts w:cs="Times New Roman"/>
          <w:b/>
          <w:bCs/>
          <w:sz w:val="20"/>
          <w:lang w:val="en-US"/>
        </w:rPr>
        <w:t>(E)</w:t>
      </w:r>
      <w:r w:rsidRPr="00FE0355">
        <w:rPr>
          <w:rFonts w:cs="Times New Roman"/>
          <w:sz w:val="20"/>
          <w:lang w:val="en-US"/>
        </w:rPr>
        <w:t xml:space="preserve"> Western blot analysis of Raji cell lysates and Raji EV lysates. 20 </w:t>
      </w:r>
      <w:proofErr w:type="gramStart"/>
      <w:r w:rsidRPr="00FE0355">
        <w:rPr>
          <w:rFonts w:cs="Times New Roman"/>
          <w:sz w:val="20"/>
          <w:lang w:val="en-US"/>
        </w:rPr>
        <w:t>µg</w:t>
      </w:r>
      <w:proofErr w:type="gramEnd"/>
      <w:r w:rsidRPr="00FE0355">
        <w:rPr>
          <w:rFonts w:cs="Times New Roman"/>
          <w:sz w:val="20"/>
          <w:lang w:val="en-US"/>
        </w:rPr>
        <w:t xml:space="preserve"> of lysates were loaded per lane. The molecular weight markers (in </w:t>
      </w:r>
      <w:proofErr w:type="spellStart"/>
      <w:r w:rsidRPr="00FE0355">
        <w:rPr>
          <w:rFonts w:cs="Times New Roman"/>
          <w:sz w:val="20"/>
          <w:lang w:val="en-US"/>
        </w:rPr>
        <w:t>kDa</w:t>
      </w:r>
      <w:proofErr w:type="spellEnd"/>
      <w:r w:rsidRPr="00FE0355">
        <w:rPr>
          <w:rFonts w:cs="Times New Roman"/>
          <w:sz w:val="20"/>
          <w:lang w:val="en-US"/>
        </w:rPr>
        <w:t xml:space="preserve">) provide size references, indicating the molecular weights of CD9 (~25 </w:t>
      </w:r>
      <w:proofErr w:type="spellStart"/>
      <w:r w:rsidRPr="00FE0355">
        <w:rPr>
          <w:rFonts w:cs="Times New Roman"/>
          <w:sz w:val="20"/>
          <w:lang w:val="en-US"/>
        </w:rPr>
        <w:t>kDa</w:t>
      </w:r>
      <w:proofErr w:type="spellEnd"/>
      <w:r w:rsidRPr="00FE0355">
        <w:rPr>
          <w:rFonts w:cs="Times New Roman"/>
          <w:sz w:val="20"/>
          <w:lang w:val="en-US"/>
        </w:rPr>
        <w:t xml:space="preserve">), and GRP94 (~100 </w:t>
      </w:r>
      <w:proofErr w:type="spellStart"/>
      <w:r w:rsidRPr="00FE0355">
        <w:rPr>
          <w:rFonts w:cs="Times New Roman"/>
          <w:sz w:val="20"/>
          <w:lang w:val="en-US"/>
        </w:rPr>
        <w:t>kDa</w:t>
      </w:r>
      <w:proofErr w:type="spellEnd"/>
      <w:r w:rsidRPr="00FE0355">
        <w:rPr>
          <w:rFonts w:cs="Times New Roman"/>
          <w:sz w:val="20"/>
          <w:lang w:val="en-US"/>
        </w:rPr>
        <w:t xml:space="preserve">). TF </w:t>
      </w:r>
      <w:r w:rsidRPr="00FE0355">
        <w:rPr>
          <w:rFonts w:cs="Times New Roman"/>
          <w:sz w:val="20"/>
          <w:lang w:val="en-US"/>
        </w:rPr>
        <w:lastRenderedPageBreak/>
        <w:t xml:space="preserve">bands (~44 </w:t>
      </w:r>
      <w:proofErr w:type="spellStart"/>
      <w:r w:rsidRPr="00FE0355">
        <w:rPr>
          <w:rFonts w:cs="Times New Roman"/>
          <w:sz w:val="20"/>
          <w:lang w:val="en-US"/>
        </w:rPr>
        <w:t>kDa</w:t>
      </w:r>
      <w:proofErr w:type="spellEnd"/>
      <w:r w:rsidRPr="00FE0355">
        <w:rPr>
          <w:rFonts w:cs="Times New Roman"/>
          <w:sz w:val="20"/>
          <w:lang w:val="en-US"/>
        </w:rPr>
        <w:t xml:space="preserve">) were not detected. </w:t>
      </w:r>
      <w:r w:rsidRPr="00FE0355">
        <w:rPr>
          <w:rFonts w:cs="Times New Roman"/>
          <w:b/>
          <w:bCs/>
          <w:sz w:val="20"/>
          <w:lang w:val="en-US"/>
        </w:rPr>
        <w:t>(F)</w:t>
      </w:r>
      <w:r w:rsidRPr="00FE0355">
        <w:rPr>
          <w:rFonts w:cs="Times New Roman"/>
          <w:sz w:val="20"/>
          <w:lang w:val="en-US"/>
        </w:rPr>
        <w:t xml:space="preserve"> PLT aggregation response to EVs pretreated with anti-CD142 antibodies (concentrations indicated). Maximal aggregation is shown for SAS- and UD5-derived EVs (60 </w:t>
      </w:r>
      <w:proofErr w:type="gramStart"/>
      <w:r w:rsidRPr="00FE0355">
        <w:rPr>
          <w:rFonts w:cs="Times New Roman"/>
          <w:sz w:val="20"/>
          <w:lang w:val="en-US"/>
        </w:rPr>
        <w:t>µg</w:t>
      </w:r>
      <w:proofErr w:type="gramEnd"/>
      <w:r w:rsidRPr="00FE0355">
        <w:rPr>
          <w:rFonts w:cs="Times New Roman"/>
          <w:sz w:val="20"/>
          <w:lang w:val="en-US"/>
        </w:rPr>
        <w:t>/mL; n = 3-9 SAS EVs; n = 2-4, UD5 EVs)</w:t>
      </w:r>
      <w:r w:rsidRPr="00FE0355">
        <w:rPr>
          <w:sz w:val="20"/>
          <w:highlight w:val="yellow"/>
          <w:lang w:val="en-US"/>
        </w:rPr>
        <w:fldChar w:fldCharType="begin"/>
      </w:r>
      <w:r w:rsidRPr="00FE0355">
        <w:rPr>
          <w:sz w:val="20"/>
          <w:highlight w:val="yellow"/>
          <w:lang w:val="en-US"/>
        </w:rPr>
        <w:instrText xml:space="preserve"> ADDIN </w:instrText>
      </w:r>
      <w:r w:rsidRPr="00FE0355">
        <w:rPr>
          <w:sz w:val="20"/>
          <w:highlight w:val="yellow"/>
          <w:lang w:val="en-US"/>
        </w:rPr>
        <w:fldChar w:fldCharType="end"/>
      </w:r>
      <w:r w:rsidRPr="00FE0355">
        <w:rPr>
          <w:sz w:val="20"/>
          <w:highlight w:val="yellow"/>
          <w:lang w:val="en-US"/>
        </w:rPr>
        <w:fldChar w:fldCharType="begin"/>
      </w:r>
      <w:r w:rsidRPr="00FE0355">
        <w:rPr>
          <w:sz w:val="20"/>
          <w:highlight w:val="yellow"/>
          <w:lang w:val="en-US"/>
        </w:rPr>
        <w:instrText xml:space="preserve"> ADDIN </w:instrText>
      </w:r>
      <w:r w:rsidRPr="00FE0355">
        <w:rPr>
          <w:sz w:val="20"/>
          <w:highlight w:val="yellow"/>
          <w:lang w:val="en-US"/>
        </w:rPr>
        <w:fldChar w:fldCharType="end"/>
      </w:r>
      <w:r w:rsidRPr="00FE0355">
        <w:rPr>
          <w:sz w:val="20"/>
          <w:highlight w:val="yellow"/>
          <w:lang w:val="en-US"/>
        </w:rPr>
        <w:fldChar w:fldCharType="begin"/>
      </w:r>
      <w:r w:rsidRPr="00FE0355">
        <w:rPr>
          <w:sz w:val="20"/>
          <w:highlight w:val="yellow"/>
          <w:lang w:val="en-US"/>
        </w:rPr>
        <w:instrText xml:space="preserve"> ADDIN </w:instrText>
      </w:r>
      <w:r w:rsidRPr="00FE0355">
        <w:rPr>
          <w:sz w:val="20"/>
          <w:highlight w:val="yellow"/>
          <w:lang w:val="en-US"/>
        </w:rPr>
        <w:fldChar w:fldCharType="end"/>
      </w:r>
      <w:r w:rsidRPr="00FE0355">
        <w:rPr>
          <w:sz w:val="20"/>
          <w:lang w:val="en-US"/>
        </w:rPr>
        <w:t xml:space="preserve">. </w:t>
      </w:r>
      <w:r w:rsidRPr="00FE0355">
        <w:rPr>
          <w:rFonts w:cs="Times New Roman"/>
          <w:sz w:val="20"/>
          <w:lang w:val="en-US"/>
        </w:rPr>
        <w:t>All data are presented as mean + SD. Statistical significance is denoted as follows: *p &lt; 0.05, **p &lt; 0.01, determined using Kruskal-</w:t>
      </w:r>
      <w:proofErr w:type="gramStart"/>
      <w:r w:rsidRPr="00FE0355">
        <w:rPr>
          <w:rFonts w:cs="Times New Roman"/>
          <w:sz w:val="20"/>
          <w:lang w:val="en-US"/>
        </w:rPr>
        <w:t>Wallis</w:t>
      </w:r>
      <w:proofErr w:type="gramEnd"/>
      <w:r w:rsidRPr="00FE0355">
        <w:rPr>
          <w:rFonts w:cs="Times New Roman"/>
          <w:sz w:val="20"/>
          <w:lang w:val="en-US"/>
        </w:rPr>
        <w:t xml:space="preserve"> test followed by Dunn’s post-hoc test.</w:t>
      </w:r>
    </w:p>
    <w:p w14:paraId="4023BADF" w14:textId="77777777" w:rsidR="004F2FDA" w:rsidRDefault="004F2FDA"/>
    <w:sectPr w:rsidR="004F2FDA">
      <w:pgSz w:w="595.30pt" w:h="841.90pt"/>
      <w:pgMar w:top="72pt" w:right="72pt" w:bottom="72pt" w:left="72pt" w:header="35.40pt" w:footer="35.40pt" w:gutter="0pt"/>
      <w:cols w:space="35.40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characterSet="iso-8859-1"/>
    <w:family w:val="swiss"/>
    <w:pitch w:val="variable"/>
    <w:sig w:usb0="20000287" w:usb1="00000003" w:usb2="0000000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Aptos Display">
    <w:charset w:characterSet="iso-8859-1"/>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998"/>
    <w:rsid w:val="000E2EDD"/>
    <w:rsid w:val="00162085"/>
    <w:rsid w:val="004F2FDA"/>
    <w:rsid w:val="00951998"/>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CC346D2"/>
  <w15:chartTrackingRefBased/>
  <w15:docId w15:val="{31A21E0C-9958-4DA0-86C1-244306272DF7}"/>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8pt" w:line="13.90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998"/>
    <w:pPr>
      <w:spacing w:line="18pt" w:lineRule="auto"/>
    </w:pPr>
    <w:rPr>
      <w:rFonts w:ascii="Times New Roman" w:hAnsi="Times New Roman"/>
      <w:kern w:val="0"/>
      <w:sz w:val="22"/>
      <w:szCs w:val="22"/>
      <w:lang w:val="de-DE"/>
      <w14:ligatures w14:val="none"/>
    </w:rPr>
  </w:style>
  <w:style w:type="paragraph" w:styleId="Heading1">
    <w:name w:val="heading 1"/>
    <w:basedOn w:val="Normal"/>
    <w:next w:val="Normal"/>
    <w:link w:val="Heading1Char"/>
    <w:uiPriority w:val="9"/>
    <w:qFormat/>
    <w:rsid w:val="00951998"/>
    <w:pPr>
      <w:keepNext/>
      <w:keepLines/>
      <w:spacing w:before="18pt" w:after="4pt" w:line="13.90pt"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951998"/>
    <w:pPr>
      <w:keepNext/>
      <w:keepLines/>
      <w:spacing w:before="8pt" w:after="4pt" w:line="13.90pt"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951998"/>
    <w:pPr>
      <w:keepNext/>
      <w:keepLines/>
      <w:spacing w:before="8pt" w:after="4pt" w:line="13.90pt"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951998"/>
    <w:pPr>
      <w:keepNext/>
      <w:keepLines/>
      <w:spacing w:before="4pt" w:after="2pt" w:line="13.90pt"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951998"/>
    <w:pPr>
      <w:keepNext/>
      <w:keepLines/>
      <w:spacing w:before="4pt" w:after="2pt" w:line="13.90pt"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951998"/>
    <w:pPr>
      <w:keepNext/>
      <w:keepLines/>
      <w:spacing w:before="2pt" w:after="0pt" w:line="13.90pt"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951998"/>
    <w:pPr>
      <w:keepNext/>
      <w:keepLines/>
      <w:spacing w:before="2pt" w:after="0pt" w:line="13.90pt"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951998"/>
    <w:pPr>
      <w:keepNext/>
      <w:keepLines/>
      <w:spacing w:after="0pt" w:line="13.90pt"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951998"/>
    <w:pPr>
      <w:keepNext/>
      <w:keepLines/>
      <w:spacing w:after="0pt" w:line="13.90pt"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19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19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19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19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19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19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19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19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1998"/>
    <w:rPr>
      <w:rFonts w:eastAsiaTheme="majorEastAsia" w:cstheme="majorBidi"/>
      <w:color w:val="272727" w:themeColor="text1" w:themeTint="D8"/>
    </w:rPr>
  </w:style>
  <w:style w:type="paragraph" w:styleId="Title">
    <w:name w:val="Title"/>
    <w:basedOn w:val="Normal"/>
    <w:next w:val="Normal"/>
    <w:link w:val="TitleChar"/>
    <w:uiPriority w:val="10"/>
    <w:qFormat/>
    <w:rsid w:val="00951998"/>
    <w:pPr>
      <w:spacing w:after="4pt" w:line="12pt"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9519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1998"/>
    <w:pPr>
      <w:numPr>
        <w:ilvl w:val="1"/>
      </w:numPr>
      <w:spacing w:line="13.90pt"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9519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1998"/>
    <w:pPr>
      <w:spacing w:before="8pt" w:line="13.90pt" w:lineRule="auto"/>
      <w:jc w:val="center"/>
    </w:pPr>
    <w:rPr>
      <w:rFonts w:asciiTheme="minorHAnsi" w:hAnsiTheme="minorHAns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951998"/>
    <w:rPr>
      <w:i/>
      <w:iCs/>
      <w:color w:val="404040" w:themeColor="text1" w:themeTint="BF"/>
    </w:rPr>
  </w:style>
  <w:style w:type="paragraph" w:styleId="ListParagraph">
    <w:name w:val="List Paragraph"/>
    <w:basedOn w:val="Normal"/>
    <w:uiPriority w:val="34"/>
    <w:qFormat/>
    <w:rsid w:val="00951998"/>
    <w:pPr>
      <w:spacing w:line="13.90pt" w:lineRule="auto"/>
      <w:ind w:start="36pt"/>
      <w:contextualSpacing/>
    </w:pPr>
    <w:rPr>
      <w:rFonts w:asciiTheme="minorHAnsi" w:hAnsiTheme="minorHAnsi"/>
      <w:kern w:val="2"/>
      <w:sz w:val="24"/>
      <w:szCs w:val="24"/>
      <w:lang w:val="en-IN"/>
      <w14:ligatures w14:val="standardContextual"/>
    </w:rPr>
  </w:style>
  <w:style w:type="character" w:styleId="IntenseEmphasis">
    <w:name w:val="Intense Emphasis"/>
    <w:basedOn w:val="DefaultParagraphFont"/>
    <w:uiPriority w:val="21"/>
    <w:qFormat/>
    <w:rsid w:val="00951998"/>
    <w:rPr>
      <w:i/>
      <w:iCs/>
      <w:color w:val="0F4761" w:themeColor="accent1" w:themeShade="BF"/>
    </w:rPr>
  </w:style>
  <w:style w:type="paragraph" w:styleId="IntenseQuote">
    <w:name w:val="Intense Quote"/>
    <w:basedOn w:val="Normal"/>
    <w:next w:val="Normal"/>
    <w:link w:val="IntenseQuoteChar"/>
    <w:uiPriority w:val="30"/>
    <w:qFormat/>
    <w:rsid w:val="00951998"/>
    <w:pPr>
      <w:pBdr>
        <w:top w:val="single" w:sz="4" w:space="10" w:color="0F4761" w:themeColor="accent1" w:themeShade="BF"/>
        <w:bottom w:val="single" w:sz="4" w:space="10" w:color="0F4761" w:themeColor="accent1" w:themeShade="BF"/>
      </w:pBdr>
      <w:spacing w:before="18pt" w:after="18pt" w:line="13.90pt" w:lineRule="auto"/>
      <w:ind w:start="43.20pt" w:end="43.20pt"/>
      <w:jc w:val="center"/>
    </w:pPr>
    <w:rPr>
      <w:rFonts w:asciiTheme="minorHAnsi" w:hAnsiTheme="minorHAns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951998"/>
    <w:rPr>
      <w:i/>
      <w:iCs/>
      <w:color w:val="0F4761" w:themeColor="accent1" w:themeShade="BF"/>
    </w:rPr>
  </w:style>
  <w:style w:type="character" w:styleId="IntenseReference">
    <w:name w:val="Intense Reference"/>
    <w:basedOn w:val="DefaultParagraphFont"/>
    <w:uiPriority w:val="32"/>
    <w:qFormat/>
    <w:rsid w:val="00951998"/>
    <w:rPr>
      <w:b/>
      <w:bCs/>
      <w:smallCaps/>
      <w:color w:val="0F4761" w:themeColor="accent1" w:themeShade="BF"/>
      <w:spacing w:val="5"/>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purl.oclc.org/ooxml/officeDocument/relationships/fontTable" Target="fontTable.xml"/><Relationship Id="rId3" Type="http://purl.oclc.org/ooxml/officeDocument/relationships/webSettings" Target="webSettings.xml"/><Relationship Id="rId7" Type="http://purl.oclc.org/ooxml/officeDocument/relationships/image" Target="media/image4.tiff"/><Relationship Id="rId2" Type="http://purl.oclc.org/ooxml/officeDocument/relationships/settings" Target="settings.xml"/><Relationship Id="rId1" Type="http://purl.oclc.org/ooxml/officeDocument/relationships/styles" Target="styles.xml"/><Relationship Id="rId6" Type="http://purl.oclc.org/ooxml/officeDocument/relationships/image" Target="media/image3.tiff"/><Relationship Id="rId5" Type="http://purl.oclc.org/ooxml/officeDocument/relationships/image" Target="media/image2.tiff"/><Relationship Id="rId4" Type="http://purl.oclc.org/ooxml/officeDocument/relationships/image" Target="media/image1.tiff"/><Relationship Id="rId9" Type="http://purl.oclc.org/ooxml/officeDocument/relationships/theme" Target="theme/theme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12700" cap="flat" cmpd="sng" algn="ctr">
          <a:solidFill>
            <a:schemeClr val="phClr"/>
          </a:solidFill>
          <a:prstDash val="solid"/>
          <a:miter lim="800%"/>
        </a:ln>
        <a:ln w="19050" cap="flat" cmpd="sng" algn="ctr">
          <a:solidFill>
            <a:schemeClr val="phClr"/>
          </a:solidFill>
          <a:prstDash val="solid"/>
          <a:miter lim="800%"/>
        </a:ln>
        <a:ln w="2540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purl.oclc.org/ooxml/officeDocument/extendedProperties" xmlns:vt="http://purl.oclc.org/ooxml/officeDocument/docPropsVTypes">
  <Template>Normal.dotm</Template>
  <TotalTime>1</TotalTime>
  <Pages>6</Pages>
  <Words>1137</Words>
  <Characters>6487</Characters>
  <Application>Microsoft Office Word</Application>
  <DocSecurity>0</DocSecurity>
  <Lines>54</Lines>
  <Paragraphs>15</Paragraphs>
  <ScaleCrop>false</ScaleCrop>
  <Company/>
  <LinksUpToDate>false</LinksUpToDate>
  <CharactersWithSpaces>7609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2025-04-24T19:27:00Z</dcterms:created>
  <dcterms:modified xsi:type="dcterms:W3CDTF">2025-04-24T19:30:00Z</dcterms:modified>
</cp:coreProperties>
</file>