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A28496" w14:textId="77777777" w:rsidR="00DA5101" w:rsidRPr="00B57C7E" w:rsidRDefault="00DA5101" w:rsidP="00DA5101">
      <w:pPr>
        <w:widowControl/>
        <w:spacing w:line="480" w:lineRule="auto"/>
        <w:jc w:val="left"/>
        <w:rPr>
          <w:rStyle w:val="aa"/>
          <w:rFonts w:cs="Times New Roman"/>
          <w:sz w:val="36"/>
          <w:szCs w:val="36"/>
        </w:rPr>
      </w:pPr>
      <w:bookmarkStart w:id="0" w:name="_Hlk49420924"/>
    </w:p>
    <w:p w14:paraId="49C55990" w14:textId="77777777" w:rsidR="00DA5101" w:rsidRPr="00B57C7E" w:rsidRDefault="00DA5101" w:rsidP="00DA5101">
      <w:pPr>
        <w:widowControl/>
        <w:spacing w:line="480" w:lineRule="auto"/>
        <w:jc w:val="left"/>
        <w:rPr>
          <w:rStyle w:val="aa"/>
          <w:rFonts w:cs="Times New Roman"/>
          <w:sz w:val="36"/>
          <w:szCs w:val="36"/>
        </w:rPr>
      </w:pPr>
    </w:p>
    <w:p w14:paraId="3309D8CF" w14:textId="77777777" w:rsidR="00DA5101" w:rsidRPr="00B57C7E" w:rsidRDefault="00DA5101" w:rsidP="00DA5101">
      <w:pPr>
        <w:widowControl/>
        <w:spacing w:line="480" w:lineRule="auto"/>
        <w:jc w:val="left"/>
        <w:rPr>
          <w:rStyle w:val="aa"/>
          <w:rFonts w:cs="Times New Roman"/>
          <w:sz w:val="36"/>
          <w:szCs w:val="36"/>
        </w:rPr>
      </w:pPr>
    </w:p>
    <w:p w14:paraId="78291BE5" w14:textId="0B91CED3" w:rsidR="00DA5101" w:rsidRPr="00B57C7E" w:rsidRDefault="00913B27" w:rsidP="00DA5101">
      <w:pPr>
        <w:widowControl/>
        <w:spacing w:line="480" w:lineRule="auto"/>
        <w:jc w:val="center"/>
        <w:rPr>
          <w:rFonts w:ascii="Times New Roman" w:hAnsi="Times New Roman" w:cs="Times New Roman"/>
          <w:b/>
          <w:bCs/>
          <w:sz w:val="36"/>
          <w:szCs w:val="36"/>
        </w:rPr>
      </w:pPr>
      <w:r w:rsidRPr="00B57C7E">
        <w:rPr>
          <w:rFonts w:ascii="Times New Roman" w:hAnsi="Times New Roman" w:cs="Times New Roman"/>
          <w:b/>
          <w:bCs/>
          <w:sz w:val="36"/>
          <w:szCs w:val="36"/>
        </w:rPr>
        <w:t>Supplementary Data</w:t>
      </w:r>
    </w:p>
    <w:p w14:paraId="73B81FBC" w14:textId="77777777" w:rsidR="00913B27" w:rsidRPr="00B57C7E" w:rsidRDefault="00913B27" w:rsidP="00DA5101">
      <w:pPr>
        <w:widowControl/>
        <w:spacing w:line="480" w:lineRule="auto"/>
        <w:jc w:val="center"/>
        <w:rPr>
          <w:rFonts w:ascii="Times New Roman" w:hAnsi="Times New Roman" w:cs="Times New Roman"/>
          <w:b/>
          <w:bCs/>
          <w:sz w:val="36"/>
          <w:szCs w:val="36"/>
        </w:rPr>
      </w:pPr>
    </w:p>
    <w:p w14:paraId="54C47440" w14:textId="10F62A17" w:rsidR="00DA5101" w:rsidRPr="00B57C7E" w:rsidRDefault="00310F53" w:rsidP="00DA5101">
      <w:pPr>
        <w:widowControl/>
        <w:spacing w:line="480" w:lineRule="auto"/>
        <w:jc w:val="center"/>
        <w:rPr>
          <w:rFonts w:ascii="Times New Roman" w:hAnsi="Times New Roman" w:cs="Times New Roman"/>
          <w:b/>
          <w:bCs/>
          <w:sz w:val="32"/>
          <w:szCs w:val="32"/>
        </w:rPr>
      </w:pPr>
      <w:r w:rsidRPr="00B57C7E">
        <w:rPr>
          <w:rFonts w:ascii="Times New Roman" w:hAnsi="Times New Roman" w:cs="Times New Roman"/>
          <w:b/>
          <w:bCs/>
          <w:sz w:val="32"/>
          <w:szCs w:val="32"/>
        </w:rPr>
        <w:t>Diversity and distribution of potential pathogens and antibiotic resistance genes in anthropogenic disturbances aquatic environment and their relationship with microbial indicators</w:t>
      </w:r>
    </w:p>
    <w:p w14:paraId="4EB95DF1" w14:textId="77777777" w:rsidR="00310F53" w:rsidRPr="00B57C7E" w:rsidRDefault="00310F53" w:rsidP="00DA5101">
      <w:pPr>
        <w:widowControl/>
        <w:spacing w:line="480" w:lineRule="auto"/>
        <w:jc w:val="center"/>
        <w:rPr>
          <w:rFonts w:ascii="Times New Roman" w:hAnsi="Times New Roman" w:cs="Times New Roman"/>
          <w:b/>
          <w:bCs/>
          <w:sz w:val="36"/>
          <w:szCs w:val="36"/>
        </w:rPr>
      </w:pPr>
    </w:p>
    <w:p w14:paraId="6E4D1D95" w14:textId="3C3D4CBA" w:rsidR="00DA5101" w:rsidRPr="00B57C7E" w:rsidRDefault="00621DAD" w:rsidP="00DA5101">
      <w:pPr>
        <w:widowControl/>
        <w:spacing w:line="480" w:lineRule="auto"/>
        <w:jc w:val="center"/>
        <w:rPr>
          <w:rFonts w:ascii="Times New Roman" w:hAnsi="Times New Roman" w:cs="Times New Roman"/>
          <w:sz w:val="24"/>
          <w:szCs w:val="24"/>
        </w:rPr>
      </w:pPr>
      <w:r w:rsidRPr="00B57C7E">
        <w:rPr>
          <w:rFonts w:ascii="Times New Roman" w:hAnsi="Times New Roman" w:cs="Times New Roman"/>
          <w:sz w:val="24"/>
          <w:szCs w:val="24"/>
        </w:rPr>
        <w:t>Xiang-Long Zhao</w:t>
      </w:r>
      <w:r w:rsidRPr="00B57C7E">
        <w:rPr>
          <w:rFonts w:ascii="Times New Roman" w:hAnsi="Times New Roman" w:cs="Times New Roman"/>
          <w:sz w:val="24"/>
          <w:szCs w:val="24"/>
          <w:vertAlign w:val="superscript"/>
        </w:rPr>
        <w:t>1</w:t>
      </w:r>
      <w:r w:rsidRPr="00B57C7E">
        <w:rPr>
          <w:rFonts w:ascii="Times New Roman" w:hAnsi="Times New Roman" w:cs="Times New Roman"/>
          <w:sz w:val="24"/>
          <w:szCs w:val="24"/>
        </w:rPr>
        <w:t xml:space="preserve">, </w:t>
      </w:r>
      <w:r w:rsidR="000E661A" w:rsidRPr="00B57C7E">
        <w:rPr>
          <w:rFonts w:ascii="Times New Roman" w:hAnsi="Times New Roman" w:cs="Times New Roman"/>
          <w:sz w:val="24"/>
          <w:szCs w:val="24"/>
        </w:rPr>
        <w:t xml:space="preserve">Zhao </w:t>
      </w:r>
      <w:r w:rsidRPr="00B57C7E">
        <w:rPr>
          <w:rFonts w:ascii="Times New Roman" w:hAnsi="Times New Roman" w:cs="Times New Roman"/>
          <w:sz w:val="24"/>
          <w:szCs w:val="24"/>
        </w:rPr>
        <w:t xml:space="preserve">Qi </w:t>
      </w:r>
      <w:r w:rsidRPr="00B57C7E">
        <w:rPr>
          <w:rFonts w:ascii="Times New Roman" w:hAnsi="Times New Roman" w:cs="Times New Roman"/>
          <w:sz w:val="24"/>
          <w:szCs w:val="24"/>
          <w:vertAlign w:val="superscript"/>
        </w:rPr>
        <w:t>1</w:t>
      </w:r>
      <w:r w:rsidRPr="00B57C7E">
        <w:rPr>
          <w:rFonts w:ascii="Times New Roman" w:hAnsi="Times New Roman" w:cs="Times New Roman"/>
          <w:sz w:val="24"/>
          <w:szCs w:val="24"/>
        </w:rPr>
        <w:t xml:space="preserve">, Hao Huag </w:t>
      </w:r>
      <w:r w:rsidRPr="00B57C7E">
        <w:rPr>
          <w:rFonts w:ascii="Times New Roman" w:hAnsi="Times New Roman" w:cs="Times New Roman"/>
          <w:sz w:val="24"/>
          <w:szCs w:val="24"/>
          <w:vertAlign w:val="superscript"/>
        </w:rPr>
        <w:t>1</w:t>
      </w:r>
      <w:r w:rsidRPr="00B57C7E">
        <w:rPr>
          <w:rFonts w:ascii="Times New Roman" w:hAnsi="Times New Roman" w:cs="Times New Roman"/>
          <w:sz w:val="24"/>
          <w:szCs w:val="24"/>
        </w:rPr>
        <w:t>,</w:t>
      </w:r>
      <w:r w:rsidR="00F0095D">
        <w:rPr>
          <w:rFonts w:ascii="Times New Roman" w:hAnsi="Times New Roman" w:cs="Times New Roman"/>
          <w:sz w:val="24"/>
          <w:szCs w:val="24"/>
        </w:rPr>
        <w:t xml:space="preserve"> </w:t>
      </w:r>
      <w:r w:rsidR="000E661A" w:rsidRPr="00B57C7E">
        <w:rPr>
          <w:rFonts w:ascii="Times New Roman" w:hAnsi="Times New Roman" w:cs="Times New Roman"/>
          <w:sz w:val="24"/>
          <w:szCs w:val="24"/>
        </w:rPr>
        <w:t>Jian</w:t>
      </w:r>
      <w:r w:rsidRPr="00B57C7E">
        <w:rPr>
          <w:rFonts w:ascii="Times New Roman" w:hAnsi="Times New Roman" w:cs="Times New Roman"/>
          <w:sz w:val="24"/>
          <w:szCs w:val="24"/>
        </w:rPr>
        <w:t xml:space="preserve"> Tu </w:t>
      </w:r>
      <w:r w:rsidRPr="00B57C7E">
        <w:rPr>
          <w:rFonts w:ascii="Times New Roman" w:hAnsi="Times New Roman" w:cs="Times New Roman"/>
          <w:sz w:val="24"/>
          <w:szCs w:val="24"/>
          <w:vertAlign w:val="superscript"/>
        </w:rPr>
        <w:t>1</w:t>
      </w:r>
      <w:r w:rsidRPr="00B57C7E">
        <w:rPr>
          <w:rFonts w:ascii="Times New Roman" w:hAnsi="Times New Roman" w:cs="Times New Roman"/>
          <w:sz w:val="24"/>
          <w:szCs w:val="24"/>
        </w:rPr>
        <w:t>, Xiang-Jun Song</w:t>
      </w:r>
      <w:r w:rsidRPr="00B57C7E">
        <w:rPr>
          <w:rFonts w:ascii="Times New Roman" w:hAnsi="Times New Roman" w:cs="Times New Roman"/>
          <w:sz w:val="24"/>
          <w:szCs w:val="24"/>
          <w:vertAlign w:val="superscript"/>
        </w:rPr>
        <w:t xml:space="preserve"> 1</w:t>
      </w:r>
      <w:r w:rsidRPr="00B57C7E">
        <w:rPr>
          <w:rFonts w:ascii="Times New Roman" w:hAnsi="Times New Roman" w:cs="Times New Roman"/>
          <w:sz w:val="24"/>
          <w:szCs w:val="24"/>
        </w:rPr>
        <w:t xml:space="preserve">, Ke-Zong Qi*, </w:t>
      </w:r>
      <w:r w:rsidR="006E6CC4" w:rsidRPr="00B57C7E">
        <w:rPr>
          <w:rFonts w:ascii="Times New Roman" w:hAnsi="Times New Roman" w:cs="Times New Roman"/>
          <w:sz w:val="24"/>
          <w:szCs w:val="24"/>
        </w:rPr>
        <w:t xml:space="preserve">Yin </w:t>
      </w:r>
      <w:r w:rsidRPr="00B57C7E">
        <w:rPr>
          <w:rFonts w:ascii="Times New Roman" w:hAnsi="Times New Roman" w:cs="Times New Roman"/>
          <w:sz w:val="24"/>
          <w:szCs w:val="24"/>
        </w:rPr>
        <w:t>Shao*</w:t>
      </w:r>
    </w:p>
    <w:p w14:paraId="300C5841" w14:textId="08664F8D" w:rsidR="00DA5101" w:rsidRPr="00B57C7E" w:rsidRDefault="00DA5101">
      <w:pPr>
        <w:widowControl/>
        <w:jc w:val="left"/>
        <w:rPr>
          <w:rFonts w:ascii="Times New Roman" w:hAnsi="Times New Roman" w:cs="Times New Roman"/>
          <w:sz w:val="24"/>
          <w:szCs w:val="24"/>
        </w:rPr>
      </w:pPr>
      <w:r w:rsidRPr="00B57C7E">
        <w:rPr>
          <w:rFonts w:ascii="Times New Roman" w:hAnsi="Times New Roman" w:cs="Times New Roman"/>
          <w:sz w:val="24"/>
          <w:szCs w:val="24"/>
        </w:rPr>
        <w:br w:type="page"/>
      </w:r>
      <w:bookmarkEnd w:id="0"/>
    </w:p>
    <w:p w14:paraId="1B03EC87" w14:textId="2FE99BD7" w:rsidR="003F6B6A" w:rsidRPr="00B57C7E" w:rsidRDefault="003F6B6A" w:rsidP="00FF6E34">
      <w:pPr>
        <w:spacing w:line="360" w:lineRule="auto"/>
        <w:rPr>
          <w:rFonts w:ascii="Times New Roman" w:hAnsi="Times New Roman" w:cs="Times New Roman"/>
          <w:b/>
          <w:bCs/>
          <w:sz w:val="24"/>
          <w:szCs w:val="24"/>
        </w:rPr>
      </w:pPr>
      <w:r w:rsidRPr="00B57C7E">
        <w:rPr>
          <w:rFonts w:ascii="Times New Roman" w:hAnsi="Times New Roman" w:cs="Times New Roman"/>
          <w:b/>
          <w:bCs/>
          <w:sz w:val="24"/>
          <w:szCs w:val="24"/>
        </w:rPr>
        <w:lastRenderedPageBreak/>
        <w:t>Text S1 PCR amplification and high-throughput sequencing</w:t>
      </w:r>
    </w:p>
    <w:p w14:paraId="0095BDC8" w14:textId="77777777" w:rsidR="003F6B6A" w:rsidRPr="00B57C7E" w:rsidRDefault="003F6B6A" w:rsidP="00FF6E34">
      <w:pPr>
        <w:spacing w:line="360" w:lineRule="auto"/>
        <w:ind w:firstLineChars="200" w:firstLine="480"/>
        <w:rPr>
          <w:rFonts w:ascii="Times New Roman" w:hAnsi="Times New Roman" w:cs="Times New Roman"/>
          <w:kern w:val="0"/>
          <w:sz w:val="24"/>
          <w:szCs w:val="24"/>
        </w:rPr>
      </w:pPr>
      <w:r w:rsidRPr="00B57C7E">
        <w:rPr>
          <w:rFonts w:ascii="Times New Roman" w:hAnsi="Times New Roman" w:cs="Times New Roman"/>
          <w:kern w:val="0"/>
          <w:sz w:val="24"/>
          <w:szCs w:val="24"/>
        </w:rPr>
        <w:t>The hypervariable region (V3-V4) of bacterial 16Sr RNA gene in water DNA was amplified by PCR using universal primers 341F (5'-CCTACGGGNGGCWGCAG-3') and 805R (5'-GACTACHV GGGTATCTAATCC-3') (Logue et al. 2016). The 5' ends of the primers were tagged with specific barcods per sample and sequencing universal primers. PCR amplification was performed in a total volume of 25 μL reaction mixture containing 25 ng of template DNA, 12.5 μL PCR Premix, 2.5 μL of each primer, and PCR-grade water to adjust the volume. The PCR conditions to amplify the prokaryotic 16S fragments consisted of an initial denaturation at 98 ℃ for 30 seconds; 32 cycles of denaturation at 98 ℃ for 10 seconds, annealing at 54 ℃ for 30 seconds, and extension at 72 ℃ for 45 seconds; and then final extension at 72 ℃ for 10 minutes. The PCR products were confirmed with 2% agarose gel electrophoresis. Throughout the DNA extraction process, ultrapure water, instead of a sample solution, was used to exclude the possibility of false-positive PCR results as a negative control. The PCR products were purifyied by AMPure XT beads (Beckman Coulter Genomics, Danvers, MA, USA) and quantified by Qubit (Invitrogen, USA). The amplicon pools were prepared for sequencing and the size and quantity of the amplicon library were assessed on Agilent 2100 Bioanalyzer (Agilent, USA) and with the Library Quantification Kit for Illumina (Kapa Biosciences, Woburn, MA, USA), respectively. The libraries were sequenced on NovaSeq PE250 platform.</w:t>
      </w:r>
    </w:p>
    <w:p w14:paraId="157A1D3D" w14:textId="48EFC82A" w:rsidR="00C7169E" w:rsidRPr="00B57C7E" w:rsidRDefault="003F6B6A" w:rsidP="006E1FB3">
      <w:pPr>
        <w:spacing w:line="360" w:lineRule="auto"/>
        <w:ind w:firstLineChars="200" w:firstLine="480"/>
        <w:rPr>
          <w:rFonts w:ascii="Times New Roman" w:hAnsi="Times New Roman" w:cs="Times New Roman"/>
          <w:sz w:val="24"/>
          <w:szCs w:val="24"/>
        </w:rPr>
      </w:pPr>
      <w:r w:rsidRPr="00B57C7E">
        <w:rPr>
          <w:rFonts w:ascii="Times New Roman" w:hAnsi="Times New Roman" w:cs="Times New Roman"/>
          <w:kern w:val="0"/>
          <w:sz w:val="24"/>
          <w:szCs w:val="24"/>
        </w:rPr>
        <w:t>One DNA sample from each sampling site was selected for metagenomic analysis, Sequencing was performed using an Illumina PE150 (IlluminaInc.) at Majorbio, Inc., Shanghai, China.</w:t>
      </w:r>
      <w:r w:rsidRPr="00B57C7E">
        <w:rPr>
          <w:rFonts w:ascii="Times New Roman" w:hAnsi="Times New Roman" w:cs="Times New Roman"/>
          <w:sz w:val="24"/>
          <w:szCs w:val="24"/>
        </w:rPr>
        <w:t xml:space="preserve">Concentration and purity of extracted DNA was determined with TBS-380 and NanoDrop2000, respectively. DNA extract quality was checked on 1% agarose gel. DNA extract was fragmented to an average size of about 300 bp using Covaris M220 (Gene Company Limited, China) for paired-end library construction. Paired-end library was constructed using NEXTFLEX  Rapid DNA-Seq (Bioo Scientific, Austin, TX, USA). Adapters containing the full complement of sequencing primer hybridization sites were ligated to the blunt-end of fragments. Paired-end sequencing was performed on Illumina Hiseq Xten (Illumina Inc., San Diego, CA, USA) at </w:t>
      </w:r>
      <w:r w:rsidRPr="00B57C7E">
        <w:rPr>
          <w:rFonts w:ascii="Times New Roman" w:hAnsi="Times New Roman" w:cs="Times New Roman"/>
          <w:sz w:val="24"/>
          <w:szCs w:val="24"/>
        </w:rPr>
        <w:lastRenderedPageBreak/>
        <w:t>Majorbio Bio-Pharm Technology Co., Ltd. (Shanghai, China) using HiSeq X Reagent Kits according to the manufacturer’s instructions (</w:t>
      </w:r>
      <w:hyperlink r:id="rId7" w:history="1">
        <w:r w:rsidRPr="00B57C7E">
          <w:rPr>
            <w:rStyle w:val="a7"/>
            <w:rFonts w:ascii="Times New Roman" w:hAnsi="Times New Roman" w:cs="Times New Roman"/>
            <w:sz w:val="24"/>
            <w:szCs w:val="24"/>
          </w:rPr>
          <w:t>http://www.illumina.com</w:t>
        </w:r>
      </w:hyperlink>
      <w:r w:rsidRPr="00B57C7E">
        <w:rPr>
          <w:rFonts w:ascii="Times New Roman" w:hAnsi="Times New Roman" w:cs="Times New Roman"/>
          <w:sz w:val="24"/>
          <w:szCs w:val="24"/>
        </w:rPr>
        <w:t>). Adapter sequence were stripped from the 3' and 5' end of paired end Illumina reads using SeqPrep (https://github.com/jstjohn/SeqPrep). Low-quality reads (length &lt; 50 bp or with a quality value &lt; 20 or having N bases) were removed by Sickle (</w:t>
      </w:r>
      <w:hyperlink r:id="rId8" w:history="1">
        <w:r w:rsidRPr="00B57C7E">
          <w:rPr>
            <w:rStyle w:val="a7"/>
            <w:rFonts w:ascii="Times New Roman" w:hAnsi="Times New Roman" w:cs="Times New Roman"/>
            <w:sz w:val="24"/>
            <w:szCs w:val="24"/>
          </w:rPr>
          <w:t>https://github.com/najoshi/sickle</w:t>
        </w:r>
      </w:hyperlink>
      <w:r w:rsidRPr="00B57C7E">
        <w:rPr>
          <w:rFonts w:ascii="Times New Roman" w:hAnsi="Times New Roman" w:cs="Times New Roman"/>
          <w:sz w:val="24"/>
          <w:szCs w:val="24"/>
        </w:rPr>
        <w:t>). Metagenomics data were assembled using MEGAHIT (Li et al. 2015) (https://github.com/voutcn/megahit), which makes use of succinct de Bruijn graphs. Contigs with the length being or over 300 bp were selected as the final assembling result, and then the contigs were used for further gene prediction and annotation.</w:t>
      </w:r>
    </w:p>
    <w:p w14:paraId="3E8F3F66" w14:textId="16803599" w:rsidR="00C96B19" w:rsidRPr="00B57C7E" w:rsidRDefault="003141A9" w:rsidP="00FF6E34">
      <w:pPr>
        <w:spacing w:line="360" w:lineRule="auto"/>
        <w:rPr>
          <w:rFonts w:ascii="Times New Roman" w:hAnsi="Times New Roman" w:cs="Times New Roman"/>
          <w:b/>
          <w:bCs/>
          <w:sz w:val="24"/>
          <w:szCs w:val="24"/>
        </w:rPr>
      </w:pPr>
      <w:r w:rsidRPr="00B57C7E">
        <w:rPr>
          <w:rFonts w:ascii="Times New Roman" w:hAnsi="Times New Roman" w:cs="Times New Roman"/>
          <w:b/>
          <w:bCs/>
          <w:sz w:val="24"/>
          <w:szCs w:val="24"/>
        </w:rPr>
        <w:t xml:space="preserve">Text S2 </w:t>
      </w:r>
      <w:r w:rsidR="00D435F8" w:rsidRPr="00B57C7E">
        <w:rPr>
          <w:rFonts w:ascii="Times New Roman" w:hAnsi="Times New Roman" w:cs="Times New Roman"/>
          <w:b/>
          <w:bCs/>
          <w:sz w:val="24"/>
          <w:szCs w:val="24"/>
        </w:rPr>
        <w:t>Bioinformatic analyses of 16S rRNA amplicon sequencing</w:t>
      </w:r>
    </w:p>
    <w:p w14:paraId="4884EFC4" w14:textId="19E762AB" w:rsidR="00C96B19" w:rsidRPr="00B57C7E" w:rsidRDefault="00C96B19" w:rsidP="00A772A8">
      <w:pPr>
        <w:spacing w:line="360" w:lineRule="auto"/>
        <w:ind w:firstLineChars="200" w:firstLine="480"/>
        <w:rPr>
          <w:rFonts w:ascii="Times New Roman" w:hAnsi="Times New Roman" w:cs="Times New Roman"/>
          <w:sz w:val="24"/>
          <w:szCs w:val="24"/>
        </w:rPr>
      </w:pPr>
      <w:r w:rsidRPr="00B57C7E">
        <w:rPr>
          <w:rFonts w:ascii="Times New Roman" w:hAnsi="Times New Roman" w:cs="Times New Roman"/>
          <w:sz w:val="24"/>
          <w:szCs w:val="24"/>
        </w:rPr>
        <w:t>Paired-end reads was assigned to samples based on their unique barcode and truncated by cutting off the barcode and primer sequence. Paired-end reads were merged using FLASH. Quality filtering on the raw reads were performed under specific filtering conditions to obtain the high-quality clean tags according to the fqtrim (v0.94). Chimeric sequences were filtered using Vsearch software (v2.3.4) (Rognes et al. 2016). After dereplication using DADA2, we obtained feature table and feature sequence. Alpha diversity and beta diversity were calculated by normalized to the same sequences randomly. Then according to SILVA (release 132) classifier, feature abundance was normalized using relative abundance of each sample. Alpha diversity is applied in analyzing complexity of species diversity for a sample through 5 indices, including Chao1, Observed species, Goods coverage, Shannon, Simpson,and all this indices in our samples were calculated with QIIME2 (Bolyen et al. 2019) (https://qiime2.org/). Beta diversity were calculated by QIIME2. Principal Coordinates Analysis (PCoA) clustered water samples according to bacterial community to investigate the differences of bacterial communities among different water samples. B</w:t>
      </w:r>
      <w:r w:rsidR="008769FA" w:rsidRPr="00B57C7E">
        <w:rPr>
          <w:rFonts w:ascii="Times New Roman" w:hAnsi="Times New Roman" w:cs="Times New Roman"/>
          <w:sz w:val="24"/>
          <w:szCs w:val="24"/>
        </w:rPr>
        <w:t>LAST</w:t>
      </w:r>
      <w:r w:rsidRPr="00B57C7E">
        <w:rPr>
          <w:rFonts w:ascii="Times New Roman" w:hAnsi="Times New Roman" w:cs="Times New Roman"/>
          <w:sz w:val="24"/>
          <w:szCs w:val="24"/>
        </w:rPr>
        <w:t xml:space="preserve"> was used for sequence alignment, and the feature sequences were annotated with SILVA database for each representative sequence. Other diagrams were implemented using the R package (v3.6.1). LEfSe was performed using the OmicStudio tools (</w:t>
      </w:r>
      <w:hyperlink r:id="rId9" w:history="1">
        <w:r w:rsidR="00D223F3" w:rsidRPr="00B57C7E">
          <w:rPr>
            <w:rStyle w:val="a7"/>
            <w:rFonts w:ascii="Times New Roman" w:hAnsi="Times New Roman" w:cs="Times New Roman"/>
            <w:sz w:val="24"/>
            <w:szCs w:val="24"/>
          </w:rPr>
          <w:t>https://www.omicstudio.cn/tool/</w:t>
        </w:r>
      </w:hyperlink>
      <w:r w:rsidRPr="00B57C7E">
        <w:rPr>
          <w:rFonts w:ascii="Times New Roman" w:hAnsi="Times New Roman" w:cs="Times New Roman"/>
          <w:sz w:val="24"/>
          <w:szCs w:val="24"/>
        </w:rPr>
        <w:t>).</w:t>
      </w:r>
    </w:p>
    <w:p w14:paraId="74232306" w14:textId="77777777" w:rsidR="00914F49" w:rsidRPr="00B57C7E" w:rsidRDefault="00914F49" w:rsidP="00FF6E34">
      <w:pPr>
        <w:spacing w:line="360" w:lineRule="auto"/>
        <w:rPr>
          <w:rFonts w:ascii="Times New Roman" w:hAnsi="Times New Roman" w:cs="Times New Roman"/>
          <w:sz w:val="24"/>
          <w:szCs w:val="24"/>
        </w:rPr>
        <w:sectPr w:rsidR="00914F49" w:rsidRPr="00B57C7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p w14:paraId="4ECEA4C0" w14:textId="689340A0" w:rsidR="00914F49" w:rsidRPr="00B57C7E" w:rsidRDefault="00914F49" w:rsidP="00FF6E34">
      <w:pPr>
        <w:spacing w:line="360" w:lineRule="auto"/>
        <w:rPr>
          <w:rFonts w:ascii="Times New Roman" w:hAnsi="Times New Roman" w:cs="Times New Roman"/>
          <w:sz w:val="24"/>
          <w:szCs w:val="24"/>
        </w:rPr>
      </w:pPr>
    </w:p>
    <w:p w14:paraId="674D5D73" w14:textId="446F162D" w:rsidR="00D223F3" w:rsidRPr="00B57C7E" w:rsidRDefault="00F10F85" w:rsidP="00FA1287">
      <w:pPr>
        <w:spacing w:line="360" w:lineRule="auto"/>
        <w:jc w:val="center"/>
        <w:rPr>
          <w:rFonts w:ascii="Times New Roman" w:hAnsi="Times New Roman" w:cs="Times New Roman"/>
          <w:sz w:val="24"/>
          <w:szCs w:val="24"/>
        </w:rPr>
      </w:pPr>
      <w:r w:rsidRPr="00B57C7E">
        <w:rPr>
          <w:rFonts w:ascii="Times New Roman" w:hAnsi="Times New Roman" w:cs="Times New Roman"/>
          <w:noProof/>
          <w:sz w:val="24"/>
          <w:szCs w:val="24"/>
        </w:rPr>
        <w:drawing>
          <wp:inline distT="0" distB="0" distL="0" distR="0" wp14:anchorId="74B284BA" wp14:editId="17B1BB7A">
            <wp:extent cx="8249795" cy="3726611"/>
            <wp:effectExtent l="0" t="0" r="0" b="762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8262065" cy="3732154"/>
                    </a:xfrm>
                    <a:prstGeom prst="rect">
                      <a:avLst/>
                    </a:prstGeom>
                  </pic:spPr>
                </pic:pic>
              </a:graphicData>
            </a:graphic>
          </wp:inline>
        </w:drawing>
      </w:r>
    </w:p>
    <w:p w14:paraId="777F4216" w14:textId="594D0CA4" w:rsidR="00BE3EB6" w:rsidRPr="00B57C7E" w:rsidRDefault="00F10F85" w:rsidP="00914F49">
      <w:pPr>
        <w:spacing w:line="360" w:lineRule="auto"/>
        <w:jc w:val="center"/>
        <w:rPr>
          <w:rFonts w:ascii="Times New Roman" w:hAnsi="Times New Roman" w:cs="Times New Roman"/>
          <w:noProof/>
          <w:sz w:val="24"/>
          <w:szCs w:val="24"/>
        </w:rPr>
        <w:sectPr w:rsidR="00BE3EB6" w:rsidRPr="00B57C7E" w:rsidSect="00914F49">
          <w:pgSz w:w="16838" w:h="11906" w:orient="landscape"/>
          <w:pgMar w:top="1800" w:right="1440" w:bottom="1800" w:left="1440" w:header="851" w:footer="992" w:gutter="0"/>
          <w:cols w:space="425"/>
          <w:docGrid w:type="lines" w:linePitch="312"/>
        </w:sectPr>
      </w:pPr>
      <w:r w:rsidRPr="00B57C7E">
        <w:rPr>
          <w:rFonts w:ascii="Times New Roman" w:hAnsi="Times New Roman" w:cs="Times New Roman"/>
          <w:b/>
          <w:bCs/>
          <w:noProof/>
          <w:sz w:val="24"/>
          <w:szCs w:val="24"/>
        </w:rPr>
        <w:t>Figure S1</w:t>
      </w:r>
      <w:r w:rsidR="00A92F7D" w:rsidRPr="00B57C7E">
        <w:rPr>
          <w:rFonts w:ascii="Times New Roman" w:hAnsi="Times New Roman" w:cs="Times New Roman"/>
          <w:b/>
          <w:bCs/>
          <w:noProof/>
          <w:sz w:val="24"/>
          <w:szCs w:val="24"/>
        </w:rPr>
        <w:t>.</w:t>
      </w:r>
      <w:r w:rsidRPr="00B57C7E">
        <w:rPr>
          <w:rFonts w:ascii="Times New Roman" w:hAnsi="Times New Roman" w:cs="Times New Roman"/>
          <w:noProof/>
          <w:sz w:val="24"/>
          <w:szCs w:val="24"/>
        </w:rPr>
        <w:t xml:space="preserve"> Sampling Map. The data were supported by OpenStreetMap.</w:t>
      </w:r>
    </w:p>
    <w:p w14:paraId="13E06828" w14:textId="439CF567" w:rsidR="00F10F85" w:rsidRPr="00B57C7E" w:rsidRDefault="00F10F85" w:rsidP="00914F49">
      <w:pPr>
        <w:spacing w:line="360" w:lineRule="auto"/>
        <w:jc w:val="center"/>
        <w:rPr>
          <w:rFonts w:ascii="Times New Roman" w:eastAsia="宋体" w:hAnsi="Times New Roman" w:cs="Times New Roman"/>
          <w:noProof/>
          <w:sz w:val="24"/>
          <w:szCs w:val="24"/>
        </w:rPr>
      </w:pPr>
    </w:p>
    <w:p w14:paraId="15A04023" w14:textId="676B29DA" w:rsidR="008239D9" w:rsidRPr="00B57C7E" w:rsidRDefault="00EB7721" w:rsidP="00EB7721">
      <w:pPr>
        <w:spacing w:line="360" w:lineRule="auto"/>
        <w:jc w:val="center"/>
        <w:rPr>
          <w:rFonts w:ascii="Times New Roman" w:hAnsi="Times New Roman" w:cs="Times New Roman"/>
          <w:noProof/>
          <w:sz w:val="24"/>
          <w:szCs w:val="24"/>
        </w:rPr>
      </w:pPr>
      <w:r w:rsidRPr="00B57C7E">
        <w:rPr>
          <w:rFonts w:ascii="Times New Roman" w:hAnsi="Times New Roman" w:cs="Times New Roman"/>
          <w:b/>
          <w:noProof/>
          <w:sz w:val="24"/>
          <w:szCs w:val="24"/>
        </w:rPr>
        <w:drawing>
          <wp:inline distT="0" distB="0" distL="0" distR="0" wp14:anchorId="4BEB670A" wp14:editId="440428F3">
            <wp:extent cx="5267960" cy="461264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67960" cy="4612640"/>
                    </a:xfrm>
                    <a:prstGeom prst="rect">
                      <a:avLst/>
                    </a:prstGeom>
                    <a:noFill/>
                    <a:ln>
                      <a:noFill/>
                    </a:ln>
                  </pic:spPr>
                </pic:pic>
              </a:graphicData>
            </a:graphic>
          </wp:inline>
        </w:drawing>
      </w:r>
      <w:r w:rsidRPr="00B57C7E">
        <w:rPr>
          <w:rFonts w:ascii="Times New Roman" w:hAnsi="Times New Roman" w:cs="Times New Roman"/>
          <w:b/>
          <w:bCs/>
          <w:noProof/>
          <w:sz w:val="24"/>
          <w:szCs w:val="24"/>
        </w:rPr>
        <w:t xml:space="preserve">Figure S2. </w:t>
      </w:r>
      <w:r w:rsidRPr="00B57C7E">
        <w:rPr>
          <w:rFonts w:ascii="Times New Roman" w:hAnsi="Times New Roman" w:cs="Times New Roman"/>
          <w:noProof/>
          <w:sz w:val="24"/>
          <w:szCs w:val="24"/>
        </w:rPr>
        <w:t>Rarefaction curves of 36 sequenced samples.</w:t>
      </w:r>
    </w:p>
    <w:p w14:paraId="15318ED4" w14:textId="77777777" w:rsidR="008239D9" w:rsidRPr="00B57C7E" w:rsidRDefault="008239D9">
      <w:pPr>
        <w:widowControl/>
        <w:jc w:val="left"/>
        <w:rPr>
          <w:rFonts w:ascii="Times New Roman" w:hAnsi="Times New Roman" w:cs="Times New Roman"/>
          <w:noProof/>
          <w:sz w:val="24"/>
          <w:szCs w:val="24"/>
        </w:rPr>
      </w:pPr>
      <w:r w:rsidRPr="00B57C7E">
        <w:rPr>
          <w:rFonts w:ascii="Times New Roman" w:hAnsi="Times New Roman" w:cs="Times New Roman"/>
          <w:noProof/>
          <w:sz w:val="24"/>
          <w:szCs w:val="24"/>
        </w:rPr>
        <w:br w:type="page"/>
      </w:r>
    </w:p>
    <w:p w14:paraId="3744D9FA" w14:textId="1480277B" w:rsidR="00EB7721" w:rsidRPr="00B57C7E" w:rsidRDefault="008239D9" w:rsidP="00EB7721">
      <w:pPr>
        <w:spacing w:line="360" w:lineRule="auto"/>
        <w:jc w:val="center"/>
        <w:rPr>
          <w:rFonts w:ascii="Times New Roman" w:hAnsi="Times New Roman" w:cs="Times New Roman"/>
          <w:noProof/>
          <w:sz w:val="24"/>
          <w:szCs w:val="24"/>
        </w:rPr>
      </w:pPr>
      <w:r w:rsidRPr="00B57C7E">
        <w:rPr>
          <w:rFonts w:ascii="Times New Roman" w:hAnsi="Times New Roman" w:cs="Times New Roman"/>
          <w:noProof/>
          <w:sz w:val="24"/>
          <w:szCs w:val="24"/>
        </w:rPr>
        <w:lastRenderedPageBreak/>
        <w:drawing>
          <wp:inline distT="0" distB="0" distL="0" distR="0" wp14:anchorId="23729139" wp14:editId="20C72FC4">
            <wp:extent cx="5273675" cy="4242435"/>
            <wp:effectExtent l="0" t="0" r="3175"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3675" cy="4242435"/>
                    </a:xfrm>
                    <a:prstGeom prst="rect">
                      <a:avLst/>
                    </a:prstGeom>
                    <a:noFill/>
                    <a:ln>
                      <a:noFill/>
                    </a:ln>
                  </pic:spPr>
                </pic:pic>
              </a:graphicData>
            </a:graphic>
          </wp:inline>
        </w:drawing>
      </w:r>
    </w:p>
    <w:p w14:paraId="63E40A79" w14:textId="0FAD0B39" w:rsidR="002F0272" w:rsidRPr="00B57C7E" w:rsidRDefault="008239D9" w:rsidP="008239D9">
      <w:pPr>
        <w:widowControl/>
        <w:spacing w:line="360" w:lineRule="auto"/>
        <w:jc w:val="left"/>
        <w:rPr>
          <w:rFonts w:ascii="Times New Roman" w:hAnsi="Times New Roman" w:cs="Times New Roman"/>
          <w:sz w:val="24"/>
          <w:szCs w:val="24"/>
        </w:rPr>
      </w:pPr>
      <w:r w:rsidRPr="00B57C7E">
        <w:rPr>
          <w:rFonts w:ascii="Times New Roman" w:hAnsi="Times New Roman" w:cs="Times New Roman"/>
          <w:b/>
          <w:bCs/>
          <w:kern w:val="0"/>
          <w:sz w:val="24"/>
          <w:szCs w:val="24"/>
        </w:rPr>
        <w:t>Figure S3</w:t>
      </w:r>
      <w:r w:rsidR="00A92F7D" w:rsidRPr="00B57C7E">
        <w:rPr>
          <w:rFonts w:ascii="Times New Roman" w:hAnsi="Times New Roman" w:cs="Times New Roman"/>
          <w:b/>
          <w:bCs/>
          <w:kern w:val="0"/>
          <w:sz w:val="24"/>
          <w:szCs w:val="24"/>
        </w:rPr>
        <w:t>.</w:t>
      </w:r>
      <w:r w:rsidRPr="00B57C7E">
        <w:rPr>
          <w:rFonts w:ascii="Times New Roman" w:hAnsi="Times New Roman" w:cs="Times New Roman"/>
          <w:b/>
          <w:bCs/>
          <w:kern w:val="0"/>
          <w:sz w:val="24"/>
          <w:szCs w:val="24"/>
        </w:rPr>
        <w:t xml:space="preserve"> </w:t>
      </w:r>
      <w:r w:rsidRPr="00B57C7E">
        <w:rPr>
          <w:rFonts w:ascii="Times New Roman" w:hAnsi="Times New Roman" w:cs="Times New Roman"/>
          <w:sz w:val="24"/>
          <w:szCs w:val="24"/>
        </w:rPr>
        <w:t xml:space="preserve">The Violin Plot shows the difference in a. chao1 b. observed otus, c. shannon, d. simpson and index among water samples (*: </w:t>
      </w:r>
      <w:r w:rsidRPr="00B57C7E">
        <w:rPr>
          <w:rFonts w:ascii="Times New Roman" w:hAnsi="Times New Roman" w:cs="Times New Roman"/>
          <w:i/>
          <w:iCs/>
          <w:sz w:val="24"/>
          <w:szCs w:val="24"/>
        </w:rPr>
        <w:t>p</w:t>
      </w:r>
      <w:r w:rsidRPr="00B57C7E">
        <w:rPr>
          <w:rFonts w:ascii="Times New Roman" w:hAnsi="Times New Roman" w:cs="Times New Roman"/>
          <w:sz w:val="24"/>
          <w:szCs w:val="24"/>
        </w:rPr>
        <w:t xml:space="preserve"> &lt; 0.05, **: </w:t>
      </w:r>
      <w:r w:rsidRPr="00B57C7E">
        <w:rPr>
          <w:rFonts w:ascii="Times New Roman" w:hAnsi="Times New Roman" w:cs="Times New Roman"/>
          <w:i/>
          <w:iCs/>
          <w:sz w:val="24"/>
          <w:szCs w:val="24"/>
        </w:rPr>
        <w:t>p</w:t>
      </w:r>
      <w:r w:rsidRPr="00B57C7E">
        <w:rPr>
          <w:rFonts w:ascii="Times New Roman" w:hAnsi="Times New Roman" w:cs="Times New Roman"/>
          <w:sz w:val="24"/>
          <w:szCs w:val="24"/>
        </w:rPr>
        <w:t xml:space="preserve"> &lt;0.01 and ***: </w:t>
      </w:r>
      <w:r w:rsidRPr="00B57C7E">
        <w:rPr>
          <w:rFonts w:ascii="Times New Roman" w:hAnsi="Times New Roman" w:cs="Times New Roman"/>
          <w:i/>
          <w:iCs/>
          <w:sz w:val="24"/>
          <w:szCs w:val="24"/>
        </w:rPr>
        <w:t>p</w:t>
      </w:r>
      <w:r w:rsidRPr="00B57C7E">
        <w:rPr>
          <w:rFonts w:ascii="Times New Roman" w:hAnsi="Times New Roman" w:cs="Times New Roman"/>
          <w:sz w:val="24"/>
          <w:szCs w:val="24"/>
        </w:rPr>
        <w:t xml:space="preserve"> &lt; 0.001).</w:t>
      </w:r>
    </w:p>
    <w:p w14:paraId="7C944D37" w14:textId="77777777" w:rsidR="002F0272" w:rsidRPr="00B57C7E" w:rsidRDefault="002F0272">
      <w:pPr>
        <w:widowControl/>
        <w:jc w:val="left"/>
        <w:rPr>
          <w:rFonts w:ascii="Times New Roman" w:hAnsi="Times New Roman" w:cs="Times New Roman"/>
          <w:sz w:val="24"/>
          <w:szCs w:val="24"/>
        </w:rPr>
      </w:pPr>
      <w:r w:rsidRPr="00B57C7E">
        <w:rPr>
          <w:rFonts w:ascii="Times New Roman" w:hAnsi="Times New Roman" w:cs="Times New Roman"/>
          <w:sz w:val="24"/>
          <w:szCs w:val="24"/>
        </w:rPr>
        <w:br w:type="page"/>
      </w:r>
    </w:p>
    <w:p w14:paraId="1F1BFC5C" w14:textId="5510E1F9" w:rsidR="008239D9" w:rsidRPr="00B57C7E" w:rsidRDefault="002F0272" w:rsidP="00D73E43">
      <w:pPr>
        <w:widowControl/>
        <w:spacing w:line="360" w:lineRule="auto"/>
        <w:jc w:val="center"/>
        <w:rPr>
          <w:rFonts w:ascii="Times New Roman" w:hAnsi="Times New Roman" w:cs="Times New Roman"/>
          <w:sz w:val="24"/>
          <w:szCs w:val="24"/>
        </w:rPr>
      </w:pPr>
      <w:r w:rsidRPr="00B57C7E">
        <w:rPr>
          <w:rFonts w:ascii="Times New Roman" w:hAnsi="Times New Roman" w:cs="Times New Roman"/>
          <w:noProof/>
          <w:sz w:val="24"/>
          <w:szCs w:val="24"/>
        </w:rPr>
        <w:lastRenderedPageBreak/>
        <w:drawing>
          <wp:inline distT="0" distB="0" distL="0" distR="0" wp14:anchorId="29CC3409" wp14:editId="10778AB4">
            <wp:extent cx="4358922" cy="7196447"/>
            <wp:effectExtent l="0" t="0" r="381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59808" cy="7197909"/>
                    </a:xfrm>
                    <a:prstGeom prst="rect">
                      <a:avLst/>
                    </a:prstGeom>
                    <a:noFill/>
                    <a:ln>
                      <a:noFill/>
                    </a:ln>
                  </pic:spPr>
                </pic:pic>
              </a:graphicData>
            </a:graphic>
          </wp:inline>
        </w:drawing>
      </w:r>
    </w:p>
    <w:p w14:paraId="7ABB40D7" w14:textId="77777777" w:rsidR="002F0272" w:rsidRPr="00B57C7E" w:rsidRDefault="002F0272" w:rsidP="002F0272">
      <w:pPr>
        <w:spacing w:line="360" w:lineRule="auto"/>
        <w:rPr>
          <w:rFonts w:ascii="Times New Roman" w:hAnsi="Times New Roman" w:cs="Times New Roman"/>
          <w:noProof/>
          <w:sz w:val="24"/>
          <w:szCs w:val="24"/>
        </w:rPr>
      </w:pPr>
      <w:r w:rsidRPr="00B57C7E">
        <w:rPr>
          <w:rFonts w:ascii="Times New Roman" w:hAnsi="Times New Roman" w:cs="Times New Roman"/>
          <w:b/>
          <w:bCs/>
          <w:noProof/>
          <w:sz w:val="24"/>
          <w:szCs w:val="24"/>
        </w:rPr>
        <w:t>Figure S4.</w:t>
      </w:r>
      <w:r w:rsidRPr="00B57C7E">
        <w:rPr>
          <w:rFonts w:ascii="Times New Roman" w:hAnsi="Times New Roman" w:cs="Times New Roman"/>
          <w:noProof/>
          <w:sz w:val="24"/>
          <w:szCs w:val="24"/>
        </w:rPr>
        <w:t xml:space="preserve"> LefSe analysis revealed the phylogenetic distribution of bacteria related to sewage </w:t>
      </w:r>
      <w:r w:rsidRPr="00B57C7E">
        <w:rPr>
          <w:rFonts w:ascii="Times New Roman" w:hAnsi="Times New Roman" w:cs="Times New Roman"/>
          <w:sz w:val="24"/>
          <w:szCs w:val="24"/>
        </w:rPr>
        <w:t>(D, E and</w:t>
      </w:r>
      <w:r w:rsidRPr="00B57C7E">
        <w:rPr>
          <w:rFonts w:ascii="Times New Roman" w:hAnsi="Times New Roman" w:cs="Times New Roman"/>
          <w:color w:val="FF0000"/>
          <w:sz w:val="24"/>
          <w:szCs w:val="24"/>
        </w:rPr>
        <w:t xml:space="preserve"> </w:t>
      </w:r>
      <w:r w:rsidRPr="00B57C7E">
        <w:rPr>
          <w:rFonts w:ascii="Times New Roman" w:hAnsi="Times New Roman" w:cs="Times New Roman"/>
          <w:color w:val="000000" w:themeColor="text1"/>
          <w:sz w:val="24"/>
          <w:szCs w:val="24"/>
        </w:rPr>
        <w:t>A)</w:t>
      </w:r>
      <w:r w:rsidRPr="00B57C7E">
        <w:rPr>
          <w:rFonts w:ascii="Times New Roman" w:hAnsi="Times New Roman" w:cs="Times New Roman"/>
          <w:noProof/>
          <w:color w:val="000000" w:themeColor="text1"/>
          <w:sz w:val="24"/>
          <w:szCs w:val="24"/>
        </w:rPr>
        <w:t xml:space="preserve"> an</w:t>
      </w:r>
      <w:r w:rsidRPr="00B57C7E">
        <w:rPr>
          <w:rFonts w:ascii="Times New Roman" w:hAnsi="Times New Roman" w:cs="Times New Roman"/>
          <w:noProof/>
          <w:sz w:val="24"/>
          <w:szCs w:val="24"/>
        </w:rPr>
        <w:t xml:space="preserve">d river water </w:t>
      </w:r>
      <w:r w:rsidRPr="00B57C7E">
        <w:rPr>
          <w:rFonts w:ascii="Times New Roman" w:hAnsi="Times New Roman" w:cs="Times New Roman"/>
          <w:sz w:val="24"/>
          <w:szCs w:val="24"/>
        </w:rPr>
        <w:t>(XR, HR and FR)</w:t>
      </w:r>
      <w:r w:rsidRPr="00B57C7E">
        <w:rPr>
          <w:rFonts w:ascii="Times New Roman" w:hAnsi="Times New Roman" w:cs="Times New Roman"/>
          <w:noProof/>
          <w:sz w:val="24"/>
          <w:szCs w:val="24"/>
        </w:rPr>
        <w:t>. The phylum, class, order, family and genus levels are listed, differences are represented in the color of the most abundant class (red indicating river water, green indicating wastewater and yellow non-significant). Each circle’s diameter is proportional to the taxon’s abundance.</w:t>
      </w:r>
      <w:r w:rsidRPr="00B57C7E">
        <w:rPr>
          <w:rFonts w:ascii="Times New Roman" w:hAnsi="Times New Roman" w:cs="Times New Roman"/>
          <w:sz w:val="24"/>
          <w:szCs w:val="24"/>
        </w:rPr>
        <w:t xml:space="preserve"> </w:t>
      </w:r>
    </w:p>
    <w:p w14:paraId="03B9EB59" w14:textId="77777777" w:rsidR="002F0272" w:rsidRPr="00B57C7E" w:rsidRDefault="002F0272" w:rsidP="008239D9">
      <w:pPr>
        <w:widowControl/>
        <w:spacing w:line="360" w:lineRule="auto"/>
        <w:jc w:val="left"/>
        <w:rPr>
          <w:rFonts w:ascii="Times New Roman" w:hAnsi="Times New Roman" w:cs="Times New Roman"/>
          <w:sz w:val="24"/>
          <w:szCs w:val="24"/>
        </w:rPr>
      </w:pPr>
    </w:p>
    <w:p w14:paraId="5CDA1673" w14:textId="77777777" w:rsidR="003105CB" w:rsidRPr="00B57C7E" w:rsidRDefault="003105CB" w:rsidP="00454AD1">
      <w:pPr>
        <w:spacing w:line="360" w:lineRule="auto"/>
        <w:rPr>
          <w:rFonts w:ascii="Times New Roman" w:hAnsi="Times New Roman" w:cs="Times New Roman"/>
          <w:b/>
          <w:bCs/>
          <w:noProof/>
          <w:sz w:val="24"/>
          <w:szCs w:val="24"/>
        </w:rPr>
      </w:pPr>
      <w:r w:rsidRPr="00B57C7E">
        <w:rPr>
          <w:rFonts w:ascii="Times New Roman" w:hAnsi="Times New Roman" w:cs="Times New Roman"/>
          <w:b/>
          <w:bCs/>
          <w:noProof/>
          <w:sz w:val="24"/>
          <w:szCs w:val="24"/>
        </w:rPr>
        <w:drawing>
          <wp:inline distT="0" distB="0" distL="0" distR="0" wp14:anchorId="633F799E" wp14:editId="554579B2">
            <wp:extent cx="5273675" cy="3902075"/>
            <wp:effectExtent l="0" t="0" r="317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3675" cy="3902075"/>
                    </a:xfrm>
                    <a:prstGeom prst="rect">
                      <a:avLst/>
                    </a:prstGeom>
                    <a:noFill/>
                    <a:ln>
                      <a:noFill/>
                    </a:ln>
                  </pic:spPr>
                </pic:pic>
              </a:graphicData>
            </a:graphic>
          </wp:inline>
        </w:drawing>
      </w:r>
    </w:p>
    <w:p w14:paraId="359C1BA2" w14:textId="77777777" w:rsidR="003105CB" w:rsidRPr="00B57C7E" w:rsidRDefault="003105CB" w:rsidP="003105CB">
      <w:pPr>
        <w:spacing w:line="360" w:lineRule="auto"/>
        <w:rPr>
          <w:rFonts w:ascii="Times New Roman" w:hAnsi="Times New Roman" w:cs="Times New Roman"/>
          <w:noProof/>
          <w:sz w:val="24"/>
          <w:szCs w:val="24"/>
        </w:rPr>
      </w:pPr>
      <w:r w:rsidRPr="00B57C7E">
        <w:rPr>
          <w:rFonts w:ascii="Times New Roman" w:hAnsi="Times New Roman" w:cs="Times New Roman"/>
          <w:b/>
          <w:bCs/>
          <w:noProof/>
          <w:sz w:val="24"/>
          <w:szCs w:val="24"/>
        </w:rPr>
        <w:t>Figure S5.</w:t>
      </w:r>
      <w:r w:rsidRPr="00B57C7E">
        <w:rPr>
          <w:rFonts w:ascii="Times New Roman" w:hAnsi="Times New Roman" w:cs="Times New Roman"/>
          <w:noProof/>
          <w:sz w:val="24"/>
          <w:szCs w:val="24"/>
        </w:rPr>
        <w:t xml:space="preserve"> Correlation network between mobile ARG and indicator bacteria. Connection represents a strong (Spearman’s correlation coefficients ρ &gt; 0.8, P value &lt; 0.01) correlation.</w:t>
      </w:r>
    </w:p>
    <w:p w14:paraId="29DE9271" w14:textId="2B3CF6F0" w:rsidR="00CA2B13" w:rsidRPr="00B57C7E" w:rsidRDefault="00F713BB" w:rsidP="00454AD1">
      <w:pPr>
        <w:spacing w:line="360" w:lineRule="auto"/>
        <w:rPr>
          <w:rFonts w:ascii="Times New Roman" w:hAnsi="Times New Roman" w:cs="Times New Roman"/>
          <w:b/>
          <w:sz w:val="24"/>
          <w:szCs w:val="24"/>
        </w:rPr>
      </w:pPr>
      <w:r w:rsidRPr="00B57C7E">
        <w:rPr>
          <w:rFonts w:ascii="Times New Roman" w:hAnsi="Times New Roman" w:cs="Times New Roman"/>
          <w:b/>
          <w:bCs/>
          <w:noProof/>
          <w:sz w:val="24"/>
          <w:szCs w:val="24"/>
        </w:rPr>
        <w:br w:type="page"/>
      </w:r>
      <w:r w:rsidR="00782724" w:rsidRPr="00B57C7E">
        <w:rPr>
          <w:rFonts w:ascii="Times New Roman" w:hAnsi="Times New Roman" w:cs="Times New Roman"/>
          <w:b/>
          <w:sz w:val="24"/>
          <w:szCs w:val="24"/>
        </w:rPr>
        <w:lastRenderedPageBreak/>
        <w:t>References</w:t>
      </w:r>
    </w:p>
    <w:p w14:paraId="180C744B" w14:textId="77777777" w:rsidR="00CA2B13" w:rsidRPr="00B57C7E" w:rsidRDefault="00CA2B13" w:rsidP="005B2279">
      <w:pPr>
        <w:spacing w:line="360" w:lineRule="auto"/>
        <w:ind w:left="480" w:hangingChars="200" w:hanging="480"/>
        <w:rPr>
          <w:rFonts w:ascii="Times New Roman" w:hAnsi="Times New Roman" w:cs="Times New Roman"/>
          <w:sz w:val="24"/>
          <w:szCs w:val="24"/>
        </w:rPr>
      </w:pPr>
      <w:r w:rsidRPr="00B57C7E">
        <w:rPr>
          <w:rFonts w:ascii="Times New Roman" w:hAnsi="Times New Roman" w:cs="Times New Roman"/>
          <w:sz w:val="24"/>
          <w:szCs w:val="24"/>
        </w:rPr>
        <w:t xml:space="preserve">Logue JB, Stedmon CA, Kellerman AM, et al (2016) Experimental insights into the importance of </w:t>
      </w:r>
      <w:r w:rsidRPr="00B57C7E">
        <w:rPr>
          <w:rFonts w:ascii="Times New Roman" w:eastAsia="等线" w:hAnsi="Times New Roman" w:cs="Times New Roman"/>
          <w:noProof/>
          <w:sz w:val="24"/>
          <w:szCs w:val="24"/>
        </w:rPr>
        <w:t>aquatic</w:t>
      </w:r>
      <w:r w:rsidRPr="00B57C7E">
        <w:rPr>
          <w:rFonts w:ascii="Times New Roman" w:hAnsi="Times New Roman" w:cs="Times New Roman"/>
          <w:sz w:val="24"/>
          <w:szCs w:val="24"/>
        </w:rPr>
        <w:t xml:space="preserve"> bacterial community composition to the degradation of </w:t>
      </w:r>
      <w:r w:rsidRPr="00B57C7E">
        <w:rPr>
          <w:rFonts w:ascii="Times New Roman" w:eastAsia="等线" w:hAnsi="Times New Roman" w:cs="Times New Roman"/>
          <w:noProof/>
          <w:sz w:val="24"/>
          <w:szCs w:val="24"/>
        </w:rPr>
        <w:t xml:space="preserve">dissolved organic matter. ISME J 10:533–545. </w:t>
      </w:r>
      <w:hyperlink r:id="rId22" w:history="1">
        <w:r w:rsidRPr="00B57C7E">
          <w:rPr>
            <w:rStyle w:val="a7"/>
            <w:rFonts w:ascii="Times New Roman" w:hAnsi="Times New Roman" w:cs="Times New Roman"/>
            <w:sz w:val="24"/>
            <w:szCs w:val="24"/>
          </w:rPr>
          <w:t>https://doi.org/10.1038/ismej.2015.131</w:t>
        </w:r>
      </w:hyperlink>
    </w:p>
    <w:p w14:paraId="05BD5B3F" w14:textId="77777777" w:rsidR="00EC31D7" w:rsidRPr="00B57C7E" w:rsidRDefault="00EC31D7" w:rsidP="00FF6E34">
      <w:pPr>
        <w:spacing w:line="360" w:lineRule="auto"/>
        <w:ind w:left="480" w:hangingChars="200" w:hanging="480"/>
        <w:rPr>
          <w:rFonts w:ascii="Times New Roman" w:hAnsi="Times New Roman" w:cs="Times New Roman"/>
          <w:sz w:val="24"/>
          <w:szCs w:val="24"/>
        </w:rPr>
      </w:pPr>
      <w:r w:rsidRPr="00B57C7E">
        <w:rPr>
          <w:rFonts w:ascii="Times New Roman" w:hAnsi="Times New Roman" w:cs="Times New Roman"/>
          <w:sz w:val="24"/>
          <w:szCs w:val="24"/>
        </w:rPr>
        <w:t xml:space="preserve">Li D, Liu C-M, Luo R, et al (2015) MEGAHIT: an ultra-fast single-node solution for large and complex metagenomics assembly via succinct de Bruijn graph. </w:t>
      </w:r>
      <w:r w:rsidRPr="00B57C7E">
        <w:rPr>
          <w:rFonts w:ascii="Times New Roman" w:eastAsia="等线" w:hAnsi="Times New Roman" w:cs="Times New Roman"/>
          <w:noProof/>
          <w:sz w:val="24"/>
          <w:szCs w:val="24"/>
        </w:rPr>
        <w:t>Bioinformatics</w:t>
      </w:r>
      <w:r w:rsidRPr="00B57C7E">
        <w:rPr>
          <w:rFonts w:ascii="Times New Roman" w:hAnsi="Times New Roman" w:cs="Times New Roman"/>
          <w:sz w:val="24"/>
          <w:szCs w:val="24"/>
        </w:rPr>
        <w:t xml:space="preserve"> 31:1674–1676. </w:t>
      </w:r>
      <w:hyperlink r:id="rId23" w:history="1">
        <w:r w:rsidRPr="00B57C7E">
          <w:rPr>
            <w:rStyle w:val="a7"/>
            <w:rFonts w:ascii="Times New Roman" w:hAnsi="Times New Roman" w:cs="Times New Roman"/>
            <w:sz w:val="24"/>
            <w:szCs w:val="24"/>
          </w:rPr>
          <w:t>https://doi.org/10.1093/bioinformatics/btv033</w:t>
        </w:r>
      </w:hyperlink>
    </w:p>
    <w:p w14:paraId="6DF31F59" w14:textId="77777777" w:rsidR="003F2E1C" w:rsidRPr="00B57C7E" w:rsidRDefault="003F2E1C" w:rsidP="00FF6E34">
      <w:pPr>
        <w:widowControl/>
        <w:spacing w:line="360" w:lineRule="auto"/>
        <w:ind w:left="480" w:hangingChars="200" w:hanging="480"/>
        <w:jc w:val="left"/>
        <w:rPr>
          <w:rFonts w:ascii="Times New Roman" w:hAnsi="Times New Roman" w:cs="Times New Roman"/>
          <w:sz w:val="24"/>
          <w:szCs w:val="24"/>
        </w:rPr>
      </w:pPr>
      <w:r w:rsidRPr="00B57C7E">
        <w:rPr>
          <w:rFonts w:ascii="Times New Roman" w:hAnsi="Times New Roman" w:cs="Times New Roman"/>
          <w:sz w:val="24"/>
          <w:szCs w:val="24"/>
        </w:rPr>
        <w:t xml:space="preserve">Rognes T, Flouri T, Nichols B, et al (2016) VSEARCH: a versatile open source tool for metagenomics. PeerJ 4:e2584. </w:t>
      </w:r>
      <w:hyperlink r:id="rId24" w:history="1">
        <w:r w:rsidRPr="00B57C7E">
          <w:rPr>
            <w:rStyle w:val="a7"/>
            <w:rFonts w:ascii="Times New Roman" w:hAnsi="Times New Roman" w:cs="Times New Roman"/>
            <w:sz w:val="24"/>
            <w:szCs w:val="24"/>
          </w:rPr>
          <w:t>https://doi.org/10.7717/peerj.2584</w:t>
        </w:r>
      </w:hyperlink>
    </w:p>
    <w:p w14:paraId="7D4468A3" w14:textId="1CCAE98A" w:rsidR="00CA2B13" w:rsidRPr="00B57C7E" w:rsidRDefault="003F2E1C" w:rsidP="00FF6E34">
      <w:pPr>
        <w:spacing w:line="360" w:lineRule="auto"/>
        <w:ind w:left="480" w:hangingChars="200" w:hanging="480"/>
        <w:rPr>
          <w:rFonts w:ascii="Times New Roman" w:hAnsi="Times New Roman" w:cs="Times New Roman"/>
          <w:sz w:val="24"/>
          <w:szCs w:val="24"/>
        </w:rPr>
      </w:pPr>
      <w:r w:rsidRPr="00B57C7E">
        <w:rPr>
          <w:rFonts w:ascii="Times New Roman" w:hAnsi="Times New Roman" w:cs="Times New Roman"/>
          <w:sz w:val="24"/>
          <w:szCs w:val="24"/>
        </w:rPr>
        <w:t xml:space="preserve">Bolyen E, Rideout JR, Dillon MR, et al (2019) Reproducible, interactive, scalable and extensible microbiome data science using QIIME 2. Nat Biotechnol 37:852–857. </w:t>
      </w:r>
      <w:hyperlink r:id="rId25" w:history="1">
        <w:r w:rsidRPr="00B57C7E">
          <w:rPr>
            <w:rStyle w:val="a7"/>
            <w:rFonts w:ascii="Times New Roman" w:hAnsi="Times New Roman" w:cs="Times New Roman"/>
            <w:sz w:val="24"/>
            <w:szCs w:val="24"/>
          </w:rPr>
          <w:t>https://doi.org/10.1038/s41587-019-0209-9</w:t>
        </w:r>
      </w:hyperlink>
    </w:p>
    <w:sectPr w:rsidR="00CA2B13" w:rsidRPr="00B57C7E" w:rsidSect="00BE3E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D4AFEA" w14:textId="77777777" w:rsidR="009D551E" w:rsidRDefault="009D551E" w:rsidP="004F5003">
      <w:r>
        <w:separator/>
      </w:r>
    </w:p>
  </w:endnote>
  <w:endnote w:type="continuationSeparator" w:id="0">
    <w:p w14:paraId="3733CBFA" w14:textId="77777777" w:rsidR="009D551E" w:rsidRDefault="009D551E" w:rsidP="004F5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53D806" w14:textId="77777777" w:rsidR="00914F49" w:rsidRDefault="00914F4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34E55A" w14:textId="77777777" w:rsidR="00914F49" w:rsidRDefault="00914F49">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F8DAA3" w14:textId="77777777" w:rsidR="00914F49" w:rsidRDefault="00914F4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A42FCF" w14:textId="77777777" w:rsidR="009D551E" w:rsidRDefault="009D551E" w:rsidP="004F5003">
      <w:r>
        <w:separator/>
      </w:r>
    </w:p>
  </w:footnote>
  <w:footnote w:type="continuationSeparator" w:id="0">
    <w:p w14:paraId="4F60DF0E" w14:textId="77777777" w:rsidR="009D551E" w:rsidRDefault="009D551E" w:rsidP="004F50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1FAE9" w14:textId="77777777" w:rsidR="00995779" w:rsidRDefault="00995779" w:rsidP="00914F49">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D41134" w14:textId="77777777" w:rsidR="00995779" w:rsidRDefault="00995779" w:rsidP="00914F49">
    <w:pPr>
      <w:pStyle w:val="a3"/>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7A4230" w14:textId="77777777" w:rsidR="00914F49" w:rsidRDefault="00914F4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39B"/>
    <w:rsid w:val="00081D3D"/>
    <w:rsid w:val="000A498A"/>
    <w:rsid w:val="000A7BCD"/>
    <w:rsid w:val="000B37F1"/>
    <w:rsid w:val="000C4595"/>
    <w:rsid w:val="000D06C8"/>
    <w:rsid w:val="000E661A"/>
    <w:rsid w:val="0012411C"/>
    <w:rsid w:val="001354FF"/>
    <w:rsid w:val="0015339B"/>
    <w:rsid w:val="001A1A52"/>
    <w:rsid w:val="00232C97"/>
    <w:rsid w:val="00271ED7"/>
    <w:rsid w:val="00273B2D"/>
    <w:rsid w:val="0027565B"/>
    <w:rsid w:val="002E35BD"/>
    <w:rsid w:val="002F0272"/>
    <w:rsid w:val="002F20A4"/>
    <w:rsid w:val="003105CB"/>
    <w:rsid w:val="00310F53"/>
    <w:rsid w:val="003141A9"/>
    <w:rsid w:val="00324643"/>
    <w:rsid w:val="0035401F"/>
    <w:rsid w:val="003C41E6"/>
    <w:rsid w:val="003D67C7"/>
    <w:rsid w:val="003F2E1C"/>
    <w:rsid w:val="003F6212"/>
    <w:rsid w:val="003F6B6A"/>
    <w:rsid w:val="004238BF"/>
    <w:rsid w:val="00454AD1"/>
    <w:rsid w:val="004B66C7"/>
    <w:rsid w:val="004C58B0"/>
    <w:rsid w:val="004F2926"/>
    <w:rsid w:val="004F5003"/>
    <w:rsid w:val="00535D04"/>
    <w:rsid w:val="00594BFE"/>
    <w:rsid w:val="005B2279"/>
    <w:rsid w:val="005B7D50"/>
    <w:rsid w:val="00621DAD"/>
    <w:rsid w:val="006B130A"/>
    <w:rsid w:val="006B1581"/>
    <w:rsid w:val="006E1FB3"/>
    <w:rsid w:val="006E6CC4"/>
    <w:rsid w:val="00773878"/>
    <w:rsid w:val="00782724"/>
    <w:rsid w:val="007C7A74"/>
    <w:rsid w:val="008239D9"/>
    <w:rsid w:val="00864F96"/>
    <w:rsid w:val="008769FA"/>
    <w:rsid w:val="008D2C5C"/>
    <w:rsid w:val="008F40E3"/>
    <w:rsid w:val="00913B27"/>
    <w:rsid w:val="00914F49"/>
    <w:rsid w:val="00925B77"/>
    <w:rsid w:val="0095349E"/>
    <w:rsid w:val="0096004C"/>
    <w:rsid w:val="00987212"/>
    <w:rsid w:val="009928DB"/>
    <w:rsid w:val="00995779"/>
    <w:rsid w:val="009A3187"/>
    <w:rsid w:val="009B43FB"/>
    <w:rsid w:val="009D551E"/>
    <w:rsid w:val="00A00E1C"/>
    <w:rsid w:val="00A25BAD"/>
    <w:rsid w:val="00A44594"/>
    <w:rsid w:val="00A772A8"/>
    <w:rsid w:val="00A92F7D"/>
    <w:rsid w:val="00AA256F"/>
    <w:rsid w:val="00B24480"/>
    <w:rsid w:val="00B57C7E"/>
    <w:rsid w:val="00B73BA3"/>
    <w:rsid w:val="00BB291C"/>
    <w:rsid w:val="00BC0343"/>
    <w:rsid w:val="00BE3EB6"/>
    <w:rsid w:val="00BE59AC"/>
    <w:rsid w:val="00BF4449"/>
    <w:rsid w:val="00C0257A"/>
    <w:rsid w:val="00C4245D"/>
    <w:rsid w:val="00C4439F"/>
    <w:rsid w:val="00C460B1"/>
    <w:rsid w:val="00C55E60"/>
    <w:rsid w:val="00C7102B"/>
    <w:rsid w:val="00C7169E"/>
    <w:rsid w:val="00C80036"/>
    <w:rsid w:val="00C9651A"/>
    <w:rsid w:val="00C96B19"/>
    <w:rsid w:val="00CA2B13"/>
    <w:rsid w:val="00CB3979"/>
    <w:rsid w:val="00CB614A"/>
    <w:rsid w:val="00CC6541"/>
    <w:rsid w:val="00CC6700"/>
    <w:rsid w:val="00CD3D68"/>
    <w:rsid w:val="00D223F3"/>
    <w:rsid w:val="00D435F8"/>
    <w:rsid w:val="00D50AE7"/>
    <w:rsid w:val="00D53C81"/>
    <w:rsid w:val="00D73E43"/>
    <w:rsid w:val="00D867F7"/>
    <w:rsid w:val="00DA5101"/>
    <w:rsid w:val="00DD1954"/>
    <w:rsid w:val="00E43A13"/>
    <w:rsid w:val="00E91D77"/>
    <w:rsid w:val="00EA2EFA"/>
    <w:rsid w:val="00EB7721"/>
    <w:rsid w:val="00EC2127"/>
    <w:rsid w:val="00EC31D7"/>
    <w:rsid w:val="00EF3440"/>
    <w:rsid w:val="00F0095D"/>
    <w:rsid w:val="00F10F85"/>
    <w:rsid w:val="00F713BB"/>
    <w:rsid w:val="00F71E55"/>
    <w:rsid w:val="00FA1287"/>
    <w:rsid w:val="00FF6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7F9A3"/>
  <w15:chartTrackingRefBased/>
  <w15:docId w15:val="{992DA4EC-7913-4201-8016-962AD1CF7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0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500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5003"/>
    <w:rPr>
      <w:sz w:val="18"/>
      <w:szCs w:val="18"/>
    </w:rPr>
  </w:style>
  <w:style w:type="paragraph" w:styleId="a5">
    <w:name w:val="footer"/>
    <w:basedOn w:val="a"/>
    <w:link w:val="a6"/>
    <w:uiPriority w:val="99"/>
    <w:unhideWhenUsed/>
    <w:rsid w:val="004F5003"/>
    <w:pPr>
      <w:tabs>
        <w:tab w:val="center" w:pos="4153"/>
        <w:tab w:val="right" w:pos="8306"/>
      </w:tabs>
      <w:snapToGrid w:val="0"/>
      <w:jc w:val="left"/>
    </w:pPr>
    <w:rPr>
      <w:sz w:val="18"/>
      <w:szCs w:val="18"/>
    </w:rPr>
  </w:style>
  <w:style w:type="character" w:customStyle="1" w:styleId="a6">
    <w:name w:val="页脚 字符"/>
    <w:basedOn w:val="a0"/>
    <w:link w:val="a5"/>
    <w:uiPriority w:val="99"/>
    <w:rsid w:val="004F5003"/>
    <w:rPr>
      <w:sz w:val="18"/>
      <w:szCs w:val="18"/>
    </w:rPr>
  </w:style>
  <w:style w:type="character" w:styleId="a7">
    <w:name w:val="Hyperlink"/>
    <w:basedOn w:val="a0"/>
    <w:uiPriority w:val="99"/>
    <w:unhideWhenUsed/>
    <w:rsid w:val="003F6B6A"/>
    <w:rPr>
      <w:color w:val="0563C1" w:themeColor="hyperlink"/>
      <w:u w:val="single"/>
    </w:rPr>
  </w:style>
  <w:style w:type="paragraph" w:styleId="a8">
    <w:name w:val="List Paragraph"/>
    <w:basedOn w:val="a"/>
    <w:uiPriority w:val="34"/>
    <w:qFormat/>
    <w:rsid w:val="005B2279"/>
    <w:pPr>
      <w:ind w:firstLineChars="200" w:firstLine="420"/>
    </w:pPr>
  </w:style>
  <w:style w:type="character" w:styleId="a9">
    <w:name w:val="Unresolved Mention"/>
    <w:basedOn w:val="a0"/>
    <w:uiPriority w:val="99"/>
    <w:semiHidden/>
    <w:unhideWhenUsed/>
    <w:rsid w:val="00D223F3"/>
    <w:rPr>
      <w:color w:val="605E5C"/>
      <w:shd w:val="clear" w:color="auto" w:fill="E1DFDD"/>
    </w:rPr>
  </w:style>
  <w:style w:type="character" w:styleId="aa">
    <w:name w:val="line number"/>
    <w:basedOn w:val="a0"/>
    <w:uiPriority w:val="99"/>
    <w:unhideWhenUsed/>
    <w:rsid w:val="00DA510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8474155">
      <w:bodyDiv w:val="1"/>
      <w:marLeft w:val="0"/>
      <w:marRight w:val="0"/>
      <w:marTop w:val="0"/>
      <w:marBottom w:val="0"/>
      <w:divBdr>
        <w:top w:val="none" w:sz="0" w:space="0" w:color="auto"/>
        <w:left w:val="none" w:sz="0" w:space="0" w:color="auto"/>
        <w:bottom w:val="none" w:sz="0" w:space="0" w:color="auto"/>
        <w:right w:val="none" w:sz="0" w:space="0" w:color="auto"/>
      </w:divBdr>
    </w:div>
    <w:div w:id="1147476451">
      <w:bodyDiv w:val="1"/>
      <w:marLeft w:val="0"/>
      <w:marRight w:val="0"/>
      <w:marTop w:val="0"/>
      <w:marBottom w:val="0"/>
      <w:divBdr>
        <w:top w:val="none" w:sz="0" w:space="0" w:color="auto"/>
        <w:left w:val="none" w:sz="0" w:space="0" w:color="auto"/>
        <w:bottom w:val="none" w:sz="0" w:space="0" w:color="auto"/>
        <w:right w:val="none" w:sz="0" w:space="0" w:color="auto"/>
      </w:divBdr>
    </w:div>
    <w:div w:id="1843812187">
      <w:bodyDiv w:val="1"/>
      <w:marLeft w:val="0"/>
      <w:marRight w:val="0"/>
      <w:marTop w:val="0"/>
      <w:marBottom w:val="0"/>
      <w:divBdr>
        <w:top w:val="none" w:sz="0" w:space="0" w:color="auto"/>
        <w:left w:val="none" w:sz="0" w:space="0" w:color="auto"/>
        <w:bottom w:val="none" w:sz="0" w:space="0" w:color="auto"/>
        <w:right w:val="none" w:sz="0" w:space="0" w:color="auto"/>
      </w:divBdr>
    </w:div>
    <w:div w:id="1867014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najoshi/sickle" TargetMode="External"/><Relationship Id="rId13" Type="http://schemas.openxmlformats.org/officeDocument/2006/relationships/footer" Target="footer2.xml"/><Relationship Id="rId18" Type="http://schemas.openxmlformats.org/officeDocument/2006/relationships/image" Target="media/image3.tif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6.tiff"/><Relationship Id="rId7" Type="http://schemas.openxmlformats.org/officeDocument/2006/relationships/hyperlink" Target="http://www.illumina.com" TargetMode="External"/><Relationship Id="rId12" Type="http://schemas.openxmlformats.org/officeDocument/2006/relationships/footer" Target="footer1.xml"/><Relationship Id="rId17" Type="http://schemas.openxmlformats.org/officeDocument/2006/relationships/image" Target="media/image2.svg"/><Relationship Id="rId25" Type="http://schemas.openxmlformats.org/officeDocument/2006/relationships/hyperlink" Target="https://doi.org/10.1038/s41587-019-0209-9" TargetMode="Externa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s://doi.org/10.7717/peerj.2584" TargetMode="Externa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s://doi.org/10.1093/bioinformatics/btv033" TargetMode="External"/><Relationship Id="rId10" Type="http://schemas.openxmlformats.org/officeDocument/2006/relationships/header" Target="header1.xml"/><Relationship Id="rId19"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hyperlink" Target="https://www.omicstudio.cn/tool/" TargetMode="External"/><Relationship Id="rId14" Type="http://schemas.openxmlformats.org/officeDocument/2006/relationships/header" Target="header3.xml"/><Relationship Id="rId22" Type="http://schemas.openxmlformats.org/officeDocument/2006/relationships/hyperlink" Target="https://doi.org/10.1038/ismej.2015.131"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56C32D-8EE0-48BD-B8B7-23294D67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9</Pages>
  <Words>1058</Words>
  <Characters>6034</Characters>
  <Application>Microsoft Office Word</Application>
  <DocSecurity>0</DocSecurity>
  <Lines>50</Lines>
  <Paragraphs>14</Paragraphs>
  <ScaleCrop>false</ScaleCrop>
  <Company/>
  <LinksUpToDate>false</LinksUpToDate>
  <CharactersWithSpaces>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Titanium</dc:creator>
  <cp:keywords/>
  <dc:description/>
  <cp:lastModifiedBy>Titanium</cp:lastModifiedBy>
  <cp:revision>133</cp:revision>
  <dcterms:created xsi:type="dcterms:W3CDTF">2020-10-19T03:39:00Z</dcterms:created>
  <dcterms:modified xsi:type="dcterms:W3CDTF">2021-06-07T06:27:00Z</dcterms:modified>
</cp:coreProperties>
</file>