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ECBE62" w14:textId="77777777" w:rsidR="00692809" w:rsidRPr="00A13C1A" w:rsidRDefault="00692809" w:rsidP="00692809">
      <w:pPr>
        <w:jc w:val="both"/>
        <w:rPr>
          <w:color w:val="000000" w:themeColor="text1"/>
          <w:sz w:val="22"/>
          <w:szCs w:val="22"/>
        </w:rPr>
      </w:pPr>
    </w:p>
    <w:p w14:paraId="2E50A40C" w14:textId="77777777" w:rsidR="00692809" w:rsidRDefault="00692809" w:rsidP="00692809">
      <w:pPr>
        <w:jc w:val="both"/>
        <w:rPr>
          <w:b/>
          <w:bCs/>
          <w:color w:val="000000" w:themeColor="text1"/>
          <w:sz w:val="22"/>
          <w:szCs w:val="22"/>
        </w:rPr>
      </w:pPr>
      <w:r w:rsidRPr="00A13C1A">
        <w:rPr>
          <w:b/>
          <w:bCs/>
          <w:color w:val="000000" w:themeColor="text1"/>
          <w:sz w:val="22"/>
          <w:szCs w:val="22"/>
        </w:rPr>
        <w:t xml:space="preserve">Appendix: </w:t>
      </w:r>
      <w:r>
        <w:rPr>
          <w:b/>
          <w:bCs/>
          <w:color w:val="000000" w:themeColor="text1"/>
          <w:sz w:val="22"/>
          <w:szCs w:val="22"/>
        </w:rPr>
        <w:t>Equations</w:t>
      </w:r>
    </w:p>
    <w:p w14:paraId="66B2304E" w14:textId="77777777" w:rsidR="00692809" w:rsidRPr="00A13C1A" w:rsidRDefault="00692809" w:rsidP="00692809">
      <w:pPr>
        <w:jc w:val="both"/>
        <w:rPr>
          <w:b/>
          <w:bCs/>
          <w:color w:val="000000" w:themeColor="text1"/>
          <w:sz w:val="22"/>
          <w:szCs w:val="22"/>
        </w:rPr>
      </w:pPr>
    </w:p>
    <w:p w14:paraId="5CF41945" w14:textId="77777777" w:rsidR="00692809" w:rsidRDefault="00692809" w:rsidP="00692809">
      <w:pPr>
        <w:jc w:val="both"/>
        <w:rPr>
          <w:color w:val="000000" w:themeColor="text1"/>
          <w:sz w:val="22"/>
          <w:szCs w:val="22"/>
        </w:rPr>
      </w:pPr>
      <w:r w:rsidRPr="00A13C1A">
        <w:rPr>
          <w:color w:val="000000" w:themeColor="text1"/>
          <w:sz w:val="22"/>
          <w:szCs w:val="22"/>
        </w:rPr>
        <w:t xml:space="preserve">If we want to know how some exposure (treatment, modulator) represented by </w:t>
      </w:r>
      <m:oMath>
        <m:r>
          <w:rPr>
            <w:rFonts w:ascii="Cambria Math" w:hAnsi="Cambria Math"/>
            <w:color w:val="000000" w:themeColor="text1"/>
            <w:sz w:val="22"/>
            <w:szCs w:val="22"/>
          </w:rPr>
          <m:t>X</m:t>
        </m:r>
      </m:oMath>
      <w:r w:rsidRPr="00A13C1A" w:rsidDel="00DF505C">
        <w:rPr>
          <w:color w:val="000000" w:themeColor="text1"/>
          <w:sz w:val="22"/>
          <w:szCs w:val="22"/>
        </w:rPr>
        <w:t xml:space="preserve"> </w:t>
      </w:r>
      <w:r w:rsidRPr="00A13C1A">
        <w:rPr>
          <w:color w:val="000000" w:themeColor="text1"/>
          <w:sz w:val="22"/>
          <w:szCs w:val="22"/>
        </w:rPr>
        <w:t xml:space="preserve"> (e.g., </w:t>
      </w:r>
      <m:oMath>
        <m:r>
          <w:rPr>
            <w:rFonts w:ascii="Cambria Math" w:hAnsi="Cambria Math"/>
            <w:color w:val="000000" w:themeColor="text1"/>
            <w:sz w:val="22"/>
            <w:szCs w:val="22"/>
          </w:rPr>
          <m:t>X</m:t>
        </m:r>
      </m:oMath>
      <w:r>
        <w:rPr>
          <w:rFonts w:eastAsiaTheme="minorEastAsia"/>
          <w:color w:val="000000" w:themeColor="text1"/>
          <w:sz w:val="22"/>
          <w:szCs w:val="22"/>
        </w:rPr>
        <w:t>=1</w:t>
      </w:r>
      <w:r w:rsidRPr="00A13C1A">
        <w:rPr>
          <w:color w:val="000000" w:themeColor="text1"/>
          <w:sz w:val="22"/>
          <w:szCs w:val="22"/>
        </w:rPr>
        <w:t xml:space="preserve"> for ETI and 0 for DMSO) effects a target gene, </w:t>
      </w:r>
      <m:oMath>
        <m:r>
          <w:rPr>
            <w:rFonts w:ascii="Cambria Math" w:hAnsi="Cambria Math"/>
            <w:color w:val="000000" w:themeColor="text1"/>
            <w:sz w:val="22"/>
            <w:szCs w:val="22"/>
          </w:rPr>
          <m:t>T</m:t>
        </m:r>
      </m:oMath>
      <w:r w:rsidRPr="00A13C1A">
        <w:rPr>
          <w:color w:val="000000" w:themeColor="text1"/>
          <w:sz w:val="22"/>
          <w:szCs w:val="22"/>
        </w:rPr>
        <w:t>, taking into account a referen</w:t>
      </w:r>
      <w:r>
        <w:rPr>
          <w:color w:val="000000" w:themeColor="text1"/>
          <w:sz w:val="22"/>
          <w:szCs w:val="22"/>
        </w:rPr>
        <w:t>ce</w:t>
      </w:r>
      <w:r w:rsidRPr="00A13C1A">
        <w:rPr>
          <w:color w:val="000000" w:themeColor="text1"/>
          <w:sz w:val="22"/>
          <w:szCs w:val="22"/>
        </w:rPr>
        <w:t xml:space="preserve"> gene </w:t>
      </w:r>
      <m:oMath>
        <m:r>
          <w:rPr>
            <w:rFonts w:ascii="Cambria Math" w:hAnsi="Cambria Math"/>
            <w:color w:val="000000" w:themeColor="text1"/>
            <w:sz w:val="22"/>
            <w:szCs w:val="22"/>
          </w:rPr>
          <m:t>R</m:t>
        </m:r>
      </m:oMath>
      <w:r w:rsidRPr="00A13C1A">
        <w:rPr>
          <w:color w:val="000000" w:themeColor="text1"/>
          <w:sz w:val="22"/>
          <w:szCs w:val="22"/>
        </w:rPr>
        <w:t xml:space="preserve">, we can model it like so: </w:t>
      </w:r>
    </w:p>
    <w:p w14:paraId="1B7A4C5A" w14:textId="77777777" w:rsidR="00692809" w:rsidRPr="00A13C1A" w:rsidRDefault="00692809" w:rsidP="00692809">
      <w:pPr>
        <w:jc w:val="both"/>
        <w:rPr>
          <w:color w:val="000000" w:themeColor="text1"/>
          <w:sz w:val="22"/>
          <w:szCs w:val="22"/>
        </w:rPr>
      </w:pPr>
    </w:p>
    <w:p w14:paraId="3DCFDBD5" w14:textId="77777777" w:rsidR="00692809" w:rsidRPr="00A9573B" w:rsidRDefault="00692809" w:rsidP="00692809">
      <w:pPr>
        <w:jc w:val="both"/>
        <w:rPr>
          <w:sz w:val="22"/>
          <w:szCs w:val="22"/>
        </w:rPr>
      </w:pPr>
      <w:r w:rsidRPr="00A9573B">
        <w:rPr>
          <w:sz w:val="22"/>
          <w:szCs w:val="22"/>
        </w:rPr>
        <w:t xml:space="preserve">Equation 1: </w:t>
      </w:r>
      <m:oMath>
        <m:r>
          <w:rPr>
            <w:rFonts w:ascii="Cambria Math" w:hAnsi="Cambria Math"/>
            <w:sz w:val="22"/>
            <w:szCs w:val="22"/>
          </w:rPr>
          <m:t>T=</m:t>
        </m:r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sz w:val="22"/>
                <w:szCs w:val="22"/>
              </w:rPr>
              <m:t>β</m:t>
            </m:r>
          </m:e>
          <m:sub>
            <m:r>
              <w:rPr>
                <w:rFonts w:ascii="Cambria Math" w:hAnsi="Cambria Math"/>
                <w:sz w:val="22"/>
                <w:szCs w:val="22"/>
              </w:rPr>
              <m:t>0</m:t>
            </m:r>
          </m:sub>
        </m:sSub>
        <m:r>
          <w:rPr>
            <w:rFonts w:ascii="Cambria Math" w:hAnsi="Cambria Math"/>
            <w:sz w:val="22"/>
            <w:szCs w:val="22"/>
          </w:rPr>
          <m:t>+</m:t>
        </m:r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sz w:val="22"/>
                <w:szCs w:val="22"/>
              </w:rPr>
              <m:t>β</m:t>
            </m:r>
          </m:e>
          <m:sub>
            <m:r>
              <w:rPr>
                <w:rFonts w:ascii="Cambria Math" w:hAnsi="Cambria Math"/>
                <w:sz w:val="22"/>
                <w:szCs w:val="22"/>
              </w:rPr>
              <m:t>1</m:t>
            </m:r>
          </m:sub>
        </m:sSub>
        <m:r>
          <w:rPr>
            <w:rFonts w:ascii="Cambria Math" w:hAnsi="Cambria Math"/>
            <w:sz w:val="22"/>
            <w:szCs w:val="22"/>
          </w:rPr>
          <m:t>X+</m:t>
        </m:r>
        <m:sSup>
          <m:sSup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pPr>
          <m:e>
            <m:r>
              <w:rPr>
                <w:rFonts w:ascii="Cambria Math" w:hAnsi="Cambria Math"/>
                <w:sz w:val="22"/>
                <w:szCs w:val="22"/>
              </w:rPr>
              <m:t>D</m:t>
            </m:r>
          </m:e>
          <m:sup>
            <m:r>
              <w:rPr>
                <w:rFonts w:ascii="Cambria Math" w:hAnsi="Cambria Math"/>
                <w:sz w:val="22"/>
                <w:szCs w:val="22"/>
              </w:rPr>
              <m:t>T</m:t>
            </m:r>
          </m:sup>
        </m:sSup>
        <m:r>
          <w:rPr>
            <w:rFonts w:ascii="Cambria Math" w:hAnsi="Cambria Math"/>
            <w:sz w:val="22"/>
            <w:szCs w:val="22"/>
          </w:rPr>
          <m:t>+</m:t>
        </m:r>
        <m:sSup>
          <m:sSup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pPr>
          <m:e>
            <m:r>
              <w:rPr>
                <w:rFonts w:ascii="Cambria Math" w:hAnsi="Cambria Math"/>
                <w:sz w:val="22"/>
                <w:szCs w:val="22"/>
              </w:rPr>
              <m:t>Q</m:t>
            </m:r>
          </m:e>
          <m:sup>
            <m:r>
              <w:rPr>
                <w:rFonts w:ascii="Cambria Math" w:hAnsi="Cambria Math"/>
                <w:sz w:val="22"/>
                <w:szCs w:val="22"/>
              </w:rPr>
              <m:t>T</m:t>
            </m:r>
          </m:sup>
        </m:sSup>
      </m:oMath>
    </w:p>
    <w:p w14:paraId="6A314AA0" w14:textId="77777777" w:rsidR="00692809" w:rsidRDefault="00692809" w:rsidP="00692809">
      <w:pPr>
        <w:jc w:val="both"/>
        <w:rPr>
          <w:sz w:val="22"/>
          <w:szCs w:val="22"/>
        </w:rPr>
      </w:pPr>
      <w:r w:rsidRPr="00A9573B">
        <w:rPr>
          <w:sz w:val="22"/>
          <w:szCs w:val="22"/>
        </w:rPr>
        <w:t xml:space="preserve">Equation 2: </w:t>
      </w:r>
      <m:oMath>
        <m:r>
          <w:rPr>
            <w:rFonts w:ascii="Cambria Math" w:hAnsi="Cambria Math"/>
            <w:sz w:val="22"/>
            <w:szCs w:val="22"/>
          </w:rPr>
          <m:t>R=</m:t>
        </m:r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sz w:val="22"/>
                <w:szCs w:val="22"/>
              </w:rPr>
              <m:t>α</m:t>
            </m:r>
          </m:e>
          <m:sub>
            <m:r>
              <w:rPr>
                <w:rFonts w:ascii="Cambria Math" w:hAnsi="Cambria Math"/>
                <w:sz w:val="22"/>
                <w:szCs w:val="22"/>
              </w:rPr>
              <m:t>0</m:t>
            </m:r>
          </m:sub>
        </m:sSub>
        <m:r>
          <w:rPr>
            <w:rFonts w:ascii="Cambria Math" w:hAnsi="Cambria Math"/>
            <w:sz w:val="22"/>
            <w:szCs w:val="22"/>
          </w:rPr>
          <m:t>+</m:t>
        </m:r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sz w:val="22"/>
                <w:szCs w:val="22"/>
              </w:rPr>
              <m:t>β</m:t>
            </m:r>
          </m:e>
          <m:sub>
            <m:r>
              <w:rPr>
                <w:rFonts w:ascii="Cambria Math" w:hAnsi="Cambria Math"/>
                <w:sz w:val="22"/>
                <w:szCs w:val="22"/>
              </w:rPr>
              <m:t>1</m:t>
            </m:r>
          </m:sub>
        </m:sSub>
        <m:r>
          <w:rPr>
            <w:rFonts w:ascii="Cambria Math" w:hAnsi="Cambria Math"/>
            <w:sz w:val="22"/>
            <w:szCs w:val="22"/>
          </w:rPr>
          <m:t>X+</m:t>
        </m:r>
        <m:sSup>
          <m:sSup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pPr>
          <m:e>
            <m:r>
              <w:rPr>
                <w:rFonts w:ascii="Cambria Math" w:hAnsi="Cambria Math"/>
                <w:sz w:val="22"/>
                <w:szCs w:val="22"/>
              </w:rPr>
              <m:t>D</m:t>
            </m:r>
          </m:e>
          <m:sup>
            <m:r>
              <w:rPr>
                <w:rFonts w:ascii="Cambria Math" w:hAnsi="Cambria Math"/>
                <w:sz w:val="22"/>
                <w:szCs w:val="22"/>
              </w:rPr>
              <m:t>R</m:t>
            </m:r>
          </m:sup>
        </m:sSup>
        <m:r>
          <w:rPr>
            <w:rFonts w:ascii="Cambria Math" w:hAnsi="Cambria Math"/>
            <w:sz w:val="22"/>
            <w:szCs w:val="22"/>
          </w:rPr>
          <m:t>+</m:t>
        </m:r>
        <m:sSup>
          <m:sSup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pPr>
          <m:e>
            <m:r>
              <w:rPr>
                <w:rFonts w:ascii="Cambria Math" w:hAnsi="Cambria Math"/>
                <w:sz w:val="22"/>
                <w:szCs w:val="22"/>
              </w:rPr>
              <m:t>Q</m:t>
            </m:r>
          </m:e>
          <m:sup>
            <m:r>
              <w:rPr>
                <w:rFonts w:ascii="Cambria Math" w:hAnsi="Cambria Math"/>
                <w:sz w:val="22"/>
                <w:szCs w:val="22"/>
              </w:rPr>
              <m:t>R</m:t>
            </m:r>
          </m:sup>
        </m:sSup>
      </m:oMath>
    </w:p>
    <w:p w14:paraId="0008CA93" w14:textId="77777777" w:rsidR="00692809" w:rsidRPr="00A9573B" w:rsidRDefault="00692809" w:rsidP="00692809">
      <w:pPr>
        <w:jc w:val="both"/>
        <w:rPr>
          <w:sz w:val="22"/>
          <w:szCs w:val="22"/>
        </w:rPr>
      </w:pPr>
    </w:p>
    <w:p w14:paraId="6C5012D6" w14:textId="77777777" w:rsidR="00692809" w:rsidRDefault="00692809" w:rsidP="00692809">
      <w:pPr>
        <w:jc w:val="both"/>
        <w:rPr>
          <w:rFonts w:eastAsiaTheme="minorEastAsia"/>
          <w:sz w:val="22"/>
          <w:szCs w:val="22"/>
        </w:rPr>
      </w:pPr>
      <w:r w:rsidRPr="00A9573B">
        <w:rPr>
          <w:sz w:val="22"/>
          <w:szCs w:val="22"/>
        </w:rPr>
        <w:t xml:space="preserve">Where </w:t>
      </w:r>
      <m:oMath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sz w:val="22"/>
                <w:szCs w:val="22"/>
              </w:rPr>
              <m:t>β</m:t>
            </m:r>
          </m:e>
          <m:sub>
            <m:r>
              <w:rPr>
                <w:rFonts w:ascii="Cambria Math" w:hAnsi="Cambria Math"/>
                <w:sz w:val="22"/>
                <w:szCs w:val="22"/>
              </w:rPr>
              <m:t>0</m:t>
            </m:r>
          </m:sub>
        </m:sSub>
      </m:oMath>
      <w:r w:rsidRPr="00A9573B">
        <w:rPr>
          <w:rFonts w:eastAsiaTheme="minorEastAsia"/>
          <w:sz w:val="22"/>
          <w:szCs w:val="22"/>
        </w:rPr>
        <w:t xml:space="preserve"> is the average value of target gene CT </w:t>
      </w:r>
      <w:r w:rsidRPr="00A9573B">
        <w:rPr>
          <w:sz w:val="22"/>
          <w:szCs w:val="22"/>
        </w:rPr>
        <w:t xml:space="preserve">with DMSO exposure, </w:t>
      </w:r>
      <m:oMath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sz w:val="22"/>
                <w:szCs w:val="22"/>
              </w:rPr>
              <m:t>β</m:t>
            </m:r>
          </m:e>
          <m:sub>
            <m:r>
              <w:rPr>
                <w:rFonts w:ascii="Cambria Math" w:hAnsi="Cambria Math"/>
                <w:sz w:val="22"/>
                <w:szCs w:val="22"/>
              </w:rPr>
              <m:t>1</m:t>
            </m:r>
          </m:sub>
        </m:sSub>
      </m:oMath>
      <w:r w:rsidRPr="00A9573B">
        <w:rPr>
          <w:sz w:val="22"/>
          <w:szCs w:val="22"/>
        </w:rPr>
        <w:t xml:space="preserve"> is difference in average target CT between ETI and DMSO, </w:t>
      </w:r>
      <m:oMath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sz w:val="22"/>
                <w:szCs w:val="22"/>
              </w:rPr>
              <m:t>α</m:t>
            </m:r>
          </m:e>
          <m:sub>
            <m:r>
              <w:rPr>
                <w:rFonts w:ascii="Cambria Math" w:hAnsi="Cambria Math"/>
                <w:sz w:val="22"/>
                <w:szCs w:val="22"/>
              </w:rPr>
              <m:t>0</m:t>
            </m:r>
          </m:sub>
        </m:sSub>
      </m:oMath>
      <w:r w:rsidRPr="00A9573B">
        <w:rPr>
          <w:rFonts w:eastAsiaTheme="minorEastAsia"/>
          <w:sz w:val="22"/>
          <w:szCs w:val="22"/>
        </w:rPr>
        <w:t xml:space="preserve"> is the average value of reference gene CT with </w:t>
      </w:r>
      <w:r w:rsidRPr="00A9573B">
        <w:rPr>
          <w:sz w:val="22"/>
          <w:szCs w:val="22"/>
        </w:rPr>
        <w:t xml:space="preserve">DMSO exposure, </w:t>
      </w:r>
      <m:oMath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sz w:val="22"/>
                <w:szCs w:val="22"/>
              </w:rPr>
              <m:t>α</m:t>
            </m:r>
          </m:e>
          <m:sub>
            <m:r>
              <w:rPr>
                <w:rFonts w:ascii="Cambria Math" w:hAnsi="Cambria Math"/>
                <w:sz w:val="22"/>
                <w:szCs w:val="22"/>
              </w:rPr>
              <m:t>1</m:t>
            </m:r>
          </m:sub>
        </m:sSub>
      </m:oMath>
      <w:r w:rsidRPr="00A9573B">
        <w:rPr>
          <w:sz w:val="22"/>
          <w:szCs w:val="22"/>
        </w:rPr>
        <w:t xml:space="preserve"> is the difference in CT between ETI and DMSO; unbiased estimation of the treatment effect either with </w:t>
      </w:r>
      <w:r w:rsidRPr="00A9573B">
        <w:rPr>
          <w:sz w:val="22"/>
          <w:szCs w:val="22"/>
          <w:vertAlign w:val="superscript"/>
        </w:rPr>
        <w:t>-</w:t>
      </w:r>
      <w:r w:rsidRPr="00A9573B">
        <w:rPr>
          <w:sz w:val="22"/>
          <w:szCs w:val="22"/>
        </w:rPr>
        <w:t>ΔΔC</w:t>
      </w:r>
      <w:r w:rsidRPr="00A9573B">
        <w:rPr>
          <w:sz w:val="22"/>
          <w:szCs w:val="22"/>
          <w:vertAlign w:val="superscript"/>
        </w:rPr>
        <w:t xml:space="preserve">T </w:t>
      </w:r>
      <w:r w:rsidRPr="00A9573B">
        <w:rPr>
          <w:sz w:val="22"/>
          <w:szCs w:val="22"/>
        </w:rPr>
        <w:t xml:space="preserve">or MLM requires that </w:t>
      </w:r>
      <m:oMath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sz w:val="22"/>
                <w:szCs w:val="22"/>
              </w:rPr>
              <m:t>α</m:t>
            </m:r>
          </m:e>
          <m:sub>
            <m:r>
              <w:rPr>
                <w:rFonts w:ascii="Cambria Math" w:hAnsi="Cambria Math"/>
                <w:sz w:val="22"/>
                <w:szCs w:val="22"/>
              </w:rPr>
              <m:t>1</m:t>
            </m:r>
          </m:sub>
        </m:sSub>
        <m:r>
          <w:rPr>
            <w:rFonts w:ascii="Cambria Math" w:hAnsi="Cambria Math"/>
            <w:sz w:val="22"/>
            <w:szCs w:val="22"/>
          </w:rPr>
          <m:t xml:space="preserve">=0. </m:t>
        </m:r>
      </m:oMath>
      <w:r w:rsidRPr="00A13C1A">
        <w:rPr>
          <w:color w:val="000000" w:themeColor="text1"/>
          <w:sz w:val="22"/>
          <w:szCs w:val="22"/>
        </w:rPr>
        <w:t xml:space="preserve"> </w:t>
      </w:r>
      <m:oMath>
        <m:sSup>
          <m:sSup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pPr>
          <m:e>
            <m:r>
              <w:rPr>
                <w:rFonts w:ascii="Cambria Math" w:hAnsi="Cambria Math"/>
                <w:sz w:val="22"/>
                <w:szCs w:val="22"/>
              </w:rPr>
              <m:t>D</m:t>
            </m:r>
          </m:e>
          <m:sup>
            <m:r>
              <w:rPr>
                <w:rFonts w:ascii="Cambria Math" w:hAnsi="Cambria Math"/>
                <w:sz w:val="22"/>
                <w:szCs w:val="22"/>
              </w:rPr>
              <m:t>T</m:t>
            </m:r>
          </m:sup>
        </m:sSup>
      </m:oMath>
      <w:r>
        <w:rPr>
          <w:color w:val="000000" w:themeColor="text1"/>
          <w:sz w:val="22"/>
          <w:szCs w:val="22"/>
        </w:rPr>
        <w:t xml:space="preserve"> and </w:t>
      </w:r>
      <m:oMath>
        <m:sSup>
          <m:sSup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pPr>
          <m:e>
            <m:r>
              <w:rPr>
                <w:rFonts w:ascii="Cambria Math" w:hAnsi="Cambria Math"/>
                <w:sz w:val="22"/>
                <w:szCs w:val="22"/>
              </w:rPr>
              <m:t>D</m:t>
            </m:r>
          </m:e>
          <m:sup>
            <m:r>
              <w:rPr>
                <w:rFonts w:ascii="Cambria Math" w:hAnsi="Cambria Math"/>
                <w:sz w:val="22"/>
                <w:szCs w:val="22"/>
              </w:rPr>
              <m:t>R</m:t>
            </m:r>
          </m:sup>
        </m:sSup>
      </m:oMath>
      <w:r>
        <w:rPr>
          <w:rFonts w:eastAsiaTheme="minorEastAsia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 xml:space="preserve">are an error terms in the target and reference due to sample quality, whereas </w:t>
      </w:r>
      <m:oMath>
        <m:sSup>
          <m:sSup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pPr>
          <m:e>
            <m:r>
              <w:rPr>
                <w:rFonts w:ascii="Cambria Math" w:hAnsi="Cambria Math"/>
                <w:sz w:val="22"/>
                <w:szCs w:val="22"/>
              </w:rPr>
              <m:t>Q</m:t>
            </m:r>
          </m:e>
          <m:sup>
            <m:r>
              <w:rPr>
                <w:rFonts w:ascii="Cambria Math" w:hAnsi="Cambria Math"/>
                <w:sz w:val="22"/>
                <w:szCs w:val="22"/>
              </w:rPr>
              <m:t>T</m:t>
            </m:r>
          </m:sup>
        </m:sSup>
      </m:oMath>
      <w:r>
        <w:rPr>
          <w:color w:val="000000" w:themeColor="text1"/>
          <w:sz w:val="22"/>
          <w:szCs w:val="22"/>
        </w:rPr>
        <w:t xml:space="preserve">and </w:t>
      </w:r>
      <m:oMath>
        <m:sSup>
          <m:sSup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pPr>
          <m:e>
            <m:r>
              <w:rPr>
                <w:rFonts w:ascii="Cambria Math" w:hAnsi="Cambria Math"/>
                <w:sz w:val="22"/>
                <w:szCs w:val="22"/>
              </w:rPr>
              <m:t>Q</m:t>
            </m:r>
          </m:e>
          <m:sup>
            <m:r>
              <w:rPr>
                <w:rFonts w:ascii="Cambria Math" w:hAnsi="Cambria Math"/>
                <w:sz w:val="22"/>
                <w:szCs w:val="22"/>
              </w:rPr>
              <m:t>R</m:t>
            </m:r>
          </m:sup>
        </m:sSup>
      </m:oMath>
      <w:r>
        <w:rPr>
          <w:rFonts w:eastAsiaTheme="minorEastAsia"/>
          <w:sz w:val="22"/>
          <w:szCs w:val="22"/>
        </w:rPr>
        <w:t xml:space="preserve"> are remaining variation.</w:t>
      </w:r>
    </w:p>
    <w:p w14:paraId="56EF86BD" w14:textId="77777777" w:rsidR="00692809" w:rsidRDefault="00692809" w:rsidP="00692809">
      <w:pPr>
        <w:jc w:val="both"/>
        <w:rPr>
          <w:color w:val="000000" w:themeColor="text1"/>
          <w:sz w:val="22"/>
          <w:szCs w:val="22"/>
        </w:rPr>
      </w:pPr>
    </w:p>
    <w:p w14:paraId="3E10F6F9" w14:textId="77777777" w:rsidR="00692809" w:rsidRPr="00A13C1A" w:rsidRDefault="00692809" w:rsidP="00692809">
      <w:pPr>
        <w:jc w:val="both"/>
        <w:rPr>
          <w:color w:val="000000" w:themeColor="text1"/>
          <w:sz w:val="22"/>
          <w:szCs w:val="22"/>
        </w:rPr>
      </w:pPr>
      <w:r w:rsidRPr="00A13C1A">
        <w:rPr>
          <w:color w:val="000000" w:themeColor="text1"/>
          <w:sz w:val="22"/>
          <w:szCs w:val="22"/>
        </w:rPr>
        <w:t>Equation 1 is the simpler mathematical way of saying that target gene expression depends on exposure (e.g., ETI), donor and quality while quantitating (parameterizing) the effect of the exposure. Likewise</w:t>
      </w:r>
      <w:r>
        <w:rPr>
          <w:color w:val="000000" w:themeColor="text1"/>
          <w:sz w:val="22"/>
          <w:szCs w:val="22"/>
        </w:rPr>
        <w:t>,</w:t>
      </w:r>
      <w:r w:rsidRPr="00A13C1A">
        <w:rPr>
          <w:color w:val="000000" w:themeColor="text1"/>
          <w:sz w:val="22"/>
          <w:szCs w:val="22"/>
        </w:rPr>
        <w:t xml:space="preserve"> Equation 2 simply models the reference gene. We introduce different donor effects on the target gene, D, and reference gene, D’, to allow for the possibility the effects are different. Likewise</w:t>
      </w:r>
      <w:r>
        <w:rPr>
          <w:color w:val="000000" w:themeColor="text1"/>
          <w:sz w:val="22"/>
          <w:szCs w:val="22"/>
        </w:rPr>
        <w:t>,</w:t>
      </w:r>
      <w:r w:rsidRPr="00A13C1A">
        <w:rPr>
          <w:color w:val="000000" w:themeColor="text1"/>
          <w:sz w:val="22"/>
          <w:szCs w:val="22"/>
        </w:rPr>
        <w:t xml:space="preserve"> the sample quality effects on target and referen</w:t>
      </w:r>
      <w:r>
        <w:rPr>
          <w:color w:val="000000" w:themeColor="text1"/>
          <w:sz w:val="22"/>
          <w:szCs w:val="22"/>
        </w:rPr>
        <w:t>ce</w:t>
      </w:r>
      <w:r w:rsidRPr="00A13C1A">
        <w:rPr>
          <w:color w:val="000000" w:themeColor="text1"/>
          <w:sz w:val="22"/>
          <w:szCs w:val="22"/>
        </w:rPr>
        <w:t xml:space="preserve"> gene expression, Q and Q’, may be different including the possibility of different standard deviations. This approach also considers the possibility of a correlation between the difference in the CT of the gene of interest and the reference gene. In fact if the standard deviations are the same and rho=cor(Q,Q’)=1 then D=D’.</w:t>
      </w:r>
      <w:r>
        <w:rPr>
          <w:color w:val="000000" w:themeColor="text1"/>
          <w:sz w:val="22"/>
          <w:szCs w:val="22"/>
        </w:rPr>
        <w:t xml:space="preserve"> </w:t>
      </w:r>
      <w:r w:rsidRPr="00A13C1A">
        <w:rPr>
          <w:color w:val="000000" w:themeColor="text1"/>
          <w:sz w:val="22"/>
          <w:szCs w:val="22"/>
        </w:rPr>
        <w:t>Note: in a non-paired design (donors don’t get both ETI and DSMO) the D and Q become a single source of variation since they cannot be distinguished.</w:t>
      </w:r>
    </w:p>
    <w:p w14:paraId="2BDF8108" w14:textId="77777777" w:rsidR="00692809" w:rsidRDefault="00692809" w:rsidP="00692809">
      <w:pPr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</w:t>
      </w:r>
      <w:r w:rsidRPr="00A13C1A">
        <w:rPr>
          <w:color w:val="000000" w:themeColor="text1"/>
          <w:sz w:val="22"/>
          <w:szCs w:val="22"/>
        </w:rPr>
        <w:t xml:space="preserve">elta-delta-CT </w:t>
      </w:r>
      <w:r>
        <w:rPr>
          <w:color w:val="000000" w:themeColor="text1"/>
          <w:sz w:val="22"/>
          <w:szCs w:val="22"/>
        </w:rPr>
        <w:t xml:space="preserve">equals </w:t>
      </w:r>
      <m:oMath>
        <m:r>
          <w:rPr>
            <w:rFonts w:ascii="Cambria Math" w:hAnsi="Cambria Math"/>
            <w:color w:val="000000" w:themeColor="text1"/>
            <w:sz w:val="22"/>
            <w:szCs w:val="22"/>
          </w:rPr>
          <m:t>T</m:t>
        </m:r>
        <m:d>
          <m:dPr>
            <m:ctrlPr>
              <w:rPr>
                <w:rFonts w:ascii="Cambria Math" w:hAnsi="Cambria Math"/>
                <w:i/>
                <w:color w:val="000000" w:themeColor="text1"/>
                <w:sz w:val="22"/>
                <w:szCs w:val="22"/>
              </w:rPr>
            </m:ctrlPr>
          </m:dPr>
          <m:e>
            <m:r>
              <w:rPr>
                <w:rFonts w:ascii="Cambria Math" w:hAnsi="Cambria Math"/>
                <w:color w:val="000000" w:themeColor="text1"/>
                <w:sz w:val="22"/>
                <w:szCs w:val="22"/>
              </w:rPr>
              <m:t>X=1</m:t>
            </m:r>
          </m:e>
        </m:d>
        <m:r>
          <w:rPr>
            <w:rFonts w:ascii="Cambria Math" w:hAnsi="Cambria Math"/>
            <w:color w:val="000000" w:themeColor="text1"/>
            <w:sz w:val="22"/>
            <w:szCs w:val="22"/>
          </w:rPr>
          <m:t>-R</m:t>
        </m:r>
        <m:d>
          <m:dPr>
            <m:ctrlPr>
              <w:rPr>
                <w:rFonts w:ascii="Cambria Math" w:hAnsi="Cambria Math"/>
                <w:i/>
                <w:color w:val="000000" w:themeColor="text1"/>
                <w:sz w:val="22"/>
                <w:szCs w:val="22"/>
              </w:rPr>
            </m:ctrlPr>
          </m:dPr>
          <m:e>
            <m:r>
              <w:rPr>
                <w:rFonts w:ascii="Cambria Math" w:hAnsi="Cambria Math"/>
                <w:color w:val="000000" w:themeColor="text1"/>
                <w:sz w:val="22"/>
                <w:szCs w:val="22"/>
              </w:rPr>
              <m:t>X=1</m:t>
            </m:r>
          </m:e>
        </m:d>
        <m:r>
          <w:rPr>
            <w:rFonts w:ascii="Cambria Math" w:hAnsi="Cambria Math"/>
            <w:color w:val="000000" w:themeColor="text1"/>
            <w:sz w:val="22"/>
            <w:szCs w:val="22"/>
          </w:rPr>
          <m:t>-(T</m:t>
        </m:r>
        <m:d>
          <m:dPr>
            <m:ctrlPr>
              <w:rPr>
                <w:rFonts w:ascii="Cambria Math" w:hAnsi="Cambria Math"/>
                <w:i/>
                <w:color w:val="000000" w:themeColor="text1"/>
                <w:sz w:val="22"/>
                <w:szCs w:val="22"/>
              </w:rPr>
            </m:ctrlPr>
          </m:dPr>
          <m:e>
            <m:r>
              <w:rPr>
                <w:rFonts w:ascii="Cambria Math" w:hAnsi="Cambria Math"/>
                <w:color w:val="000000" w:themeColor="text1"/>
                <w:sz w:val="22"/>
                <w:szCs w:val="22"/>
              </w:rPr>
              <m:t>X=0</m:t>
            </m:r>
          </m:e>
        </m:d>
        <m:r>
          <w:rPr>
            <w:rFonts w:ascii="Cambria Math" w:hAnsi="Cambria Math"/>
            <w:color w:val="000000" w:themeColor="text1"/>
            <w:sz w:val="22"/>
            <w:szCs w:val="22"/>
          </w:rPr>
          <m:t>-R</m:t>
        </m:r>
        <m:d>
          <m:dPr>
            <m:ctrlPr>
              <w:rPr>
                <w:rFonts w:ascii="Cambria Math" w:hAnsi="Cambria Math"/>
                <w:i/>
                <w:color w:val="000000" w:themeColor="text1"/>
                <w:sz w:val="22"/>
                <w:szCs w:val="22"/>
              </w:rPr>
            </m:ctrlPr>
          </m:dPr>
          <m:e>
            <m:r>
              <w:rPr>
                <w:rFonts w:ascii="Cambria Math" w:hAnsi="Cambria Math"/>
                <w:color w:val="000000" w:themeColor="text1"/>
                <w:sz w:val="22"/>
                <w:szCs w:val="22"/>
              </w:rPr>
              <m:t>X=0</m:t>
            </m:r>
          </m:e>
        </m:d>
        <m:r>
          <w:rPr>
            <w:rFonts w:ascii="Cambria Math" w:hAnsi="Cambria Math"/>
            <w:color w:val="000000" w:themeColor="text1"/>
            <w:sz w:val="22"/>
            <w:szCs w:val="22"/>
          </w:rPr>
          <m:t>)</m:t>
        </m:r>
      </m:oMath>
      <w:r>
        <w:rPr>
          <w:color w:val="000000" w:themeColor="text1"/>
          <w:sz w:val="22"/>
          <w:szCs w:val="22"/>
        </w:rPr>
        <w:t xml:space="preserve">. Using the two equations above and fundamental principles of mathematical statistics, the variance of delta-delta-CT equals </w:t>
      </w:r>
    </w:p>
    <w:p w14:paraId="3865C9D4" w14:textId="77777777" w:rsidR="00692809" w:rsidRDefault="00692809" w:rsidP="00692809">
      <w:pPr>
        <w:jc w:val="both"/>
        <w:rPr>
          <w:color w:val="000000" w:themeColor="text1"/>
          <w:sz w:val="22"/>
          <w:szCs w:val="22"/>
        </w:rPr>
      </w:pPr>
    </w:p>
    <w:p w14:paraId="33FC8D27" w14:textId="77777777" w:rsidR="00692809" w:rsidRPr="00A13C1A" w:rsidRDefault="00692809" w:rsidP="00692809">
      <w:pPr>
        <w:jc w:val="both"/>
        <w:rPr>
          <w:color w:val="000000" w:themeColor="text1"/>
          <w:sz w:val="22"/>
          <w:szCs w:val="22"/>
        </w:rPr>
      </w:pPr>
      <w:r w:rsidRPr="00A13C1A">
        <w:rPr>
          <w:color w:val="000000" w:themeColor="text1"/>
          <w:sz w:val="22"/>
          <w:szCs w:val="22"/>
        </w:rPr>
        <w:t>T(X=1) – R(X=1) – (T(X=0) – R(X)=0)</w:t>
      </w:r>
      <w:r>
        <w:rPr>
          <w:color w:val="000000" w:themeColor="text1"/>
          <w:sz w:val="22"/>
          <w:szCs w:val="22"/>
        </w:rPr>
        <w:t xml:space="preserve">. </w:t>
      </w:r>
      <w:r w:rsidRPr="00A13C1A">
        <w:rPr>
          <w:color w:val="000000" w:themeColor="text1"/>
          <w:sz w:val="22"/>
          <w:szCs w:val="22"/>
        </w:rPr>
        <w:t>Which equals according to the formulas above</w:t>
      </w:r>
    </w:p>
    <w:p w14:paraId="7ABFE16A" w14:textId="77777777" w:rsidR="00692809" w:rsidRPr="00A13C1A" w:rsidRDefault="00692809" w:rsidP="00692809">
      <w:pPr>
        <w:jc w:val="both"/>
        <w:rPr>
          <w:color w:val="000000" w:themeColor="text1"/>
          <w:sz w:val="22"/>
          <w:szCs w:val="22"/>
        </w:rPr>
      </w:pPr>
      <w:r w:rsidRPr="00A13C1A">
        <w:rPr>
          <w:color w:val="000000" w:themeColor="text1"/>
          <w:sz w:val="22"/>
          <w:szCs w:val="22"/>
        </w:rPr>
        <w:t>(b1 – a1) + Q(X=1) – Q(X=0) + Q’(X=1) – Q’(X=0)</w:t>
      </w:r>
    </w:p>
    <w:p w14:paraId="2E378DF4" w14:textId="77777777" w:rsidR="00692809" w:rsidRPr="00A13C1A" w:rsidRDefault="00692809" w:rsidP="00692809">
      <w:pPr>
        <w:jc w:val="both"/>
        <w:rPr>
          <w:color w:val="000000" w:themeColor="text1"/>
          <w:sz w:val="22"/>
          <w:szCs w:val="22"/>
        </w:rPr>
      </w:pPr>
    </w:p>
    <w:p w14:paraId="244D9997" w14:textId="77777777" w:rsidR="00692809" w:rsidRPr="00A13C1A" w:rsidRDefault="00692809" w:rsidP="00692809">
      <w:pPr>
        <w:jc w:val="both"/>
        <w:rPr>
          <w:color w:val="000000" w:themeColor="text1"/>
          <w:sz w:val="22"/>
          <w:szCs w:val="22"/>
        </w:rPr>
      </w:pPr>
      <w:r w:rsidRPr="00A13C1A">
        <w:rPr>
          <w:color w:val="000000" w:themeColor="text1"/>
          <w:sz w:val="22"/>
          <w:szCs w:val="22"/>
        </w:rPr>
        <w:t>The expected value (average) is b1 – a1, whereas the true value is b1.</w:t>
      </w:r>
    </w:p>
    <w:p w14:paraId="500A086D" w14:textId="77777777" w:rsidR="00692809" w:rsidRPr="00A13C1A" w:rsidRDefault="00692809" w:rsidP="00692809">
      <w:pPr>
        <w:jc w:val="both"/>
        <w:rPr>
          <w:color w:val="000000" w:themeColor="text1"/>
          <w:sz w:val="22"/>
          <w:szCs w:val="22"/>
        </w:rPr>
      </w:pPr>
      <w:r w:rsidRPr="00A13C1A">
        <w:rPr>
          <w:color w:val="000000" w:themeColor="text1"/>
          <w:sz w:val="22"/>
          <w:szCs w:val="22"/>
        </w:rPr>
        <w:t>Thus</w:t>
      </w:r>
      <w:r>
        <w:rPr>
          <w:color w:val="000000" w:themeColor="text1"/>
          <w:sz w:val="22"/>
          <w:szCs w:val="22"/>
        </w:rPr>
        <w:t>,</w:t>
      </w:r>
      <w:r w:rsidRPr="00A13C1A">
        <w:rPr>
          <w:color w:val="000000" w:themeColor="text1"/>
          <w:sz w:val="22"/>
          <w:szCs w:val="22"/>
        </w:rPr>
        <w:t xml:space="preserve"> it overshoots the true value, b1, by a1 units. This is bias.</w:t>
      </w:r>
    </w:p>
    <w:p w14:paraId="2BF21DE2" w14:textId="77777777" w:rsidR="00692809" w:rsidRPr="00A13C1A" w:rsidRDefault="00692809" w:rsidP="00692809">
      <w:pPr>
        <w:jc w:val="both"/>
        <w:rPr>
          <w:color w:val="000000" w:themeColor="text1"/>
          <w:sz w:val="22"/>
          <w:szCs w:val="22"/>
        </w:rPr>
      </w:pPr>
      <w:r w:rsidRPr="00A13C1A">
        <w:rPr>
          <w:color w:val="000000" w:themeColor="text1"/>
          <w:sz w:val="22"/>
          <w:szCs w:val="22"/>
        </w:rPr>
        <w:t xml:space="preserve">The amount of variance of delta-delta-CT (stdev squared) is </w:t>
      </w:r>
    </w:p>
    <w:p w14:paraId="02712A3E" w14:textId="77777777" w:rsidR="00692809" w:rsidRPr="00A13C1A" w:rsidRDefault="00692809" w:rsidP="00692809">
      <w:pPr>
        <w:jc w:val="both"/>
        <w:rPr>
          <w:color w:val="000000" w:themeColor="text1"/>
          <w:sz w:val="22"/>
          <w:szCs w:val="22"/>
        </w:rPr>
      </w:pPr>
      <w:r w:rsidRPr="00A13C1A">
        <w:rPr>
          <w:color w:val="000000" w:themeColor="text1"/>
          <w:sz w:val="22"/>
          <w:szCs w:val="22"/>
        </w:rPr>
        <w:t>2 * [sd(Q)^2 +  sd(Q’)^2 –  2 * rho * sd(Q) * sd(Q’) ]</w:t>
      </w:r>
    </w:p>
    <w:p w14:paraId="4A6E3668" w14:textId="77777777" w:rsidR="00692809" w:rsidRPr="00A13C1A" w:rsidRDefault="00692809" w:rsidP="00692809">
      <w:pPr>
        <w:jc w:val="both"/>
        <w:rPr>
          <w:color w:val="000000" w:themeColor="text1"/>
          <w:sz w:val="22"/>
          <w:szCs w:val="22"/>
        </w:rPr>
      </w:pPr>
    </w:p>
    <w:p w14:paraId="012A223B" w14:textId="77777777" w:rsidR="00692809" w:rsidRPr="00A13C1A" w:rsidRDefault="00692809" w:rsidP="00692809">
      <w:pPr>
        <w:jc w:val="both"/>
        <w:rPr>
          <w:color w:val="000000" w:themeColor="text1"/>
          <w:sz w:val="22"/>
          <w:szCs w:val="22"/>
        </w:rPr>
      </w:pPr>
      <w:r w:rsidRPr="00A13C1A">
        <w:rPr>
          <w:color w:val="000000" w:themeColor="text1"/>
          <w:sz w:val="22"/>
          <w:szCs w:val="22"/>
        </w:rPr>
        <w:t>The linear model (least squares) approach has an expected value of</w:t>
      </w:r>
    </w:p>
    <w:p w14:paraId="486FF1DF" w14:textId="77777777" w:rsidR="00692809" w:rsidRPr="00A13C1A" w:rsidRDefault="00692809" w:rsidP="00692809">
      <w:pPr>
        <w:jc w:val="both"/>
        <w:rPr>
          <w:color w:val="000000" w:themeColor="text1"/>
          <w:sz w:val="22"/>
          <w:szCs w:val="22"/>
        </w:rPr>
      </w:pPr>
      <w:r w:rsidRPr="00A13C1A">
        <w:rPr>
          <w:color w:val="000000" w:themeColor="text1"/>
          <w:sz w:val="22"/>
          <w:szCs w:val="22"/>
        </w:rPr>
        <w:t>b1 – a1 * rho * sd(Q) / sd(Q’)</w:t>
      </w:r>
    </w:p>
    <w:p w14:paraId="099ED9F3" w14:textId="77777777" w:rsidR="00692809" w:rsidRPr="00A13C1A" w:rsidRDefault="00692809" w:rsidP="00692809">
      <w:pPr>
        <w:jc w:val="both"/>
        <w:rPr>
          <w:color w:val="000000" w:themeColor="text1"/>
          <w:sz w:val="22"/>
          <w:szCs w:val="22"/>
        </w:rPr>
      </w:pPr>
      <w:r w:rsidRPr="00A13C1A">
        <w:rPr>
          <w:color w:val="000000" w:themeColor="text1"/>
          <w:sz w:val="22"/>
          <w:szCs w:val="22"/>
        </w:rPr>
        <w:t>and its variance is</w:t>
      </w:r>
    </w:p>
    <w:p w14:paraId="2E1BE75E" w14:textId="77777777" w:rsidR="00692809" w:rsidRPr="00A13C1A" w:rsidRDefault="00692809" w:rsidP="00692809">
      <w:pPr>
        <w:jc w:val="both"/>
        <w:rPr>
          <w:color w:val="000000" w:themeColor="text1"/>
          <w:sz w:val="22"/>
          <w:szCs w:val="22"/>
        </w:rPr>
      </w:pPr>
      <w:r w:rsidRPr="00A13C1A">
        <w:rPr>
          <w:color w:val="000000" w:themeColor="text1"/>
          <w:sz w:val="22"/>
          <w:szCs w:val="22"/>
        </w:rPr>
        <w:t xml:space="preserve">sd(Q)^2 * [1-corr(Q,Q’)]^2 </w:t>
      </w:r>
    </w:p>
    <w:p w14:paraId="7F87BB70" w14:textId="77777777" w:rsidR="00692809" w:rsidRPr="00A13C1A" w:rsidRDefault="00692809" w:rsidP="00692809">
      <w:pPr>
        <w:jc w:val="both"/>
        <w:rPr>
          <w:color w:val="000000" w:themeColor="text1"/>
          <w:sz w:val="22"/>
          <w:szCs w:val="22"/>
        </w:rPr>
      </w:pPr>
    </w:p>
    <w:p w14:paraId="152EC408" w14:textId="77777777" w:rsidR="00692809" w:rsidRPr="00A13C1A" w:rsidRDefault="00692809" w:rsidP="00692809">
      <w:pPr>
        <w:jc w:val="both"/>
        <w:rPr>
          <w:color w:val="000000" w:themeColor="text1"/>
          <w:sz w:val="22"/>
          <w:szCs w:val="22"/>
        </w:rPr>
      </w:pPr>
      <w:r w:rsidRPr="00A13C1A">
        <w:rPr>
          <w:color w:val="000000" w:themeColor="text1"/>
          <w:sz w:val="22"/>
          <w:szCs w:val="22"/>
        </w:rPr>
        <w:t xml:space="preserve">If a1=0, that is </w:t>
      </w:r>
      <w:r>
        <w:rPr>
          <w:color w:val="000000" w:themeColor="text1"/>
          <w:sz w:val="22"/>
          <w:szCs w:val="22"/>
        </w:rPr>
        <w:t xml:space="preserve">the </w:t>
      </w:r>
      <w:r w:rsidRPr="00A13C1A">
        <w:rPr>
          <w:color w:val="000000" w:themeColor="text1"/>
          <w:sz w:val="22"/>
          <w:szCs w:val="22"/>
        </w:rPr>
        <w:t>referen</w:t>
      </w:r>
      <w:r>
        <w:rPr>
          <w:color w:val="000000" w:themeColor="text1"/>
          <w:sz w:val="22"/>
          <w:szCs w:val="22"/>
        </w:rPr>
        <w:t>ce</w:t>
      </w:r>
      <w:r w:rsidRPr="00A13C1A">
        <w:rPr>
          <w:color w:val="000000" w:themeColor="text1"/>
          <w:sz w:val="22"/>
          <w:szCs w:val="22"/>
        </w:rPr>
        <w:t xml:space="preserve"> gene </w:t>
      </w:r>
      <w:r>
        <w:rPr>
          <w:color w:val="000000" w:themeColor="text1"/>
          <w:sz w:val="22"/>
          <w:szCs w:val="22"/>
        </w:rPr>
        <w:t xml:space="preserve">is </w:t>
      </w:r>
      <w:r w:rsidRPr="00A13C1A">
        <w:rPr>
          <w:color w:val="000000" w:themeColor="text1"/>
          <w:sz w:val="22"/>
          <w:szCs w:val="22"/>
        </w:rPr>
        <w:t xml:space="preserve">not affected by </w:t>
      </w:r>
      <w:r>
        <w:rPr>
          <w:color w:val="000000" w:themeColor="text1"/>
          <w:sz w:val="22"/>
          <w:szCs w:val="22"/>
        </w:rPr>
        <w:t>experimental treatment</w:t>
      </w:r>
      <w:r w:rsidRPr="00A13C1A">
        <w:rPr>
          <w:color w:val="000000" w:themeColor="text1"/>
          <w:sz w:val="22"/>
          <w:szCs w:val="22"/>
        </w:rPr>
        <w:t>, then both are unbiased.</w:t>
      </w:r>
    </w:p>
    <w:p w14:paraId="3E2322A0" w14:textId="77777777" w:rsidR="00692809" w:rsidRPr="00A13C1A" w:rsidRDefault="00692809" w:rsidP="00692809">
      <w:pPr>
        <w:jc w:val="both"/>
        <w:rPr>
          <w:color w:val="000000" w:themeColor="text1"/>
          <w:sz w:val="22"/>
          <w:szCs w:val="22"/>
        </w:rPr>
      </w:pPr>
      <w:r w:rsidRPr="00A13C1A">
        <w:rPr>
          <w:color w:val="000000" w:themeColor="text1"/>
          <w:sz w:val="22"/>
          <w:szCs w:val="22"/>
        </w:rPr>
        <w:t>If a1 is not equal to zero</w:t>
      </w:r>
      <w:r>
        <w:rPr>
          <w:color w:val="000000" w:themeColor="text1"/>
          <w:sz w:val="22"/>
          <w:szCs w:val="22"/>
        </w:rPr>
        <w:t>,</w:t>
      </w:r>
      <w:r w:rsidRPr="00A13C1A">
        <w:rPr>
          <w:color w:val="000000" w:themeColor="text1"/>
          <w:sz w:val="22"/>
          <w:szCs w:val="22"/>
        </w:rPr>
        <w:t xml:space="preserve"> then the linear model approach will be less biased if the |rho| &lt; sd(Q’) / sd(Q)</w:t>
      </w:r>
    </w:p>
    <w:p w14:paraId="64F4250C" w14:textId="77777777" w:rsidR="00692809" w:rsidRPr="00A13C1A" w:rsidRDefault="00692809" w:rsidP="00692809">
      <w:pPr>
        <w:jc w:val="both"/>
        <w:rPr>
          <w:color w:val="000000" w:themeColor="text1"/>
          <w:sz w:val="22"/>
          <w:szCs w:val="22"/>
        </w:rPr>
      </w:pPr>
    </w:p>
    <w:p w14:paraId="053E1DCC" w14:textId="77777777" w:rsidR="00692809" w:rsidRPr="00A13C1A" w:rsidRDefault="00692809" w:rsidP="00692809">
      <w:pPr>
        <w:jc w:val="both"/>
        <w:rPr>
          <w:color w:val="000000" w:themeColor="text1"/>
          <w:sz w:val="22"/>
          <w:szCs w:val="22"/>
        </w:rPr>
      </w:pPr>
      <w:r w:rsidRPr="00A13C1A">
        <w:rPr>
          <w:color w:val="000000" w:themeColor="text1"/>
          <w:sz w:val="22"/>
          <w:szCs w:val="22"/>
        </w:rPr>
        <w:t xml:space="preserve">The linear model approach has less variance (more powerful) if </w:t>
      </w:r>
    </w:p>
    <w:p w14:paraId="3B09C5D2" w14:textId="77777777" w:rsidR="00692809" w:rsidRPr="00A13C1A" w:rsidRDefault="00692809" w:rsidP="00692809">
      <w:pPr>
        <w:jc w:val="both"/>
        <w:rPr>
          <w:color w:val="000000" w:themeColor="text1"/>
          <w:sz w:val="22"/>
          <w:szCs w:val="22"/>
        </w:rPr>
      </w:pPr>
      <w:r w:rsidRPr="00A13C1A">
        <w:rPr>
          <w:color w:val="000000" w:themeColor="text1"/>
          <w:sz w:val="22"/>
          <w:szCs w:val="22"/>
        </w:rPr>
        <w:t>sd(Q)^2 * [1-corr(Q,Q’)]^2 &lt;  2 * [sd(Q)^2 +  sd(Q’)^2 –  2 * rho * sd(Q) * sd(Q’) ]</w:t>
      </w:r>
    </w:p>
    <w:p w14:paraId="00F6D14D" w14:textId="77777777" w:rsidR="00692809" w:rsidRPr="00A13C1A" w:rsidRDefault="00692809" w:rsidP="00692809">
      <w:pPr>
        <w:jc w:val="both"/>
        <w:rPr>
          <w:color w:val="000000" w:themeColor="text1"/>
          <w:sz w:val="22"/>
          <w:szCs w:val="22"/>
        </w:rPr>
      </w:pPr>
    </w:p>
    <w:p w14:paraId="17C81971" w14:textId="77777777" w:rsidR="00692809" w:rsidRPr="00A13C1A" w:rsidRDefault="00692809" w:rsidP="00692809">
      <w:pPr>
        <w:jc w:val="both"/>
        <w:rPr>
          <w:color w:val="000000" w:themeColor="text1"/>
          <w:sz w:val="22"/>
          <w:szCs w:val="22"/>
        </w:rPr>
      </w:pPr>
      <w:r w:rsidRPr="00A13C1A">
        <w:rPr>
          <w:color w:val="000000" w:themeColor="text1"/>
          <w:sz w:val="22"/>
          <w:szCs w:val="22"/>
        </w:rPr>
        <w:t>which can be rewritten as</w:t>
      </w:r>
    </w:p>
    <w:p w14:paraId="7284CCCE" w14:textId="77777777" w:rsidR="00692809" w:rsidRPr="00A13C1A" w:rsidRDefault="00692809" w:rsidP="00692809">
      <w:pPr>
        <w:jc w:val="both"/>
        <w:rPr>
          <w:color w:val="000000" w:themeColor="text1"/>
          <w:sz w:val="22"/>
          <w:szCs w:val="22"/>
        </w:rPr>
      </w:pPr>
      <w:r w:rsidRPr="00A13C1A">
        <w:rPr>
          <w:color w:val="000000" w:themeColor="text1"/>
          <w:sz w:val="22"/>
          <w:szCs w:val="22"/>
        </w:rPr>
        <w:t>[1-rho]^2 &lt;  2 * [1 +  h^2 –  2 * rho * h ]</w:t>
      </w:r>
    </w:p>
    <w:p w14:paraId="6BB1EE7C" w14:textId="77777777" w:rsidR="00692809" w:rsidRPr="00A13C1A" w:rsidRDefault="00692809" w:rsidP="00692809">
      <w:pPr>
        <w:jc w:val="both"/>
        <w:rPr>
          <w:color w:val="000000" w:themeColor="text1"/>
          <w:sz w:val="22"/>
          <w:szCs w:val="22"/>
        </w:rPr>
      </w:pPr>
    </w:p>
    <w:p w14:paraId="24170602" w14:textId="77777777" w:rsidR="00692809" w:rsidRPr="00A13C1A" w:rsidRDefault="00692809" w:rsidP="00692809">
      <w:pPr>
        <w:jc w:val="both"/>
        <w:rPr>
          <w:color w:val="000000" w:themeColor="text1"/>
          <w:sz w:val="22"/>
          <w:szCs w:val="22"/>
        </w:rPr>
      </w:pPr>
      <w:r w:rsidRPr="00A13C1A">
        <w:rPr>
          <w:color w:val="000000" w:themeColor="text1"/>
          <w:sz w:val="22"/>
          <w:szCs w:val="22"/>
        </w:rPr>
        <w:t>Where h is the ratio of standard deviation of Q’ divided by standard deviation of Q</w:t>
      </w:r>
    </w:p>
    <w:p w14:paraId="224E310D" w14:textId="77777777" w:rsidR="00692809" w:rsidRPr="00A13C1A" w:rsidRDefault="00692809" w:rsidP="00692809">
      <w:pPr>
        <w:jc w:val="both"/>
        <w:rPr>
          <w:color w:val="000000" w:themeColor="text1"/>
          <w:sz w:val="22"/>
          <w:szCs w:val="22"/>
        </w:rPr>
      </w:pPr>
    </w:p>
    <w:p w14:paraId="2CBC8DA6" w14:textId="77777777" w:rsidR="00692809" w:rsidRDefault="00692809" w:rsidP="00692809">
      <w:pPr>
        <w:jc w:val="both"/>
        <w:rPr>
          <w:color w:val="000000" w:themeColor="text1"/>
          <w:sz w:val="22"/>
          <w:szCs w:val="22"/>
        </w:rPr>
      </w:pPr>
      <w:r w:rsidRPr="00A13C1A">
        <w:rPr>
          <w:color w:val="000000" w:themeColor="text1"/>
          <w:sz w:val="22"/>
          <w:szCs w:val="22"/>
        </w:rPr>
        <w:t>Continuing</w:t>
      </w:r>
      <w:r>
        <w:rPr>
          <w:color w:val="000000" w:themeColor="text1"/>
          <w:sz w:val="22"/>
          <w:szCs w:val="22"/>
        </w:rPr>
        <w:t>:</w:t>
      </w:r>
    </w:p>
    <w:p w14:paraId="5892EF8C" w14:textId="77777777" w:rsidR="00692809" w:rsidRPr="00A13C1A" w:rsidRDefault="00692809" w:rsidP="00692809">
      <w:pPr>
        <w:jc w:val="both"/>
        <w:rPr>
          <w:color w:val="000000" w:themeColor="text1"/>
          <w:sz w:val="22"/>
          <w:szCs w:val="22"/>
        </w:rPr>
      </w:pPr>
    </w:p>
    <w:p w14:paraId="17FCAA53" w14:textId="77777777" w:rsidR="00692809" w:rsidRPr="00A13C1A" w:rsidRDefault="00692809" w:rsidP="00692809">
      <w:pPr>
        <w:jc w:val="both"/>
        <w:rPr>
          <w:color w:val="000000" w:themeColor="text1"/>
          <w:sz w:val="22"/>
          <w:szCs w:val="22"/>
        </w:rPr>
      </w:pPr>
      <w:r w:rsidRPr="00A13C1A">
        <w:rPr>
          <w:color w:val="000000" w:themeColor="text1"/>
          <w:sz w:val="22"/>
          <w:szCs w:val="22"/>
        </w:rPr>
        <w:t>0 &lt; 1 + 2*h^2 + 2 *(1-h) * rho + rho^2</w:t>
      </w:r>
    </w:p>
    <w:p w14:paraId="531EEB2C" w14:textId="77777777" w:rsidR="00692809" w:rsidRPr="00A13C1A" w:rsidRDefault="00692809" w:rsidP="00692809">
      <w:pPr>
        <w:jc w:val="both"/>
        <w:rPr>
          <w:color w:val="000000" w:themeColor="text1"/>
          <w:sz w:val="22"/>
          <w:szCs w:val="22"/>
        </w:rPr>
      </w:pPr>
      <w:r w:rsidRPr="00A13C1A">
        <w:rPr>
          <w:color w:val="000000" w:themeColor="text1"/>
          <w:sz w:val="22"/>
          <w:szCs w:val="22"/>
        </w:rPr>
        <w:t>0 &lt; 1 + 2*h^2 – (1-h)^2 + (1-h + rho)^2</w:t>
      </w:r>
    </w:p>
    <w:p w14:paraId="6430D997" w14:textId="77777777" w:rsidR="00692809" w:rsidRDefault="00692809" w:rsidP="00692809">
      <w:pPr>
        <w:jc w:val="both"/>
        <w:rPr>
          <w:color w:val="000000" w:themeColor="text1"/>
          <w:sz w:val="22"/>
          <w:szCs w:val="22"/>
        </w:rPr>
      </w:pPr>
      <w:r w:rsidRPr="00A13C1A">
        <w:rPr>
          <w:color w:val="000000" w:themeColor="text1"/>
          <w:sz w:val="22"/>
          <w:szCs w:val="22"/>
        </w:rPr>
        <w:t>0 &lt;  4*h + h^2 + (1- h + rho)^2</w:t>
      </w:r>
    </w:p>
    <w:p w14:paraId="41185131" w14:textId="77777777" w:rsidR="00692809" w:rsidRPr="00A13C1A" w:rsidRDefault="00692809" w:rsidP="00692809">
      <w:pPr>
        <w:jc w:val="both"/>
        <w:rPr>
          <w:color w:val="000000" w:themeColor="text1"/>
          <w:sz w:val="22"/>
          <w:szCs w:val="22"/>
        </w:rPr>
      </w:pPr>
    </w:p>
    <w:p w14:paraId="5CEFAEBF" w14:textId="77777777" w:rsidR="00692809" w:rsidRDefault="00692809" w:rsidP="00692809">
      <w:pPr>
        <w:jc w:val="both"/>
        <w:rPr>
          <w:color w:val="000000" w:themeColor="text1"/>
          <w:sz w:val="22"/>
          <w:szCs w:val="22"/>
        </w:rPr>
      </w:pPr>
      <w:r w:rsidRPr="00A13C1A">
        <w:rPr>
          <w:color w:val="000000" w:themeColor="text1"/>
          <w:sz w:val="22"/>
          <w:szCs w:val="22"/>
        </w:rPr>
        <w:t>Which is always true because h is positive</w:t>
      </w:r>
      <w:r>
        <w:rPr>
          <w:color w:val="000000" w:themeColor="text1"/>
          <w:sz w:val="22"/>
          <w:szCs w:val="22"/>
        </w:rPr>
        <w:t>.</w:t>
      </w:r>
    </w:p>
    <w:p w14:paraId="720FCF71" w14:textId="77777777" w:rsidR="00692809" w:rsidRPr="00A13C1A" w:rsidRDefault="00692809" w:rsidP="00692809">
      <w:pPr>
        <w:jc w:val="both"/>
        <w:rPr>
          <w:color w:val="000000" w:themeColor="text1"/>
          <w:sz w:val="22"/>
          <w:szCs w:val="22"/>
        </w:rPr>
      </w:pPr>
    </w:p>
    <w:p w14:paraId="63961E21" w14:textId="77777777" w:rsidR="00692809" w:rsidRPr="00A13C1A" w:rsidRDefault="00692809" w:rsidP="00692809">
      <w:pPr>
        <w:jc w:val="both"/>
        <w:rPr>
          <w:color w:val="000000" w:themeColor="text1"/>
          <w:sz w:val="22"/>
          <w:szCs w:val="22"/>
        </w:rPr>
      </w:pPr>
      <w:r w:rsidRPr="00A13C1A">
        <w:rPr>
          <w:color w:val="000000" w:themeColor="text1"/>
          <w:sz w:val="22"/>
          <w:szCs w:val="22"/>
        </w:rPr>
        <w:t>The LM approach will always have less variance (</w:t>
      </w:r>
      <w:r>
        <w:rPr>
          <w:color w:val="000000" w:themeColor="text1"/>
          <w:sz w:val="22"/>
          <w:szCs w:val="22"/>
        </w:rPr>
        <w:t xml:space="preserve">be </w:t>
      </w:r>
      <w:r w:rsidRPr="00A13C1A">
        <w:rPr>
          <w:color w:val="000000" w:themeColor="text1"/>
          <w:sz w:val="22"/>
          <w:szCs w:val="22"/>
        </w:rPr>
        <w:t>more powerful) – except possibly in small sample</w:t>
      </w:r>
      <w:r>
        <w:rPr>
          <w:color w:val="000000" w:themeColor="text1"/>
          <w:sz w:val="22"/>
          <w:szCs w:val="22"/>
        </w:rPr>
        <w:t xml:space="preserve"> sizes</w:t>
      </w:r>
      <w:r w:rsidRPr="00A13C1A">
        <w:rPr>
          <w:color w:val="000000" w:themeColor="text1"/>
          <w:sz w:val="22"/>
          <w:szCs w:val="22"/>
        </w:rPr>
        <w:t xml:space="preserve"> which unfortunately is </w:t>
      </w:r>
      <w:r>
        <w:rPr>
          <w:color w:val="000000" w:themeColor="text1"/>
          <w:sz w:val="22"/>
          <w:szCs w:val="22"/>
        </w:rPr>
        <w:t>often</w:t>
      </w:r>
      <w:r w:rsidRPr="00A13C1A">
        <w:rPr>
          <w:color w:val="000000" w:themeColor="text1"/>
          <w:sz w:val="22"/>
          <w:szCs w:val="22"/>
        </w:rPr>
        <w:t xml:space="preserve"> the case in bench science.</w:t>
      </w:r>
    </w:p>
    <w:p w14:paraId="1E3AF871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809"/>
    <w:rsid w:val="00160092"/>
    <w:rsid w:val="00331A6B"/>
    <w:rsid w:val="00692809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7387BC"/>
  <w15:chartTrackingRefBased/>
  <w15:docId w15:val="{2E66F23B-A973-4726-8B41-107CF9210E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2809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9280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280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2809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2809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2809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2809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2809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2809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2809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28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28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28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280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280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280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280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280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280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280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928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2809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928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92809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9280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280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9280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28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280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280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495</Words>
  <Characters>2826</Characters>
  <Application>Microsoft Office Word</Application>
  <DocSecurity>0</DocSecurity>
  <Lines>23</Lines>
  <Paragraphs>6</Paragraphs>
  <ScaleCrop>false</ScaleCrop>
  <Company>Springer Nature</Company>
  <LinksUpToDate>false</LinksUpToDate>
  <CharactersWithSpaces>3315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2025-02-13T15:42:00Z</dcterms:created>
  <dcterms:modified xsi:type="dcterms:W3CDTF">2025-02-13T15:42:00Z</dcterms:modified>
</cp:coreProperties>
</file>