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E8BE0D" w14:textId="77777777" w:rsidR="007E572B" w:rsidRDefault="00000000">
      <w:pPr>
        <w:pStyle w:val="Heading1"/>
        <w:spacing w:line="480" w:lineRule="auto"/>
        <w:jc w:val="both"/>
        <w:rPr>
          <w:rFonts w:ascii="Calibri" w:eastAsia="Calibri" w:hAnsi="Calibri" w:cs="Calibri"/>
          <w:b/>
          <w:sz w:val="24"/>
          <w:szCs w:val="24"/>
        </w:rPr>
      </w:pPr>
      <w:bookmarkStart w:id="0" w:name="_r31zhcthrla9" w:colFirst="0" w:colLast="0"/>
      <w:bookmarkEnd w:id="0"/>
      <w:r>
        <w:rPr>
          <w:rFonts w:ascii="Calibri" w:eastAsia="Calibri" w:hAnsi="Calibri" w:cs="Calibri"/>
          <w:b/>
          <w:sz w:val="24"/>
          <w:szCs w:val="24"/>
        </w:rPr>
        <w:t>Supplementary Material</w:t>
      </w:r>
    </w:p>
    <w:p w14:paraId="0ACFDF01" w14:textId="77777777" w:rsidR="007E572B" w:rsidRDefault="00000000">
      <w:pPr>
        <w:spacing w:line="480" w:lineRule="auto"/>
        <w:jc w:val="both"/>
        <w:rPr>
          <w:rFonts w:ascii="Calibri" w:eastAsia="Calibri" w:hAnsi="Calibri" w:cs="Calibri"/>
          <w:i/>
          <w:sz w:val="24"/>
          <w:szCs w:val="24"/>
        </w:rPr>
      </w:pPr>
      <w:r>
        <w:rPr>
          <w:rFonts w:ascii="Calibri" w:eastAsia="Calibri" w:hAnsi="Calibri" w:cs="Calibri"/>
          <w:i/>
          <w:sz w:val="24"/>
          <w:szCs w:val="24"/>
        </w:rPr>
        <w:t>Data</w:t>
      </w:r>
    </w:p>
    <w:p w14:paraId="63AADA84"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 xml:space="preserve">Participant data from the UK Biobank cohort was obtained through UK Biobank Access Application number 44584. The UK Biobank has approval from the </w:t>
      </w:r>
      <w:proofErr w:type="gramStart"/>
      <w:r>
        <w:rPr>
          <w:rFonts w:ascii="Calibri" w:eastAsia="Calibri" w:hAnsi="Calibri" w:cs="Calibri"/>
          <w:sz w:val="24"/>
          <w:szCs w:val="24"/>
        </w:rPr>
        <w:t>North West</w:t>
      </w:r>
      <w:proofErr w:type="gramEnd"/>
      <w:r>
        <w:rPr>
          <w:rFonts w:ascii="Calibri" w:eastAsia="Calibri" w:hAnsi="Calibri" w:cs="Calibri"/>
          <w:sz w:val="24"/>
          <w:szCs w:val="24"/>
        </w:rPr>
        <w:t xml:space="preserve"> Multi-Centre Research Ethics Committee (REC reference: 11/NW/0382). All methods were performed in accordance with the relevant guidelines and regulations, and informed consent was obtained from all participants. Researchers may apply to use the UKBB data resource by submitting a health-related research proposal that is in the public interest. Additional information may be found on the UK Biobank researchers and resource catalogue pages (</w:t>
      </w:r>
      <w:hyperlink r:id="rId4">
        <w:r w:rsidR="007E572B">
          <w:rPr>
            <w:rFonts w:ascii="Calibri" w:eastAsia="Calibri" w:hAnsi="Calibri" w:cs="Calibri"/>
            <w:color w:val="1155CC"/>
            <w:sz w:val="24"/>
            <w:szCs w:val="24"/>
            <w:u w:val="single"/>
          </w:rPr>
          <w:t>www.ukbiobank.ac.uk</w:t>
        </w:r>
      </w:hyperlink>
      <w:r>
        <w:rPr>
          <w:rFonts w:ascii="Calibri" w:eastAsia="Calibri" w:hAnsi="Calibri" w:cs="Calibri"/>
          <w:sz w:val="24"/>
          <w:szCs w:val="24"/>
        </w:rPr>
        <w:t>).</w:t>
      </w:r>
    </w:p>
    <w:p w14:paraId="2C8DD9CA" w14:textId="77777777" w:rsidR="007E572B" w:rsidRDefault="007E572B">
      <w:pPr>
        <w:spacing w:line="480" w:lineRule="auto"/>
        <w:jc w:val="both"/>
        <w:rPr>
          <w:rFonts w:ascii="Calibri" w:eastAsia="Calibri" w:hAnsi="Calibri" w:cs="Calibri"/>
          <w:sz w:val="24"/>
          <w:szCs w:val="24"/>
        </w:rPr>
      </w:pPr>
    </w:p>
    <w:p w14:paraId="58E8DA12" w14:textId="77777777" w:rsidR="007E572B" w:rsidRDefault="00000000">
      <w:pPr>
        <w:spacing w:line="480" w:lineRule="auto"/>
        <w:jc w:val="both"/>
        <w:rPr>
          <w:rFonts w:ascii="Calibri" w:eastAsia="Calibri" w:hAnsi="Calibri" w:cs="Calibri"/>
          <w:i/>
          <w:sz w:val="24"/>
          <w:szCs w:val="24"/>
        </w:rPr>
      </w:pPr>
      <w:r>
        <w:rPr>
          <w:rFonts w:ascii="Calibri" w:eastAsia="Calibri" w:hAnsi="Calibri" w:cs="Calibri"/>
          <w:i/>
          <w:sz w:val="24"/>
          <w:szCs w:val="24"/>
        </w:rPr>
        <w:t>Phenotype Definitions</w:t>
      </w:r>
    </w:p>
    <w:p w14:paraId="7802CD83"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 xml:space="preserve">Anthropometric measurements including age, body mass index (BMI), hand grip strength (HGS), and systolic and diastolic blood pressure were taken at the UK Biobank imaging visit. Ethnicity was defined based on the self-reported ethnic background at the initial assessment visit. For the purpose of our analysis we categorised ethnic background as follows: 0 </w:t>
      </w:r>
      <w:proofErr w:type="gramStart"/>
      <w:r>
        <w:rPr>
          <w:rFonts w:ascii="Calibri" w:eastAsia="Calibri" w:hAnsi="Calibri" w:cs="Calibri"/>
          <w:sz w:val="24"/>
          <w:szCs w:val="24"/>
        </w:rPr>
        <w:t>for ”White</w:t>
      </w:r>
      <w:proofErr w:type="gramEnd"/>
      <w:r>
        <w:rPr>
          <w:rFonts w:ascii="Calibri" w:eastAsia="Calibri" w:hAnsi="Calibri" w:cs="Calibri"/>
          <w:sz w:val="24"/>
          <w:szCs w:val="24"/>
        </w:rPr>
        <w:t xml:space="preserve">” and 1 for any other ethnic background (due to small numbers of non-white participants in this dataset [3.1%]). Sex was self-reported and included those recorded by the NHS and those obtained at the initial assessment visit. The Townsend deprivation index was calculated immediately prior to participants joining the UK Biobank. </w:t>
      </w:r>
    </w:p>
    <w:p w14:paraId="1E9306CA"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Vigorous metabolic equivalents of task (MET) in minutes per week was taken at the UK Biobank imaging visit applying the quality control criteria described previously</w:t>
      </w:r>
      <w:hyperlink r:id="rId5">
        <w:r w:rsidR="007E572B">
          <w:rPr>
            <w:rFonts w:ascii="Calibri" w:eastAsia="Calibri" w:hAnsi="Calibri" w:cs="Calibri"/>
            <w:color w:val="000000"/>
            <w:sz w:val="24"/>
            <w:szCs w:val="24"/>
            <w:vertAlign w:val="superscript"/>
          </w:rPr>
          <w:t>1</w:t>
        </w:r>
      </w:hyperlink>
      <w:r>
        <w:rPr>
          <w:rFonts w:ascii="Calibri" w:eastAsia="Calibri" w:hAnsi="Calibri" w:cs="Calibri"/>
          <w:sz w:val="24"/>
          <w:szCs w:val="24"/>
        </w:rPr>
        <w:t xml:space="preserve">. Questionnaire information from the UK Biobank imaging visit was used to determine alcohol intake frequency and smoking status. For our analysis, we categorised alcohol intake </w:t>
      </w:r>
      <w:r>
        <w:rPr>
          <w:rFonts w:ascii="Calibri" w:eastAsia="Calibri" w:hAnsi="Calibri" w:cs="Calibri"/>
          <w:sz w:val="24"/>
          <w:szCs w:val="24"/>
        </w:rPr>
        <w:lastRenderedPageBreak/>
        <w:t xml:space="preserve">frequency as 1 for “Daily or almost daily” and 0 otherwise and smoking status as 1 </w:t>
      </w:r>
      <w:proofErr w:type="gramStart"/>
      <w:r>
        <w:rPr>
          <w:rFonts w:ascii="Calibri" w:eastAsia="Calibri" w:hAnsi="Calibri" w:cs="Calibri"/>
          <w:sz w:val="24"/>
          <w:szCs w:val="24"/>
        </w:rPr>
        <w:t>for ”Current</w:t>
      </w:r>
      <w:proofErr w:type="gramEnd"/>
      <w:r>
        <w:rPr>
          <w:rFonts w:ascii="Calibri" w:eastAsia="Calibri" w:hAnsi="Calibri" w:cs="Calibri"/>
          <w:sz w:val="24"/>
          <w:szCs w:val="24"/>
        </w:rPr>
        <w:t>” and 0 for “Previous” and “Never”. Fat mass ratio (FMR) was computed by dividing trunk fat % by leg fat % from dual-energy X-ray absorptiometry and a cutoff for FMR &gt;1.2 in female and &gt;1.7 in male participants were used to define partial lipodystrophy, as previously described</w:t>
      </w:r>
      <w:hyperlink r:id="rId6">
        <w:r w:rsidR="007E572B">
          <w:rPr>
            <w:rFonts w:ascii="Calibri" w:eastAsia="Calibri" w:hAnsi="Calibri" w:cs="Calibri"/>
            <w:color w:val="000000"/>
            <w:sz w:val="24"/>
            <w:szCs w:val="24"/>
            <w:vertAlign w:val="superscript"/>
          </w:rPr>
          <w:t>2</w:t>
        </w:r>
      </w:hyperlink>
      <w:r>
        <w:rPr>
          <w:rFonts w:ascii="Calibri" w:eastAsia="Calibri" w:hAnsi="Calibri" w:cs="Calibri"/>
          <w:sz w:val="24"/>
          <w:szCs w:val="24"/>
        </w:rPr>
        <w:t>. In our analysis partial lipodystrophy will be referred to as lipodystrophy.</w:t>
      </w:r>
    </w:p>
    <w:p w14:paraId="097831F4" w14:textId="77777777" w:rsidR="007E572B" w:rsidRDefault="007E572B">
      <w:pPr>
        <w:spacing w:line="480" w:lineRule="auto"/>
        <w:jc w:val="both"/>
        <w:rPr>
          <w:rFonts w:ascii="Calibri" w:eastAsia="Calibri" w:hAnsi="Calibri" w:cs="Calibri"/>
          <w:sz w:val="24"/>
          <w:szCs w:val="24"/>
        </w:rPr>
      </w:pPr>
    </w:p>
    <w:p w14:paraId="63210474" w14:textId="77777777" w:rsidR="007E572B" w:rsidRDefault="00000000">
      <w:pPr>
        <w:spacing w:line="480" w:lineRule="auto"/>
        <w:jc w:val="both"/>
        <w:rPr>
          <w:rFonts w:ascii="Calibri" w:eastAsia="Calibri" w:hAnsi="Calibri" w:cs="Calibri"/>
          <w:i/>
          <w:sz w:val="24"/>
          <w:szCs w:val="24"/>
        </w:rPr>
      </w:pPr>
      <w:r>
        <w:rPr>
          <w:rFonts w:ascii="Calibri" w:eastAsia="Calibri" w:hAnsi="Calibri" w:cs="Calibri"/>
          <w:i/>
          <w:sz w:val="24"/>
          <w:szCs w:val="24"/>
        </w:rPr>
        <w:t>Disease Definitions</w:t>
      </w:r>
    </w:p>
    <w:p w14:paraId="04B4B36E"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Disease categories of interest, including T2D, CVD and hypertension, were selected based on their frequency within the UK Biobank. They were defined as being present if the date of diagnosis occurred at the time or before the imaging visit. A summary of the codes corresponding to the considered disease traits are provided in supplementary Table S1.</w:t>
      </w:r>
    </w:p>
    <w:p w14:paraId="23543BE9"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 xml:space="preserve">The codes for T2D were selected based on the ICD10 and self-reported codes for type-2 diabetes </w:t>
      </w:r>
      <w:hyperlink r:id="rId7">
        <w:r w:rsidR="007E572B">
          <w:rPr>
            <w:rFonts w:ascii="Calibri" w:eastAsia="Calibri" w:hAnsi="Calibri" w:cs="Calibri"/>
            <w:color w:val="000000"/>
            <w:sz w:val="24"/>
            <w:szCs w:val="24"/>
            <w:vertAlign w:val="superscript"/>
          </w:rPr>
          <w:t>3</w:t>
        </w:r>
      </w:hyperlink>
      <w:r>
        <w:rPr>
          <w:rFonts w:ascii="Calibri" w:eastAsia="Calibri" w:hAnsi="Calibri" w:cs="Calibri"/>
          <w:sz w:val="24"/>
          <w:szCs w:val="24"/>
        </w:rPr>
        <w:t>. Codes for CVD were selected based on the general presence of cardiac disease as previously described</w:t>
      </w:r>
      <w:hyperlink r:id="rId8">
        <w:r w:rsidR="007E572B">
          <w:rPr>
            <w:rFonts w:ascii="Calibri" w:eastAsia="Calibri" w:hAnsi="Calibri" w:cs="Calibri"/>
            <w:color w:val="000000"/>
            <w:sz w:val="24"/>
            <w:szCs w:val="24"/>
            <w:vertAlign w:val="superscript"/>
          </w:rPr>
          <w:t>4</w:t>
        </w:r>
      </w:hyperlink>
      <w:r>
        <w:rPr>
          <w:rFonts w:ascii="Calibri" w:eastAsia="Calibri" w:hAnsi="Calibri" w:cs="Calibri"/>
          <w:sz w:val="24"/>
          <w:szCs w:val="24"/>
        </w:rPr>
        <w:t>. Hypertension was defined as self-reported of hypertensive medication use, or a prior diagnosis of hypertension, or mean blood pressure ≥ 140/90 mmHg</w:t>
      </w:r>
      <w:hyperlink r:id="rId9">
        <w:r w:rsidR="007E572B">
          <w:rPr>
            <w:rFonts w:ascii="Calibri" w:eastAsia="Calibri" w:hAnsi="Calibri" w:cs="Calibri"/>
            <w:color w:val="000000"/>
            <w:sz w:val="24"/>
            <w:szCs w:val="24"/>
            <w:vertAlign w:val="superscript"/>
          </w:rPr>
          <w:t>5</w:t>
        </w:r>
      </w:hyperlink>
      <w:r>
        <w:rPr>
          <w:rFonts w:ascii="Calibri" w:eastAsia="Calibri" w:hAnsi="Calibri" w:cs="Calibri"/>
          <w:sz w:val="24"/>
          <w:szCs w:val="24"/>
        </w:rPr>
        <w:t>. The codes for hypertension diagnosis were selected based on the ICD10 and the self-reported codes for hypertension. Hypertensive medication codes were selected from the medication fields, reporting as regularly taking blood pressure medication</w:t>
      </w:r>
      <w:hyperlink r:id="rId10">
        <w:r w:rsidR="007E572B">
          <w:rPr>
            <w:rFonts w:ascii="Calibri" w:eastAsia="Calibri" w:hAnsi="Calibri" w:cs="Calibri"/>
            <w:color w:val="000000"/>
            <w:sz w:val="24"/>
            <w:szCs w:val="24"/>
            <w:vertAlign w:val="superscript"/>
          </w:rPr>
          <w:t>3</w:t>
        </w:r>
      </w:hyperlink>
      <w:r>
        <w:rPr>
          <w:rFonts w:ascii="Calibri" w:eastAsia="Calibri" w:hAnsi="Calibri" w:cs="Calibri"/>
          <w:sz w:val="24"/>
          <w:szCs w:val="24"/>
        </w:rPr>
        <w:t xml:space="preserve">. </w:t>
      </w:r>
    </w:p>
    <w:p w14:paraId="718B0EEA"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 xml:space="preserve">T2D, CVD and hypertension diagnosed or reported after the imaging visit was defined based on ICD10 codes from the various sources, the date of first diagnosis made available as “first occurrence” data (Category 1712) and based on a combination of hospital records, primary care records, self-reported, and death records and the self-reported codes described in supplementary Table S1, defined after the imaging visit. </w:t>
      </w:r>
    </w:p>
    <w:p w14:paraId="7EC82CD4" w14:textId="77777777" w:rsidR="007E572B" w:rsidRDefault="007E572B">
      <w:pPr>
        <w:spacing w:line="480" w:lineRule="auto"/>
        <w:jc w:val="both"/>
        <w:rPr>
          <w:rFonts w:ascii="Calibri" w:eastAsia="Calibri" w:hAnsi="Calibri" w:cs="Calibri"/>
          <w:sz w:val="24"/>
          <w:szCs w:val="24"/>
        </w:rPr>
      </w:pPr>
    </w:p>
    <w:p w14:paraId="606CAABD" w14:textId="77777777" w:rsidR="007E572B" w:rsidRDefault="00000000">
      <w:pPr>
        <w:spacing w:line="480" w:lineRule="auto"/>
        <w:jc w:val="both"/>
        <w:rPr>
          <w:rFonts w:ascii="Calibri" w:eastAsia="Calibri" w:hAnsi="Calibri" w:cs="Calibri"/>
          <w:i/>
          <w:sz w:val="24"/>
          <w:szCs w:val="24"/>
        </w:rPr>
      </w:pPr>
      <w:r>
        <w:rPr>
          <w:rFonts w:ascii="Calibri" w:eastAsia="Calibri" w:hAnsi="Calibri" w:cs="Calibri"/>
          <w:i/>
          <w:sz w:val="24"/>
          <w:szCs w:val="24"/>
        </w:rPr>
        <w:lastRenderedPageBreak/>
        <w:t xml:space="preserve">Mass Univariate Regression Analysis </w:t>
      </w:r>
    </w:p>
    <w:p w14:paraId="43DEF9E3"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 xml:space="preserve">We performed mass univariate regression (MUR) analysis using a refined version of the R package </w:t>
      </w:r>
      <w:r>
        <w:rPr>
          <w:rFonts w:ascii="Calibri" w:eastAsia="Calibri" w:hAnsi="Calibri" w:cs="Calibri"/>
          <w:i/>
          <w:sz w:val="24"/>
          <w:szCs w:val="24"/>
        </w:rPr>
        <w:t>mutools3D</w:t>
      </w:r>
      <w:hyperlink r:id="rId11">
        <w:r w:rsidR="007E572B">
          <w:rPr>
            <w:rFonts w:ascii="Calibri" w:eastAsia="Calibri" w:hAnsi="Calibri" w:cs="Calibri"/>
            <w:i/>
            <w:color w:val="000000"/>
            <w:sz w:val="24"/>
            <w:szCs w:val="24"/>
            <w:vertAlign w:val="superscript"/>
          </w:rPr>
          <w:t>6</w:t>
        </w:r>
      </w:hyperlink>
      <w:r>
        <w:rPr>
          <w:rFonts w:ascii="Calibri" w:eastAsia="Calibri" w:hAnsi="Calibri" w:cs="Calibri"/>
          <w:sz w:val="24"/>
          <w:szCs w:val="24"/>
        </w:rPr>
        <w:t xml:space="preserve">.  To account for multiple comparisons, we applied the false discovery rate (FDR) procedure adjusted for multiple comparisons by applying the FDR procedure using the </w:t>
      </w:r>
      <w:proofErr w:type="spellStart"/>
      <w:r>
        <w:rPr>
          <w:rFonts w:ascii="Calibri" w:eastAsia="Calibri" w:hAnsi="Calibri" w:cs="Calibri"/>
          <w:sz w:val="24"/>
          <w:szCs w:val="24"/>
        </w:rPr>
        <w:t>Benjamini</w:t>
      </w:r>
      <w:proofErr w:type="spellEnd"/>
      <w:r>
        <w:rPr>
          <w:rFonts w:ascii="Calibri" w:eastAsia="Calibri" w:hAnsi="Calibri" w:cs="Calibri"/>
          <w:sz w:val="24"/>
          <w:szCs w:val="24"/>
        </w:rPr>
        <w:t>-Hochberg method</w:t>
      </w:r>
      <w:hyperlink r:id="rId12">
        <w:r w:rsidR="007E572B">
          <w:rPr>
            <w:rFonts w:ascii="Calibri" w:eastAsia="Calibri" w:hAnsi="Calibri" w:cs="Calibri"/>
            <w:color w:val="000000"/>
            <w:sz w:val="24"/>
            <w:szCs w:val="24"/>
            <w:vertAlign w:val="superscript"/>
          </w:rPr>
          <w:t>7</w:t>
        </w:r>
      </w:hyperlink>
      <w:r>
        <w:rPr>
          <w:rFonts w:ascii="Calibri" w:eastAsia="Calibri" w:hAnsi="Calibri" w:cs="Calibri"/>
          <w:sz w:val="24"/>
          <w:szCs w:val="24"/>
        </w:rPr>
        <w:t xml:space="preserve"> to all the TFCE-derived p-values for each vertex and each model. The estimated regression coefficients </w:t>
      </w:r>
      <m:oMath>
        <m:acc>
          <m:accPr>
            <m:ctrlPr>
              <w:rPr>
                <w:rFonts w:ascii="Cambria Math" w:hAnsi="Cambria Math"/>
              </w:rPr>
            </m:ctrlPr>
          </m:accPr>
          <m:e>
            <m:r>
              <w:rPr>
                <w:rFonts w:ascii="Cambria Math" w:hAnsi="Cambria Math"/>
              </w:rPr>
              <m:t>β</m:t>
            </m:r>
          </m:e>
        </m:acc>
      </m:oMath>
      <w:r>
        <w:rPr>
          <w:rFonts w:ascii="Calibri" w:eastAsia="Calibri" w:hAnsi="Calibri" w:cs="Calibri"/>
          <w:sz w:val="24"/>
          <w:szCs w:val="24"/>
        </w:rPr>
        <w:t xml:space="preserve"> for each of the relevant covariates and their related TFCE-derived p-values, after correction for multiple testing, were then displayed at each vertex in the mesh on the whole 3D ASAT anatomy, providing the </w:t>
      </w:r>
      <w:proofErr w:type="gramStart"/>
      <w:r>
        <w:rPr>
          <w:rFonts w:ascii="Calibri" w:eastAsia="Calibri" w:hAnsi="Calibri" w:cs="Calibri"/>
          <w:sz w:val="24"/>
          <w:szCs w:val="24"/>
        </w:rPr>
        <w:t>spatially-distributed</w:t>
      </w:r>
      <w:proofErr w:type="gramEnd"/>
      <w:r>
        <w:rPr>
          <w:rFonts w:ascii="Calibri" w:eastAsia="Calibri" w:hAnsi="Calibri" w:cs="Calibri"/>
          <w:sz w:val="24"/>
          <w:szCs w:val="24"/>
        </w:rPr>
        <w:t xml:space="preserve"> associations, to adjust the p-values derived from TFCE across all vertices, using 100 permutations. The estimated regression coefficients for the relevant covariates and their corresponding TFCE-derived p-values, after correcting for multiple testing, were then spatially mapped at each vertex within the 3D ASAT anatomy mesh. This procedure allowed us to uncover associations distributed across the anatomical structure. A 3D mesh construction and phenotype mapping of 3D ASAT thickness is outlined in supplementary Figures S1 and S3. </w:t>
      </w:r>
    </w:p>
    <w:p w14:paraId="5C256283" w14:textId="77777777" w:rsidR="007E572B" w:rsidRDefault="007E572B">
      <w:pPr>
        <w:spacing w:line="480" w:lineRule="auto"/>
        <w:jc w:val="both"/>
        <w:rPr>
          <w:rFonts w:ascii="Calibri" w:eastAsia="Calibri" w:hAnsi="Calibri" w:cs="Calibri"/>
          <w:sz w:val="24"/>
          <w:szCs w:val="24"/>
        </w:rPr>
      </w:pPr>
    </w:p>
    <w:p w14:paraId="21412EC2" w14:textId="77777777" w:rsidR="007E572B" w:rsidRDefault="00000000">
      <w:pPr>
        <w:spacing w:line="480" w:lineRule="auto"/>
        <w:jc w:val="both"/>
        <w:rPr>
          <w:rFonts w:ascii="Calibri" w:eastAsia="Calibri" w:hAnsi="Calibri" w:cs="Calibri"/>
          <w:i/>
          <w:sz w:val="24"/>
          <w:szCs w:val="24"/>
        </w:rPr>
      </w:pPr>
      <w:r>
        <w:rPr>
          <w:rFonts w:ascii="Calibri" w:eastAsia="Calibri" w:hAnsi="Calibri" w:cs="Calibri"/>
          <w:i/>
          <w:sz w:val="24"/>
          <w:szCs w:val="24"/>
        </w:rPr>
        <w:t>Statistical Shape Analysis</w:t>
      </w:r>
    </w:p>
    <w:p w14:paraId="5CAB82EB"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Statistical shape analysis (SSA) is a technique that widely uses principal component analysis (PCA) to define the variation of the size and shape (represented using a surface mesh) across participants. Here, PCA was used to construct a low-dimensional subspace of the ASAT model representing the shape variations. Due to the large number of vertices on the 3D ASAT model, for this analysis we reduced the number of vertices to 20,000 (using VTK’s decimation algorithm</w:t>
      </w:r>
      <w:hyperlink r:id="rId13">
        <w:r w:rsidR="007E572B">
          <w:rPr>
            <w:rFonts w:ascii="Calibri" w:eastAsia="Calibri" w:hAnsi="Calibri" w:cs="Calibri"/>
            <w:color w:val="000000"/>
            <w:sz w:val="24"/>
            <w:szCs w:val="24"/>
            <w:vertAlign w:val="superscript"/>
          </w:rPr>
          <w:t>8</w:t>
        </w:r>
      </w:hyperlink>
      <w:r>
        <w:rPr>
          <w:rFonts w:ascii="Calibri" w:eastAsia="Calibri" w:hAnsi="Calibri" w:cs="Calibri"/>
          <w:sz w:val="24"/>
          <w:szCs w:val="24"/>
        </w:rPr>
        <w:t xml:space="preserve">) to </w:t>
      </w:r>
      <w:proofErr w:type="spellStart"/>
      <w:r>
        <w:rPr>
          <w:rFonts w:ascii="Calibri" w:eastAsia="Calibri" w:hAnsi="Calibri" w:cs="Calibri"/>
          <w:sz w:val="24"/>
          <w:szCs w:val="24"/>
        </w:rPr>
        <w:t>downsample</w:t>
      </w:r>
      <w:proofErr w:type="spellEnd"/>
      <w:r>
        <w:rPr>
          <w:rFonts w:ascii="Calibri" w:eastAsia="Calibri" w:hAnsi="Calibri" w:cs="Calibri"/>
          <w:sz w:val="24"/>
          <w:szCs w:val="24"/>
        </w:rPr>
        <w:t xml:space="preserve"> the input mesh while preserving the topology of the original mesh. Due to having a large number of ASAT thickness values with smaller population groups, we calculated the sparse principal component analysis (SPCA) using the R package </w:t>
      </w:r>
      <w:r>
        <w:rPr>
          <w:rFonts w:ascii="Calibri" w:eastAsia="Calibri" w:hAnsi="Calibri" w:cs="Calibri"/>
          <w:i/>
          <w:sz w:val="24"/>
          <w:szCs w:val="24"/>
        </w:rPr>
        <w:lastRenderedPageBreak/>
        <w:t>sparsepca</w:t>
      </w:r>
      <w:hyperlink r:id="rId14">
        <w:r w:rsidR="007E572B">
          <w:rPr>
            <w:rFonts w:ascii="Calibri" w:eastAsia="Calibri" w:hAnsi="Calibri" w:cs="Calibri"/>
            <w:i/>
            <w:color w:val="000000"/>
            <w:sz w:val="24"/>
            <w:szCs w:val="24"/>
            <w:vertAlign w:val="superscript"/>
          </w:rPr>
          <w:t>9,10</w:t>
        </w:r>
      </w:hyperlink>
      <w:r>
        <w:rPr>
          <w:rFonts w:ascii="Calibri" w:eastAsia="Calibri" w:hAnsi="Calibri" w:cs="Calibri"/>
          <w:i/>
          <w:sz w:val="24"/>
          <w:szCs w:val="24"/>
        </w:rPr>
        <w:t xml:space="preserve"> </w:t>
      </w:r>
      <w:r>
        <w:rPr>
          <w:rFonts w:ascii="Calibri" w:eastAsia="Calibri" w:hAnsi="Calibri" w:cs="Calibri"/>
          <w:sz w:val="24"/>
          <w:szCs w:val="24"/>
        </w:rPr>
        <w:t>and extracted PC scores to characterise variations in ASAT thickness across male and female participants, separately. The first four modes of ASAT thickness variation from the PCA are presented as -3 SD, mean and +3 SD (supplementary video S1).</w:t>
      </w:r>
    </w:p>
    <w:p w14:paraId="3ACA6549" w14:textId="77777777" w:rsidR="007E572B" w:rsidRDefault="007E572B">
      <w:pPr>
        <w:spacing w:line="480" w:lineRule="auto"/>
        <w:jc w:val="both"/>
        <w:rPr>
          <w:rFonts w:ascii="Calibri" w:eastAsia="Calibri" w:hAnsi="Calibri" w:cs="Calibri"/>
          <w:sz w:val="24"/>
          <w:szCs w:val="24"/>
        </w:rPr>
      </w:pPr>
    </w:p>
    <w:p w14:paraId="019C7B4A"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Supplementary Tables</w:t>
      </w:r>
    </w:p>
    <w:tbl>
      <w:tblPr>
        <w:tblStyle w:val="a"/>
        <w:tblW w:w="91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2400"/>
        <w:gridCol w:w="2265"/>
        <w:gridCol w:w="2850"/>
      </w:tblGrid>
      <w:tr w:rsidR="007E572B" w14:paraId="084F2970" w14:textId="77777777">
        <w:tc>
          <w:tcPr>
            <w:tcW w:w="1590" w:type="dxa"/>
            <w:shd w:val="clear" w:color="auto" w:fill="auto"/>
            <w:tcMar>
              <w:top w:w="100" w:type="dxa"/>
              <w:left w:w="100" w:type="dxa"/>
              <w:bottom w:w="100" w:type="dxa"/>
              <w:right w:w="100" w:type="dxa"/>
            </w:tcMar>
          </w:tcPr>
          <w:p w14:paraId="6B326A39"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Trait</w:t>
            </w:r>
          </w:p>
        </w:tc>
        <w:tc>
          <w:tcPr>
            <w:tcW w:w="2400" w:type="dxa"/>
            <w:shd w:val="clear" w:color="auto" w:fill="auto"/>
            <w:tcMar>
              <w:top w:w="100" w:type="dxa"/>
              <w:left w:w="100" w:type="dxa"/>
              <w:bottom w:w="100" w:type="dxa"/>
              <w:right w:w="100" w:type="dxa"/>
            </w:tcMar>
          </w:tcPr>
          <w:p w14:paraId="0821EA39"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ICD-10</w:t>
            </w:r>
          </w:p>
        </w:tc>
        <w:tc>
          <w:tcPr>
            <w:tcW w:w="2265" w:type="dxa"/>
            <w:shd w:val="clear" w:color="auto" w:fill="auto"/>
            <w:tcMar>
              <w:top w:w="100" w:type="dxa"/>
              <w:left w:w="100" w:type="dxa"/>
              <w:bottom w:w="100" w:type="dxa"/>
              <w:right w:w="100" w:type="dxa"/>
            </w:tcMar>
          </w:tcPr>
          <w:p w14:paraId="18233FBC"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Self-Reported Code (20002)</w:t>
            </w:r>
          </w:p>
        </w:tc>
        <w:tc>
          <w:tcPr>
            <w:tcW w:w="2850" w:type="dxa"/>
            <w:shd w:val="clear" w:color="auto" w:fill="auto"/>
            <w:tcMar>
              <w:top w:w="100" w:type="dxa"/>
              <w:left w:w="100" w:type="dxa"/>
              <w:bottom w:w="100" w:type="dxa"/>
              <w:right w:w="100" w:type="dxa"/>
            </w:tcMar>
          </w:tcPr>
          <w:p w14:paraId="1B50DD86"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UK Biobank Field</w:t>
            </w:r>
          </w:p>
        </w:tc>
      </w:tr>
      <w:tr w:rsidR="007E572B" w14:paraId="11C4E4CD" w14:textId="77777777">
        <w:tc>
          <w:tcPr>
            <w:tcW w:w="1590" w:type="dxa"/>
            <w:shd w:val="clear" w:color="auto" w:fill="auto"/>
            <w:tcMar>
              <w:top w:w="100" w:type="dxa"/>
              <w:left w:w="100" w:type="dxa"/>
              <w:bottom w:w="100" w:type="dxa"/>
              <w:right w:w="100" w:type="dxa"/>
            </w:tcMar>
          </w:tcPr>
          <w:p w14:paraId="5FF5534D"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T2D</w:t>
            </w:r>
          </w:p>
        </w:tc>
        <w:tc>
          <w:tcPr>
            <w:tcW w:w="2400" w:type="dxa"/>
            <w:shd w:val="clear" w:color="auto" w:fill="auto"/>
            <w:tcMar>
              <w:top w:w="100" w:type="dxa"/>
              <w:left w:w="100" w:type="dxa"/>
              <w:bottom w:w="100" w:type="dxa"/>
              <w:right w:w="100" w:type="dxa"/>
            </w:tcMar>
          </w:tcPr>
          <w:p w14:paraId="618991DA"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E11</w:t>
            </w:r>
          </w:p>
        </w:tc>
        <w:tc>
          <w:tcPr>
            <w:tcW w:w="2265" w:type="dxa"/>
            <w:shd w:val="clear" w:color="auto" w:fill="auto"/>
            <w:tcMar>
              <w:top w:w="100" w:type="dxa"/>
              <w:left w:w="100" w:type="dxa"/>
              <w:bottom w:w="100" w:type="dxa"/>
              <w:right w:w="100" w:type="dxa"/>
            </w:tcMar>
          </w:tcPr>
          <w:p w14:paraId="75AD5313"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1220, 1223</w:t>
            </w:r>
          </w:p>
        </w:tc>
        <w:tc>
          <w:tcPr>
            <w:tcW w:w="2850" w:type="dxa"/>
            <w:shd w:val="clear" w:color="auto" w:fill="auto"/>
            <w:tcMar>
              <w:top w:w="100" w:type="dxa"/>
              <w:left w:w="100" w:type="dxa"/>
              <w:bottom w:w="100" w:type="dxa"/>
              <w:right w:w="100" w:type="dxa"/>
            </w:tcMar>
          </w:tcPr>
          <w:p w14:paraId="1558FBE9"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w:t>
            </w:r>
          </w:p>
        </w:tc>
      </w:tr>
      <w:tr w:rsidR="007E572B" w14:paraId="7F7D3523" w14:textId="77777777">
        <w:tc>
          <w:tcPr>
            <w:tcW w:w="1590" w:type="dxa"/>
            <w:shd w:val="clear" w:color="auto" w:fill="auto"/>
            <w:tcMar>
              <w:top w:w="100" w:type="dxa"/>
              <w:left w:w="100" w:type="dxa"/>
              <w:bottom w:w="100" w:type="dxa"/>
              <w:right w:w="100" w:type="dxa"/>
            </w:tcMar>
          </w:tcPr>
          <w:p w14:paraId="498A4711"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CVD</w:t>
            </w:r>
          </w:p>
        </w:tc>
        <w:tc>
          <w:tcPr>
            <w:tcW w:w="2400" w:type="dxa"/>
            <w:shd w:val="clear" w:color="auto" w:fill="auto"/>
            <w:tcMar>
              <w:top w:w="100" w:type="dxa"/>
              <w:left w:w="100" w:type="dxa"/>
              <w:bottom w:w="100" w:type="dxa"/>
              <w:right w:w="100" w:type="dxa"/>
            </w:tcMar>
          </w:tcPr>
          <w:p w14:paraId="58D532A9"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I00-I25, I30-I52</w:t>
            </w:r>
          </w:p>
        </w:tc>
        <w:tc>
          <w:tcPr>
            <w:tcW w:w="2265" w:type="dxa"/>
            <w:shd w:val="clear" w:color="auto" w:fill="auto"/>
            <w:tcMar>
              <w:top w:w="100" w:type="dxa"/>
              <w:left w:w="100" w:type="dxa"/>
              <w:bottom w:w="100" w:type="dxa"/>
              <w:right w:w="100" w:type="dxa"/>
            </w:tcMar>
          </w:tcPr>
          <w:p w14:paraId="06057549"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w:t>
            </w:r>
          </w:p>
        </w:tc>
        <w:tc>
          <w:tcPr>
            <w:tcW w:w="2850" w:type="dxa"/>
            <w:shd w:val="clear" w:color="auto" w:fill="auto"/>
            <w:tcMar>
              <w:top w:w="100" w:type="dxa"/>
              <w:left w:w="100" w:type="dxa"/>
              <w:bottom w:w="100" w:type="dxa"/>
              <w:right w:w="100" w:type="dxa"/>
            </w:tcMar>
          </w:tcPr>
          <w:p w14:paraId="1A71169D"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w:t>
            </w:r>
          </w:p>
        </w:tc>
      </w:tr>
      <w:tr w:rsidR="007E572B" w14:paraId="50DDD3E8" w14:textId="77777777">
        <w:tc>
          <w:tcPr>
            <w:tcW w:w="1590" w:type="dxa"/>
            <w:shd w:val="clear" w:color="auto" w:fill="auto"/>
            <w:tcMar>
              <w:top w:w="100" w:type="dxa"/>
              <w:left w:w="100" w:type="dxa"/>
              <w:bottom w:w="100" w:type="dxa"/>
              <w:right w:w="100" w:type="dxa"/>
            </w:tcMar>
          </w:tcPr>
          <w:p w14:paraId="016C7116"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Hypertension</w:t>
            </w:r>
          </w:p>
        </w:tc>
        <w:tc>
          <w:tcPr>
            <w:tcW w:w="2400" w:type="dxa"/>
            <w:shd w:val="clear" w:color="auto" w:fill="auto"/>
            <w:tcMar>
              <w:top w:w="100" w:type="dxa"/>
              <w:left w:w="100" w:type="dxa"/>
              <w:bottom w:w="100" w:type="dxa"/>
              <w:right w:w="100" w:type="dxa"/>
            </w:tcMar>
          </w:tcPr>
          <w:p w14:paraId="383B05BA"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I10-I13, I15, O10</w:t>
            </w:r>
          </w:p>
        </w:tc>
        <w:tc>
          <w:tcPr>
            <w:tcW w:w="2265" w:type="dxa"/>
            <w:shd w:val="clear" w:color="auto" w:fill="auto"/>
            <w:tcMar>
              <w:top w:w="100" w:type="dxa"/>
              <w:left w:w="100" w:type="dxa"/>
              <w:bottom w:w="100" w:type="dxa"/>
              <w:right w:w="100" w:type="dxa"/>
            </w:tcMar>
          </w:tcPr>
          <w:p w14:paraId="4B5774E8"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1065, 1072</w:t>
            </w:r>
          </w:p>
        </w:tc>
        <w:tc>
          <w:tcPr>
            <w:tcW w:w="2850" w:type="dxa"/>
            <w:shd w:val="clear" w:color="auto" w:fill="auto"/>
            <w:tcMar>
              <w:top w:w="100" w:type="dxa"/>
              <w:left w:w="100" w:type="dxa"/>
              <w:bottom w:w="100" w:type="dxa"/>
              <w:right w:w="100" w:type="dxa"/>
            </w:tcMar>
          </w:tcPr>
          <w:p w14:paraId="752CC065"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6153, 6177</w:t>
            </w:r>
          </w:p>
        </w:tc>
      </w:tr>
    </w:tbl>
    <w:p w14:paraId="691756CD"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Table S1. Summary of the codes used to define disease.</w:t>
      </w:r>
    </w:p>
    <w:p w14:paraId="3F69E96A"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 xml:space="preserve"> </w:t>
      </w:r>
    </w:p>
    <w:tbl>
      <w:tblPr>
        <w:tblStyle w:val="a0"/>
        <w:tblW w:w="90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65"/>
        <w:gridCol w:w="2055"/>
        <w:gridCol w:w="1905"/>
        <w:gridCol w:w="1965"/>
      </w:tblGrid>
      <w:tr w:rsidR="007E572B" w14:paraId="7CD32626" w14:textId="77777777">
        <w:tc>
          <w:tcPr>
            <w:tcW w:w="3165" w:type="dxa"/>
            <w:shd w:val="clear" w:color="auto" w:fill="auto"/>
            <w:tcMar>
              <w:top w:w="100" w:type="dxa"/>
              <w:left w:w="100" w:type="dxa"/>
              <w:bottom w:w="100" w:type="dxa"/>
              <w:right w:w="100" w:type="dxa"/>
            </w:tcMar>
          </w:tcPr>
          <w:p w14:paraId="5D2C5369" w14:textId="77777777" w:rsidR="007E572B" w:rsidRDefault="007E572B">
            <w:pPr>
              <w:spacing w:line="480" w:lineRule="auto"/>
              <w:jc w:val="both"/>
              <w:rPr>
                <w:rFonts w:ascii="Calibri" w:eastAsia="Calibri" w:hAnsi="Calibri" w:cs="Calibri"/>
                <w:sz w:val="24"/>
                <w:szCs w:val="24"/>
              </w:rPr>
            </w:pPr>
          </w:p>
        </w:tc>
        <w:tc>
          <w:tcPr>
            <w:tcW w:w="2055" w:type="dxa"/>
            <w:shd w:val="clear" w:color="auto" w:fill="auto"/>
            <w:tcMar>
              <w:top w:w="100" w:type="dxa"/>
              <w:left w:w="100" w:type="dxa"/>
              <w:bottom w:w="100" w:type="dxa"/>
              <w:right w:w="100" w:type="dxa"/>
            </w:tcMar>
          </w:tcPr>
          <w:p w14:paraId="0888BD10"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Full Cohort</w:t>
            </w:r>
          </w:p>
          <w:p w14:paraId="00C9C118"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(N = 37,888)</w:t>
            </w:r>
          </w:p>
        </w:tc>
        <w:tc>
          <w:tcPr>
            <w:tcW w:w="1905" w:type="dxa"/>
            <w:shd w:val="clear" w:color="auto" w:fill="auto"/>
            <w:tcMar>
              <w:top w:w="100" w:type="dxa"/>
              <w:left w:w="100" w:type="dxa"/>
              <w:bottom w:w="100" w:type="dxa"/>
              <w:right w:w="100" w:type="dxa"/>
            </w:tcMar>
          </w:tcPr>
          <w:p w14:paraId="5701649F"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Female</w:t>
            </w:r>
          </w:p>
          <w:p w14:paraId="6B7E1CB9"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(N = 19,418)</w:t>
            </w:r>
          </w:p>
        </w:tc>
        <w:tc>
          <w:tcPr>
            <w:tcW w:w="1965" w:type="dxa"/>
            <w:shd w:val="clear" w:color="auto" w:fill="auto"/>
            <w:tcMar>
              <w:top w:w="100" w:type="dxa"/>
              <w:left w:w="100" w:type="dxa"/>
              <w:bottom w:w="100" w:type="dxa"/>
              <w:right w:w="100" w:type="dxa"/>
            </w:tcMar>
          </w:tcPr>
          <w:p w14:paraId="6020DF43"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Male</w:t>
            </w:r>
          </w:p>
          <w:p w14:paraId="6822097E"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(N = 18,470)</w:t>
            </w:r>
          </w:p>
        </w:tc>
      </w:tr>
      <w:tr w:rsidR="007E572B" w14:paraId="5C4FD27F" w14:textId="77777777">
        <w:tc>
          <w:tcPr>
            <w:tcW w:w="3165" w:type="dxa"/>
            <w:shd w:val="clear" w:color="auto" w:fill="auto"/>
            <w:tcMar>
              <w:top w:w="100" w:type="dxa"/>
              <w:left w:w="100" w:type="dxa"/>
              <w:bottom w:w="100" w:type="dxa"/>
              <w:right w:w="100" w:type="dxa"/>
            </w:tcMar>
          </w:tcPr>
          <w:p w14:paraId="4B6B77EA"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Caucasian </w:t>
            </w:r>
            <m:oMath>
              <m:r>
                <m:rPr>
                  <m:sty m:val="bi"/>
                </m:rPr>
                <w:rPr>
                  <w:rFonts w:ascii="Calibri" w:eastAsia="Calibri" w:hAnsi="Calibri" w:cs="Calibri"/>
                  <w:sz w:val="24"/>
                  <w:szCs w:val="24"/>
                </w:rPr>
                <m:t>(n)</m:t>
              </m:r>
            </m:oMath>
          </w:p>
        </w:tc>
        <w:tc>
          <w:tcPr>
            <w:tcW w:w="205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4E42C70"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36,790</w:t>
            </w:r>
          </w:p>
        </w:tc>
        <w:tc>
          <w:tcPr>
            <w:tcW w:w="1905" w:type="dxa"/>
            <w:tcBorders>
              <w:top w:val="single" w:sz="8" w:space="0" w:color="000000"/>
              <w:left w:val="single" w:sz="8" w:space="0" w:color="CCCCCC"/>
              <w:bottom w:val="single" w:sz="8" w:space="0" w:color="000000"/>
              <w:right w:val="single" w:sz="8" w:space="0" w:color="000000"/>
            </w:tcBorders>
            <w:tcMar>
              <w:top w:w="40" w:type="dxa"/>
              <w:left w:w="40" w:type="dxa"/>
              <w:bottom w:w="40" w:type="dxa"/>
              <w:right w:w="40" w:type="dxa"/>
            </w:tcMar>
            <w:vAlign w:val="bottom"/>
          </w:tcPr>
          <w:p w14:paraId="7089BC1F"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18,889</w:t>
            </w:r>
          </w:p>
        </w:tc>
        <w:tc>
          <w:tcPr>
            <w:tcW w:w="1965" w:type="dxa"/>
            <w:tcBorders>
              <w:top w:val="single" w:sz="8" w:space="0" w:color="000000"/>
              <w:left w:val="single" w:sz="8" w:space="0" w:color="CCCCCC"/>
              <w:bottom w:val="single" w:sz="8" w:space="0" w:color="000000"/>
              <w:right w:val="single" w:sz="8" w:space="0" w:color="000000"/>
            </w:tcBorders>
            <w:tcMar>
              <w:top w:w="40" w:type="dxa"/>
              <w:left w:w="40" w:type="dxa"/>
              <w:bottom w:w="40" w:type="dxa"/>
              <w:right w:w="40" w:type="dxa"/>
            </w:tcMar>
            <w:vAlign w:val="bottom"/>
          </w:tcPr>
          <w:p w14:paraId="6F02DFC7"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17,901</w:t>
            </w:r>
          </w:p>
        </w:tc>
      </w:tr>
      <w:tr w:rsidR="007E572B" w14:paraId="6E28E602" w14:textId="77777777">
        <w:tc>
          <w:tcPr>
            <w:tcW w:w="3165" w:type="dxa"/>
            <w:shd w:val="clear" w:color="auto" w:fill="auto"/>
            <w:tcMar>
              <w:top w:w="100" w:type="dxa"/>
              <w:left w:w="100" w:type="dxa"/>
              <w:bottom w:w="100" w:type="dxa"/>
              <w:right w:w="100" w:type="dxa"/>
            </w:tcMar>
          </w:tcPr>
          <w:p w14:paraId="7D4B400E"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Age </w:t>
            </w:r>
            <m:oMath>
              <m:r>
                <m:rPr>
                  <m:sty m:val="bi"/>
                </m:rPr>
                <w:rPr>
                  <w:rFonts w:ascii="Calibri" w:eastAsia="Calibri" w:hAnsi="Calibri" w:cs="Calibri"/>
                  <w:sz w:val="24"/>
                  <w:szCs w:val="24"/>
                </w:rPr>
                <m:t>(yrs.)</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4AE544D5"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64.03 ± 7.72</w:t>
            </w:r>
          </w:p>
          <w:p w14:paraId="588E8102"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(44, 82)</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6DF81D90"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63.35 ± 7.56</w:t>
            </w:r>
          </w:p>
          <w:p w14:paraId="62931678"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(45, 82)</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3FD1EEDB"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64.76 ± 7.82</w:t>
            </w:r>
          </w:p>
          <w:p w14:paraId="73C52BA9"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(44, 82)</w:t>
            </w:r>
          </w:p>
        </w:tc>
      </w:tr>
      <w:tr w:rsidR="007E572B" w14:paraId="69DB0DB0" w14:textId="77777777">
        <w:tc>
          <w:tcPr>
            <w:tcW w:w="3165" w:type="dxa"/>
            <w:shd w:val="clear" w:color="auto" w:fill="auto"/>
            <w:tcMar>
              <w:top w:w="100" w:type="dxa"/>
              <w:left w:w="100" w:type="dxa"/>
              <w:bottom w:w="100" w:type="dxa"/>
              <w:right w:w="100" w:type="dxa"/>
            </w:tcMar>
          </w:tcPr>
          <w:p w14:paraId="320CBF0F"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Weight </w:t>
            </w:r>
            <m:oMath>
              <m:r>
                <m:rPr>
                  <m:sty m:val="bi"/>
                </m:rPr>
                <w:rPr>
                  <w:rFonts w:ascii="Calibri" w:eastAsia="Calibri" w:hAnsi="Calibri" w:cs="Calibri"/>
                  <w:sz w:val="24"/>
                  <w:szCs w:val="24"/>
                </w:rPr>
                <m:t>(kg)</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2E0A5E51"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76.10 ± 15.03</w:t>
            </w:r>
          </w:p>
          <w:p w14:paraId="5ED12849"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(33, 169.7)</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190350B6"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68.91 ± 12.94</w:t>
            </w:r>
          </w:p>
          <w:p w14:paraId="2F3C27F1"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(33, 169.7)</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31D50984"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83.66 ± 13.28</w:t>
            </w:r>
          </w:p>
          <w:p w14:paraId="54DAD2EF"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(46.5, 169.2)</w:t>
            </w:r>
          </w:p>
        </w:tc>
      </w:tr>
      <w:tr w:rsidR="007E572B" w14:paraId="2D7BE3D1" w14:textId="77777777">
        <w:tc>
          <w:tcPr>
            <w:tcW w:w="3165" w:type="dxa"/>
            <w:shd w:val="clear" w:color="auto" w:fill="auto"/>
            <w:tcMar>
              <w:top w:w="100" w:type="dxa"/>
              <w:left w:w="100" w:type="dxa"/>
              <w:bottom w:w="100" w:type="dxa"/>
              <w:right w:w="100" w:type="dxa"/>
            </w:tcMar>
          </w:tcPr>
          <w:p w14:paraId="13A9043D"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Height </w:t>
            </w:r>
            <m:oMath>
              <m:r>
                <m:rPr>
                  <m:sty m:val="bi"/>
                </m:rPr>
                <w:rPr>
                  <w:rFonts w:ascii="Calibri" w:eastAsia="Calibri" w:hAnsi="Calibri" w:cs="Calibri"/>
                  <w:sz w:val="24"/>
                  <w:szCs w:val="24"/>
                </w:rPr>
                <m:t>(m)</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56144FD5"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1.69 ± 0.09</w:t>
            </w:r>
          </w:p>
          <w:p w14:paraId="644776A4"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lastRenderedPageBreak/>
              <w:t>(1.35, 2.02)</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249F70BC"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lastRenderedPageBreak/>
              <w:t>1.63 ± 0.06</w:t>
            </w:r>
          </w:p>
          <w:p w14:paraId="13B49924"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lastRenderedPageBreak/>
              <w:t>(1.35, 1.95)</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1263C070"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lastRenderedPageBreak/>
              <w:t>1.76 ± 0.07</w:t>
            </w:r>
          </w:p>
          <w:p w14:paraId="17DA51AC"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lastRenderedPageBreak/>
              <w:t>(1.50, 2.02)</w:t>
            </w:r>
          </w:p>
        </w:tc>
      </w:tr>
      <w:tr w:rsidR="007E572B" w14:paraId="2A1EE1A1" w14:textId="77777777">
        <w:tc>
          <w:tcPr>
            <w:tcW w:w="3165" w:type="dxa"/>
            <w:shd w:val="clear" w:color="auto" w:fill="auto"/>
            <w:tcMar>
              <w:top w:w="100" w:type="dxa"/>
              <w:left w:w="100" w:type="dxa"/>
              <w:bottom w:w="100" w:type="dxa"/>
              <w:right w:w="100" w:type="dxa"/>
            </w:tcMar>
          </w:tcPr>
          <w:p w14:paraId="04DF827A"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lastRenderedPageBreak/>
              <w:t xml:space="preserve">BMI </w:t>
            </w:r>
            <m:oMath>
              <m:sSup>
                <m:sSupPr>
                  <m:ctrlPr>
                    <w:rPr>
                      <w:rFonts w:ascii="Calibri" w:eastAsia="Calibri" w:hAnsi="Calibri" w:cs="Calibri"/>
                      <w:b/>
                      <w:sz w:val="24"/>
                      <w:szCs w:val="24"/>
                    </w:rPr>
                  </m:ctrlPr>
                </m:sSupPr>
                <m:e>
                  <m:r>
                    <m:rPr>
                      <m:sty m:val="bi"/>
                    </m:rPr>
                    <w:rPr>
                      <w:rFonts w:ascii="Calibri" w:eastAsia="Calibri" w:hAnsi="Calibri" w:cs="Calibri"/>
                      <w:sz w:val="24"/>
                      <w:szCs w:val="24"/>
                    </w:rPr>
                    <m:t>(kg/m</m:t>
                  </m:r>
                </m:e>
                <m:sup>
                  <m:r>
                    <m:rPr>
                      <m:sty m:val="bi"/>
                    </m:rPr>
                    <w:rPr>
                      <w:rFonts w:ascii="Calibri" w:eastAsia="Calibri" w:hAnsi="Calibri" w:cs="Calibri"/>
                      <w:sz w:val="24"/>
                      <w:szCs w:val="24"/>
                    </w:rPr>
                    <m:t>2</m:t>
                  </m:r>
                </m:sup>
              </m:sSup>
              <m:r>
                <m:rPr>
                  <m:sty m:val="bi"/>
                </m:rPr>
                <w:rPr>
                  <w:rFonts w:ascii="Calibri" w:eastAsia="Calibri" w:hAnsi="Calibri" w:cs="Calibri"/>
                  <w:sz w:val="24"/>
                  <w:szCs w:val="24"/>
                </w:rPr>
                <m:t>)</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0D9D229E"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26.49 ± 4.33</w:t>
            </w:r>
          </w:p>
          <w:p w14:paraId="6045C5E3"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(13.39, 62.04)</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6FC58209"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26.03 ± 4.69</w:t>
            </w:r>
          </w:p>
          <w:p w14:paraId="071A74AE"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(13.39, 62.04)</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1CFAEFC9"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26.98 ± 3.87</w:t>
            </w:r>
          </w:p>
          <w:p w14:paraId="61CDAAD0"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(16.38, 52.67)</w:t>
            </w:r>
          </w:p>
        </w:tc>
      </w:tr>
      <w:tr w:rsidR="007E572B" w14:paraId="46DC8459" w14:textId="77777777">
        <w:tc>
          <w:tcPr>
            <w:tcW w:w="3165" w:type="dxa"/>
            <w:shd w:val="clear" w:color="auto" w:fill="auto"/>
            <w:tcMar>
              <w:top w:w="100" w:type="dxa"/>
              <w:left w:w="100" w:type="dxa"/>
              <w:bottom w:w="100" w:type="dxa"/>
              <w:right w:w="100" w:type="dxa"/>
            </w:tcMar>
          </w:tcPr>
          <w:p w14:paraId="7DC29ED3"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Waist circumference </w:t>
            </w:r>
            <m:oMath>
              <m:r>
                <w:rPr>
                  <w:rFonts w:ascii="Calibri" w:eastAsia="Calibri" w:hAnsi="Calibri" w:cs="Calibri"/>
                  <w:sz w:val="24"/>
                  <w:szCs w:val="24"/>
                </w:rPr>
                <m:t>(cm)</m:t>
              </m:r>
            </m:oMath>
          </w:p>
        </w:tc>
        <w:tc>
          <w:tcPr>
            <w:tcW w:w="2055" w:type="dxa"/>
            <w:shd w:val="clear" w:color="auto" w:fill="auto"/>
            <w:tcMar>
              <w:top w:w="100" w:type="dxa"/>
              <w:left w:w="100" w:type="dxa"/>
              <w:bottom w:w="100" w:type="dxa"/>
              <w:right w:w="100" w:type="dxa"/>
            </w:tcMar>
          </w:tcPr>
          <w:p w14:paraId="2E53ED7A"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88.20 ± 12.57</w:t>
            </w:r>
          </w:p>
          <w:p w14:paraId="64CA3FA7"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(53, 152)</w:t>
            </w:r>
          </w:p>
        </w:tc>
        <w:tc>
          <w:tcPr>
            <w:tcW w:w="1905" w:type="dxa"/>
            <w:shd w:val="clear" w:color="auto" w:fill="auto"/>
            <w:tcMar>
              <w:top w:w="100" w:type="dxa"/>
              <w:left w:w="100" w:type="dxa"/>
              <w:bottom w:w="100" w:type="dxa"/>
              <w:right w:w="100" w:type="dxa"/>
            </w:tcMar>
          </w:tcPr>
          <w:p w14:paraId="3DF8DDCF"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82.53 ± 11.64</w:t>
            </w:r>
          </w:p>
          <w:p w14:paraId="0F621682"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(53, 144)</w:t>
            </w:r>
          </w:p>
        </w:tc>
        <w:tc>
          <w:tcPr>
            <w:tcW w:w="1965" w:type="dxa"/>
            <w:shd w:val="clear" w:color="auto" w:fill="auto"/>
            <w:tcMar>
              <w:top w:w="100" w:type="dxa"/>
              <w:left w:w="100" w:type="dxa"/>
              <w:bottom w:w="100" w:type="dxa"/>
              <w:right w:w="100" w:type="dxa"/>
            </w:tcMar>
          </w:tcPr>
          <w:p w14:paraId="41063791"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94.17 ± 10.58</w:t>
            </w:r>
          </w:p>
          <w:p w14:paraId="268E9450"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(63, 152)</w:t>
            </w:r>
          </w:p>
        </w:tc>
      </w:tr>
      <w:tr w:rsidR="007E572B" w14:paraId="4F8FE68E" w14:textId="77777777">
        <w:tc>
          <w:tcPr>
            <w:tcW w:w="3165" w:type="dxa"/>
            <w:shd w:val="clear" w:color="auto" w:fill="auto"/>
            <w:tcMar>
              <w:top w:w="100" w:type="dxa"/>
              <w:left w:w="100" w:type="dxa"/>
              <w:bottom w:w="100" w:type="dxa"/>
              <w:right w:w="100" w:type="dxa"/>
            </w:tcMar>
          </w:tcPr>
          <w:p w14:paraId="14CE2885"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Hip circumference </w:t>
            </w:r>
            <m:oMath>
              <m:r>
                <w:rPr>
                  <w:rFonts w:ascii="Calibri" w:eastAsia="Calibri" w:hAnsi="Calibri" w:cs="Calibri"/>
                  <w:sz w:val="24"/>
                  <w:szCs w:val="24"/>
                </w:rPr>
                <m:t>(cm)</m:t>
              </m:r>
            </m:oMath>
          </w:p>
        </w:tc>
        <w:tc>
          <w:tcPr>
            <w:tcW w:w="2055" w:type="dxa"/>
            <w:shd w:val="clear" w:color="auto" w:fill="auto"/>
            <w:tcMar>
              <w:top w:w="100" w:type="dxa"/>
              <w:left w:w="100" w:type="dxa"/>
              <w:bottom w:w="100" w:type="dxa"/>
              <w:right w:w="100" w:type="dxa"/>
            </w:tcMar>
          </w:tcPr>
          <w:p w14:paraId="43F53628"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100.70 ± 8.62</w:t>
            </w:r>
          </w:p>
          <w:p w14:paraId="312B6D15"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(68, 176)</w:t>
            </w:r>
          </w:p>
        </w:tc>
        <w:tc>
          <w:tcPr>
            <w:tcW w:w="1905" w:type="dxa"/>
            <w:shd w:val="clear" w:color="auto" w:fill="auto"/>
            <w:tcMar>
              <w:top w:w="100" w:type="dxa"/>
              <w:left w:w="100" w:type="dxa"/>
              <w:bottom w:w="100" w:type="dxa"/>
              <w:right w:w="100" w:type="dxa"/>
            </w:tcMar>
          </w:tcPr>
          <w:p w14:paraId="6A047C38"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100.73 ± 9.71</w:t>
            </w:r>
          </w:p>
          <w:p w14:paraId="491E5605"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(68, 157)</w:t>
            </w:r>
          </w:p>
        </w:tc>
        <w:tc>
          <w:tcPr>
            <w:tcW w:w="1965" w:type="dxa"/>
            <w:shd w:val="clear" w:color="auto" w:fill="auto"/>
            <w:tcMar>
              <w:top w:w="100" w:type="dxa"/>
              <w:left w:w="100" w:type="dxa"/>
              <w:bottom w:w="100" w:type="dxa"/>
              <w:right w:w="100" w:type="dxa"/>
            </w:tcMar>
          </w:tcPr>
          <w:p w14:paraId="2BD6EA50"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100.66 ± 7.30</w:t>
            </w:r>
          </w:p>
          <w:p w14:paraId="6EE7D980"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(76.2, 176)</w:t>
            </w:r>
          </w:p>
        </w:tc>
      </w:tr>
      <w:tr w:rsidR="007E572B" w14:paraId="2147231F" w14:textId="77777777">
        <w:tc>
          <w:tcPr>
            <w:tcW w:w="3165" w:type="dxa"/>
            <w:shd w:val="clear" w:color="auto" w:fill="auto"/>
            <w:tcMar>
              <w:top w:w="100" w:type="dxa"/>
              <w:left w:w="100" w:type="dxa"/>
              <w:bottom w:w="100" w:type="dxa"/>
              <w:right w:w="100" w:type="dxa"/>
            </w:tcMar>
          </w:tcPr>
          <w:p w14:paraId="5E8CB485"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WHR</w:t>
            </w:r>
          </w:p>
        </w:tc>
        <w:tc>
          <w:tcPr>
            <w:tcW w:w="2055" w:type="dxa"/>
            <w:tcBorders>
              <w:bottom w:val="single" w:sz="8" w:space="0" w:color="000000"/>
            </w:tcBorders>
            <w:shd w:val="clear" w:color="auto" w:fill="auto"/>
            <w:tcMar>
              <w:top w:w="100" w:type="dxa"/>
              <w:left w:w="100" w:type="dxa"/>
              <w:bottom w:w="100" w:type="dxa"/>
              <w:right w:w="100" w:type="dxa"/>
            </w:tcMar>
          </w:tcPr>
          <w:p w14:paraId="56F63179"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0.87 ± 0.09</w:t>
            </w:r>
          </w:p>
          <w:p w14:paraId="3DD4E305"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(0.53, 1.31)</w:t>
            </w:r>
          </w:p>
        </w:tc>
        <w:tc>
          <w:tcPr>
            <w:tcW w:w="1905" w:type="dxa"/>
            <w:tcBorders>
              <w:bottom w:val="single" w:sz="8" w:space="0" w:color="000000"/>
            </w:tcBorders>
            <w:shd w:val="clear" w:color="auto" w:fill="auto"/>
            <w:tcMar>
              <w:top w:w="100" w:type="dxa"/>
              <w:left w:w="100" w:type="dxa"/>
              <w:bottom w:w="100" w:type="dxa"/>
              <w:right w:w="100" w:type="dxa"/>
            </w:tcMar>
          </w:tcPr>
          <w:p w14:paraId="2B161E85"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0.82 ± 0.07</w:t>
            </w:r>
          </w:p>
          <w:p w14:paraId="0A9D96C8"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(0.60, 1.22)</w:t>
            </w:r>
          </w:p>
        </w:tc>
        <w:tc>
          <w:tcPr>
            <w:tcW w:w="1965" w:type="dxa"/>
            <w:tcBorders>
              <w:bottom w:val="single" w:sz="8" w:space="0" w:color="000000"/>
            </w:tcBorders>
            <w:shd w:val="clear" w:color="auto" w:fill="auto"/>
            <w:tcMar>
              <w:top w:w="100" w:type="dxa"/>
              <w:left w:w="100" w:type="dxa"/>
              <w:bottom w:w="100" w:type="dxa"/>
              <w:right w:w="100" w:type="dxa"/>
            </w:tcMar>
          </w:tcPr>
          <w:p w14:paraId="5AAE2E8D"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0.93 ± 0.06</w:t>
            </w:r>
          </w:p>
          <w:p w14:paraId="673CC464"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(0.53, 1.31)</w:t>
            </w:r>
          </w:p>
        </w:tc>
      </w:tr>
      <w:tr w:rsidR="007E572B" w14:paraId="3B165C25" w14:textId="77777777">
        <w:tc>
          <w:tcPr>
            <w:tcW w:w="3165" w:type="dxa"/>
            <w:shd w:val="clear" w:color="auto" w:fill="auto"/>
            <w:tcMar>
              <w:top w:w="100" w:type="dxa"/>
              <w:left w:w="100" w:type="dxa"/>
              <w:bottom w:w="100" w:type="dxa"/>
              <w:right w:w="100" w:type="dxa"/>
            </w:tcMar>
          </w:tcPr>
          <w:p w14:paraId="411B1A3A"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SBP </w:t>
            </w:r>
            <m:oMath>
              <m:r>
                <m:rPr>
                  <m:sty m:val="bi"/>
                </m:rPr>
                <w:rPr>
                  <w:rFonts w:ascii="Calibri" w:eastAsia="Calibri" w:hAnsi="Calibri" w:cs="Calibri"/>
                  <w:sz w:val="24"/>
                  <w:szCs w:val="24"/>
                </w:rPr>
                <m:t>(mmHg)</m:t>
              </m:r>
            </m:oMath>
          </w:p>
        </w:tc>
        <w:tc>
          <w:tcPr>
            <w:tcW w:w="205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7CA053A"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139 ± 18.66</w:t>
            </w:r>
          </w:p>
          <w:p w14:paraId="2C3759F6"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(76.5, 240.5)</w:t>
            </w:r>
          </w:p>
        </w:tc>
        <w:tc>
          <w:tcPr>
            <w:tcW w:w="1905" w:type="dxa"/>
            <w:tcBorders>
              <w:top w:val="single" w:sz="8" w:space="0" w:color="000000"/>
              <w:left w:val="single" w:sz="8" w:space="0" w:color="CCCCCC"/>
              <w:bottom w:val="single" w:sz="8" w:space="0" w:color="000000"/>
              <w:right w:val="single" w:sz="8" w:space="0" w:color="000000"/>
            </w:tcBorders>
            <w:tcMar>
              <w:top w:w="40" w:type="dxa"/>
              <w:left w:w="40" w:type="dxa"/>
              <w:bottom w:w="40" w:type="dxa"/>
              <w:right w:w="40" w:type="dxa"/>
            </w:tcMar>
            <w:vAlign w:val="bottom"/>
          </w:tcPr>
          <w:p w14:paraId="62830EAD"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136.00 ± 19.30</w:t>
            </w:r>
          </w:p>
          <w:p w14:paraId="58D6FAA8"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(77.5, 237.5)</w:t>
            </w:r>
          </w:p>
        </w:tc>
        <w:tc>
          <w:tcPr>
            <w:tcW w:w="1965" w:type="dxa"/>
            <w:tcBorders>
              <w:top w:val="single" w:sz="8" w:space="0" w:color="000000"/>
              <w:left w:val="single" w:sz="8" w:space="0" w:color="CCCCCC"/>
              <w:bottom w:val="single" w:sz="8" w:space="0" w:color="000000"/>
              <w:right w:val="single" w:sz="8" w:space="0" w:color="000000"/>
            </w:tcBorders>
            <w:tcMar>
              <w:top w:w="40" w:type="dxa"/>
              <w:left w:w="40" w:type="dxa"/>
              <w:bottom w:w="40" w:type="dxa"/>
              <w:right w:w="40" w:type="dxa"/>
            </w:tcMar>
            <w:vAlign w:val="bottom"/>
          </w:tcPr>
          <w:p w14:paraId="4A5AE9E1"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142.08 ± 17.42</w:t>
            </w:r>
          </w:p>
          <w:p w14:paraId="1CCB3754"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(76.5, 240.5)</w:t>
            </w:r>
          </w:p>
        </w:tc>
      </w:tr>
      <w:tr w:rsidR="007E572B" w14:paraId="07B1D7B3" w14:textId="77777777">
        <w:tc>
          <w:tcPr>
            <w:tcW w:w="3165" w:type="dxa"/>
            <w:shd w:val="clear" w:color="auto" w:fill="auto"/>
            <w:tcMar>
              <w:top w:w="100" w:type="dxa"/>
              <w:left w:w="100" w:type="dxa"/>
              <w:bottom w:w="100" w:type="dxa"/>
              <w:right w:w="100" w:type="dxa"/>
            </w:tcMar>
          </w:tcPr>
          <w:p w14:paraId="63D9CDFB"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DBP </w:t>
            </w:r>
            <m:oMath>
              <m:r>
                <m:rPr>
                  <m:sty m:val="bi"/>
                </m:rPr>
                <w:rPr>
                  <w:rFonts w:ascii="Calibri" w:eastAsia="Calibri" w:hAnsi="Calibri" w:cs="Calibri"/>
                  <w:sz w:val="24"/>
                  <w:szCs w:val="24"/>
                </w:rPr>
                <m:t>(mmHg)</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35C00E85"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78.77 ± 10.05</w:t>
            </w:r>
          </w:p>
          <w:p w14:paraId="23F9D338"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(37.5, 129)</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4228C916"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77.05 ± 9.95</w:t>
            </w:r>
          </w:p>
          <w:p w14:paraId="31B71E3F"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(37.5, 121.5)</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591014C7"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80.57 ± 9.84</w:t>
            </w:r>
          </w:p>
          <w:p w14:paraId="58F9F17B"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(46.5, 129)</w:t>
            </w:r>
          </w:p>
        </w:tc>
      </w:tr>
      <w:tr w:rsidR="007E572B" w14:paraId="092CE594" w14:textId="77777777">
        <w:tc>
          <w:tcPr>
            <w:tcW w:w="3165" w:type="dxa"/>
            <w:shd w:val="clear" w:color="auto" w:fill="auto"/>
            <w:tcMar>
              <w:top w:w="100" w:type="dxa"/>
              <w:left w:w="100" w:type="dxa"/>
              <w:bottom w:w="100" w:type="dxa"/>
              <w:right w:w="100" w:type="dxa"/>
            </w:tcMar>
          </w:tcPr>
          <w:p w14:paraId="4CACA39A"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Dominant HGS </w:t>
            </w:r>
            <m:oMath>
              <m:r>
                <m:rPr>
                  <m:sty m:val="bi"/>
                </m:rPr>
                <w:rPr>
                  <w:rFonts w:ascii="Calibri" w:eastAsia="Calibri" w:hAnsi="Calibri" w:cs="Calibri"/>
                  <w:sz w:val="24"/>
                  <w:szCs w:val="24"/>
                </w:rPr>
                <m:t>(kg)</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160D1FEB"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31.2 ± 10.50</w:t>
            </w:r>
          </w:p>
          <w:p w14:paraId="108E2D1A"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(8, 90)</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3964F0CC"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23.99 ± 5.97</w:t>
            </w:r>
          </w:p>
          <w:p w14:paraId="70769E58"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(8, 65)</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11A586D0"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38.78 ± 8.75</w:t>
            </w:r>
          </w:p>
          <w:p w14:paraId="1631A252"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(8, 90)</w:t>
            </w:r>
          </w:p>
        </w:tc>
      </w:tr>
      <w:tr w:rsidR="007E572B" w14:paraId="48D2F993" w14:textId="77777777">
        <w:tc>
          <w:tcPr>
            <w:tcW w:w="3165" w:type="dxa"/>
            <w:shd w:val="clear" w:color="auto" w:fill="auto"/>
            <w:tcMar>
              <w:top w:w="100" w:type="dxa"/>
              <w:left w:w="100" w:type="dxa"/>
              <w:bottom w:w="100" w:type="dxa"/>
              <w:right w:w="100" w:type="dxa"/>
            </w:tcMar>
          </w:tcPr>
          <w:p w14:paraId="1A7024AD"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Townsend deprivation index</w:t>
            </w:r>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5B3BC661"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-1.94 ± 2.70</w:t>
            </w:r>
          </w:p>
          <w:p w14:paraId="1F3666A9"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(-6.26, 10.10)</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050D18B2"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-1.89 ± 2.70</w:t>
            </w:r>
          </w:p>
          <w:p w14:paraId="62791A16"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(-6.26, 10.10)</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5AEAAB63"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-1.99 ± 2.69</w:t>
            </w:r>
          </w:p>
          <w:p w14:paraId="77BDD64B"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(-6.26, 9.74)</w:t>
            </w:r>
          </w:p>
        </w:tc>
      </w:tr>
      <w:tr w:rsidR="007E572B" w14:paraId="4FC6588C" w14:textId="77777777">
        <w:tc>
          <w:tcPr>
            <w:tcW w:w="3165" w:type="dxa"/>
            <w:shd w:val="clear" w:color="auto" w:fill="auto"/>
            <w:tcMar>
              <w:top w:w="100" w:type="dxa"/>
              <w:left w:w="100" w:type="dxa"/>
              <w:bottom w:w="100" w:type="dxa"/>
              <w:right w:w="100" w:type="dxa"/>
            </w:tcMar>
          </w:tcPr>
          <w:p w14:paraId="60BD5FD5"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Alcohol intake frequency </w:t>
            </w:r>
            <m:oMath>
              <m:r>
                <m:rPr>
                  <m:sty m:val="bi"/>
                </m:rPr>
                <w:rPr>
                  <w:rFonts w:ascii="Calibri" w:eastAsia="Calibri" w:hAnsi="Calibri" w:cs="Calibri"/>
                  <w:sz w:val="24"/>
                  <w:szCs w:val="24"/>
                </w:rPr>
                <m:t>(n)</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5C1249A4"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 xml:space="preserve">6,479 </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449FFB8F"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2,639</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488274C4"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3,840</w:t>
            </w:r>
          </w:p>
        </w:tc>
      </w:tr>
      <w:tr w:rsidR="007E572B" w14:paraId="74D67DCD" w14:textId="77777777">
        <w:tc>
          <w:tcPr>
            <w:tcW w:w="3165" w:type="dxa"/>
            <w:shd w:val="clear" w:color="auto" w:fill="auto"/>
            <w:tcMar>
              <w:top w:w="100" w:type="dxa"/>
              <w:left w:w="100" w:type="dxa"/>
              <w:bottom w:w="100" w:type="dxa"/>
              <w:right w:w="100" w:type="dxa"/>
            </w:tcMar>
          </w:tcPr>
          <w:p w14:paraId="073FC86E"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Smoker </w:t>
            </w:r>
            <m:oMath>
              <m:r>
                <m:rPr>
                  <m:sty m:val="bi"/>
                </m:rPr>
                <w:rPr>
                  <w:rFonts w:ascii="Calibri" w:eastAsia="Calibri" w:hAnsi="Calibri" w:cs="Calibri"/>
                  <w:sz w:val="24"/>
                  <w:szCs w:val="24"/>
                </w:rPr>
                <m:t>(n)</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34F8E812"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1,312</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4BEBD8A6"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561</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31E3378A"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749</w:t>
            </w:r>
          </w:p>
        </w:tc>
      </w:tr>
      <w:tr w:rsidR="007E572B" w14:paraId="045D5B55" w14:textId="77777777">
        <w:trPr>
          <w:trHeight w:val="711"/>
        </w:trPr>
        <w:tc>
          <w:tcPr>
            <w:tcW w:w="3165" w:type="dxa"/>
            <w:shd w:val="clear" w:color="auto" w:fill="auto"/>
            <w:tcMar>
              <w:top w:w="100" w:type="dxa"/>
              <w:left w:w="100" w:type="dxa"/>
              <w:bottom w:w="100" w:type="dxa"/>
              <w:right w:w="100" w:type="dxa"/>
            </w:tcMar>
          </w:tcPr>
          <w:p w14:paraId="63A5050D"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lastRenderedPageBreak/>
              <w:t xml:space="preserve">Vigorous MET </w:t>
            </w:r>
            <m:oMath>
              <m:r>
                <m:rPr>
                  <m:sty m:val="bi"/>
                </m:rPr>
                <w:rPr>
                  <w:rFonts w:ascii="Calibri" w:eastAsia="Calibri" w:hAnsi="Calibri" w:cs="Calibri"/>
                  <w:sz w:val="24"/>
                  <w:szCs w:val="24"/>
                </w:rPr>
                <m:t>(hours/week)</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4CBFACFF"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6.57 ± 8.03</w:t>
            </w:r>
          </w:p>
          <w:p w14:paraId="705C9457"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(0, 21)</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2AB3C86A"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5.81 ± 7.68</w:t>
            </w:r>
          </w:p>
          <w:p w14:paraId="4E1C5942"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(0, 21)</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30990F25"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7.36 ± 8.31</w:t>
            </w:r>
          </w:p>
          <w:p w14:paraId="7AE6D3EE"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(0, 21)</w:t>
            </w:r>
          </w:p>
        </w:tc>
      </w:tr>
      <w:tr w:rsidR="007E572B" w14:paraId="312D33A1" w14:textId="77777777">
        <w:tc>
          <w:tcPr>
            <w:tcW w:w="3165" w:type="dxa"/>
            <w:tcBorders>
              <w:right w:val="single" w:sz="7" w:space="0" w:color="000000"/>
            </w:tcBorders>
            <w:shd w:val="clear" w:color="auto" w:fill="auto"/>
            <w:tcMar>
              <w:top w:w="100" w:type="dxa"/>
              <w:left w:w="100" w:type="dxa"/>
              <w:bottom w:w="100" w:type="dxa"/>
              <w:right w:w="100" w:type="dxa"/>
            </w:tcMar>
          </w:tcPr>
          <w:p w14:paraId="0C8587C0"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VAT volume </w:t>
            </w:r>
            <m:oMath>
              <m:r>
                <m:rPr>
                  <m:sty m:val="bi"/>
                </m:rPr>
                <w:rPr>
                  <w:rFonts w:ascii="Calibri" w:eastAsia="Calibri" w:hAnsi="Calibri" w:cs="Calibri"/>
                  <w:sz w:val="24"/>
                  <w:szCs w:val="24"/>
                </w:rPr>
                <m:t>(l)</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79B5893E"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3.95 ± 2.31</w:t>
            </w:r>
          </w:p>
          <w:p w14:paraId="445F0E14"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(0, 16.36)</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0DABE72A"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2.81 ± 1.55</w:t>
            </w:r>
          </w:p>
          <w:p w14:paraId="16CFFE31"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(0, 11.49)</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44575FAA"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5.16 ± 2.35</w:t>
            </w:r>
          </w:p>
          <w:p w14:paraId="66FDC9A2"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(0, 16.36)</w:t>
            </w:r>
          </w:p>
        </w:tc>
      </w:tr>
      <w:tr w:rsidR="007E572B" w14:paraId="3D8675E0" w14:textId="77777777">
        <w:tc>
          <w:tcPr>
            <w:tcW w:w="3165" w:type="dxa"/>
            <w:tcBorders>
              <w:right w:val="single" w:sz="7" w:space="0" w:color="000000"/>
            </w:tcBorders>
            <w:shd w:val="clear" w:color="auto" w:fill="auto"/>
            <w:tcMar>
              <w:top w:w="100" w:type="dxa"/>
              <w:left w:w="100" w:type="dxa"/>
              <w:bottom w:w="100" w:type="dxa"/>
              <w:right w:w="100" w:type="dxa"/>
            </w:tcMar>
          </w:tcPr>
          <w:p w14:paraId="2E2270EB"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ASAT volume </w:t>
            </w:r>
            <m:oMath>
              <m:r>
                <m:rPr>
                  <m:sty m:val="bi"/>
                </m:rPr>
                <w:rPr>
                  <w:rFonts w:ascii="Calibri" w:eastAsia="Calibri" w:hAnsi="Calibri" w:cs="Calibri"/>
                  <w:sz w:val="24"/>
                  <w:szCs w:val="24"/>
                </w:rPr>
                <m:t>(l)</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7A52C182"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8.46 ± 4.63</w:t>
            </w:r>
          </w:p>
          <w:p w14:paraId="53D685C5"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(0.07, 38.21)</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67D6C5FC"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9.82 ± 4.34</w:t>
            </w:r>
          </w:p>
          <w:p w14:paraId="35763235"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(0.07, 38.21)</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1270F70B"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7.02 ± 3.27</w:t>
            </w:r>
          </w:p>
          <w:p w14:paraId="12C22808" w14:textId="77777777" w:rsidR="007E572B" w:rsidRDefault="00000000">
            <w:pPr>
              <w:spacing w:line="480" w:lineRule="auto"/>
              <w:rPr>
                <w:rFonts w:ascii="Calibri" w:eastAsia="Calibri" w:hAnsi="Calibri" w:cs="Calibri"/>
                <w:sz w:val="24"/>
                <w:szCs w:val="24"/>
              </w:rPr>
            </w:pPr>
            <w:r>
              <w:rPr>
                <w:rFonts w:ascii="Calibri" w:eastAsia="Calibri" w:hAnsi="Calibri" w:cs="Calibri"/>
                <w:sz w:val="24"/>
                <w:szCs w:val="24"/>
              </w:rPr>
              <w:t>(0.07, 32.58)</w:t>
            </w:r>
          </w:p>
        </w:tc>
      </w:tr>
      <w:tr w:rsidR="007E572B" w14:paraId="5260F41E" w14:textId="77777777">
        <w:tc>
          <w:tcPr>
            <w:tcW w:w="3165" w:type="dxa"/>
            <w:tcBorders>
              <w:right w:val="single" w:sz="7" w:space="0" w:color="000000"/>
            </w:tcBorders>
            <w:shd w:val="clear" w:color="auto" w:fill="auto"/>
            <w:tcMar>
              <w:top w:w="100" w:type="dxa"/>
              <w:left w:w="100" w:type="dxa"/>
              <w:bottom w:w="100" w:type="dxa"/>
              <w:right w:w="100" w:type="dxa"/>
            </w:tcMar>
          </w:tcPr>
          <w:p w14:paraId="6A64EA57" w14:textId="77777777" w:rsidR="007E572B" w:rsidRDefault="00000000">
            <w:pPr>
              <w:spacing w:line="480" w:lineRule="auto"/>
              <w:jc w:val="both"/>
              <w:rPr>
                <w:rFonts w:ascii="Calibri" w:eastAsia="Calibri" w:hAnsi="Calibri" w:cs="Calibri"/>
                <w:b/>
                <w:sz w:val="24"/>
                <w:szCs w:val="24"/>
              </w:rPr>
            </w:pPr>
            <w:r>
              <w:rPr>
                <w:rFonts w:ascii="Calibri" w:eastAsia="Calibri" w:hAnsi="Calibri" w:cs="Calibri"/>
                <w:b/>
                <w:sz w:val="24"/>
                <w:szCs w:val="24"/>
              </w:rPr>
              <w:t xml:space="preserve">Total muscle volume </w:t>
            </w:r>
            <m:oMath>
              <m:r>
                <m:rPr>
                  <m:sty m:val="bi"/>
                </m:rPr>
                <w:rPr>
                  <w:rFonts w:ascii="Calibri" w:eastAsia="Calibri" w:hAnsi="Calibri" w:cs="Calibri"/>
                  <w:sz w:val="24"/>
                  <w:szCs w:val="24"/>
                </w:rPr>
                <m:t>(l)</m:t>
              </m:r>
            </m:oMath>
          </w:p>
        </w:tc>
        <w:tc>
          <w:tcPr>
            <w:tcW w:w="2055"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tcPr>
          <w:p w14:paraId="3C7EEEE3"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17.87 ± 4.63</w:t>
            </w:r>
          </w:p>
          <w:p w14:paraId="6C9F47CA"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(5.62, 36.11)</w:t>
            </w:r>
          </w:p>
        </w:tc>
        <w:tc>
          <w:tcPr>
            <w:tcW w:w="190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3591FB9B"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14.07 ± 1.95</w:t>
            </w:r>
          </w:p>
          <w:p w14:paraId="3C6E4073"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(5.62, 27.14)</w:t>
            </w:r>
          </w:p>
        </w:tc>
        <w:tc>
          <w:tcPr>
            <w:tcW w:w="1965"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tcPr>
          <w:p w14:paraId="6CAB5F21"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21.85 ± 3</w:t>
            </w:r>
          </w:p>
          <w:p w14:paraId="056D6FA6" w14:textId="77777777" w:rsidR="007E572B" w:rsidRDefault="00000000">
            <w:pPr>
              <w:widowControl w:val="0"/>
              <w:spacing w:line="480" w:lineRule="auto"/>
              <w:rPr>
                <w:rFonts w:ascii="Calibri" w:eastAsia="Calibri" w:hAnsi="Calibri" w:cs="Calibri"/>
                <w:sz w:val="24"/>
                <w:szCs w:val="24"/>
              </w:rPr>
            </w:pPr>
            <w:r>
              <w:rPr>
                <w:rFonts w:ascii="Calibri" w:eastAsia="Calibri" w:hAnsi="Calibri" w:cs="Calibri"/>
                <w:sz w:val="24"/>
                <w:szCs w:val="24"/>
              </w:rPr>
              <w:t>(10.82, 36.11)</w:t>
            </w:r>
          </w:p>
        </w:tc>
      </w:tr>
    </w:tbl>
    <w:p w14:paraId="6C82014E" w14:textId="77777777" w:rsidR="007E572B" w:rsidRDefault="007E572B">
      <w:pPr>
        <w:spacing w:line="480" w:lineRule="auto"/>
        <w:jc w:val="both"/>
        <w:rPr>
          <w:rFonts w:ascii="Calibri" w:eastAsia="Calibri" w:hAnsi="Calibri" w:cs="Calibri"/>
          <w:sz w:val="24"/>
          <w:szCs w:val="24"/>
        </w:rPr>
      </w:pPr>
    </w:p>
    <w:p w14:paraId="52790871"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Table S2. Summary statistics (mean ± standard deviation, minimum and maximum values) for continuous variables and counts for discrete variables in the full cohort (N=36,742). BMI: Body mass index; WHR: waist-to-hip ratio; HGS: Hand grip strength; SBP: Systolic blood pressure; DBP: Diastolic blood pressure; MET: Metabolic equivalents of task; VAT: Visceral adipose tissue; ASAT: Abdominal subcutaneous adipose tissue.</w:t>
      </w:r>
    </w:p>
    <w:p w14:paraId="0845C1AD" w14:textId="77777777" w:rsidR="007E572B" w:rsidRDefault="007E572B">
      <w:pPr>
        <w:spacing w:line="480" w:lineRule="auto"/>
        <w:jc w:val="both"/>
        <w:rPr>
          <w:rFonts w:ascii="Calibri" w:eastAsia="Calibri" w:hAnsi="Calibri" w:cs="Calibri"/>
          <w:sz w:val="24"/>
          <w:szCs w:val="24"/>
        </w:rPr>
      </w:pPr>
    </w:p>
    <w:p w14:paraId="7723CF87" w14:textId="77777777" w:rsidR="007E572B" w:rsidRDefault="007E572B">
      <w:pPr>
        <w:spacing w:line="480" w:lineRule="auto"/>
        <w:jc w:val="both"/>
        <w:rPr>
          <w:rFonts w:ascii="Calibri" w:eastAsia="Calibri" w:hAnsi="Calibri" w:cs="Calibri"/>
          <w:b/>
          <w:sz w:val="24"/>
          <w:szCs w:val="24"/>
        </w:rPr>
      </w:pPr>
    </w:p>
    <w:tbl>
      <w:tblPr>
        <w:tblStyle w:val="a1"/>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55"/>
        <w:gridCol w:w="1800"/>
        <w:gridCol w:w="1725"/>
        <w:gridCol w:w="1815"/>
        <w:gridCol w:w="1620"/>
      </w:tblGrid>
      <w:tr w:rsidR="007E572B" w14:paraId="6643014F" w14:textId="77777777">
        <w:trPr>
          <w:trHeight w:val="810"/>
        </w:trPr>
        <w:tc>
          <w:tcPr>
            <w:tcW w:w="2055" w:type="dxa"/>
            <w:vMerge w:val="restart"/>
            <w:shd w:val="clear" w:color="auto" w:fill="FCFCFC"/>
            <w:tcMar>
              <w:top w:w="100" w:type="dxa"/>
              <w:left w:w="100" w:type="dxa"/>
              <w:bottom w:w="100" w:type="dxa"/>
              <w:right w:w="100" w:type="dxa"/>
            </w:tcMar>
          </w:tcPr>
          <w:p w14:paraId="33DD6B66" w14:textId="77777777" w:rsidR="007E572B" w:rsidRDefault="007E572B">
            <w:pPr>
              <w:spacing w:line="480" w:lineRule="auto"/>
              <w:rPr>
                <w:rFonts w:ascii="Calibri" w:eastAsia="Calibri" w:hAnsi="Calibri" w:cs="Calibri"/>
                <w:sz w:val="24"/>
                <w:szCs w:val="24"/>
              </w:rPr>
            </w:pPr>
          </w:p>
          <w:p w14:paraId="506DFD8C" w14:textId="77777777" w:rsidR="007E572B" w:rsidRDefault="007E572B">
            <w:pPr>
              <w:spacing w:line="480" w:lineRule="auto"/>
              <w:rPr>
                <w:rFonts w:ascii="Calibri" w:eastAsia="Calibri" w:hAnsi="Calibri" w:cs="Calibri"/>
                <w:b/>
                <w:sz w:val="24"/>
                <w:szCs w:val="24"/>
              </w:rPr>
            </w:pPr>
          </w:p>
        </w:tc>
        <w:tc>
          <w:tcPr>
            <w:tcW w:w="3525" w:type="dxa"/>
            <w:gridSpan w:val="2"/>
            <w:shd w:val="clear" w:color="auto" w:fill="auto"/>
            <w:tcMar>
              <w:top w:w="100" w:type="dxa"/>
              <w:left w:w="100" w:type="dxa"/>
              <w:bottom w:w="100" w:type="dxa"/>
              <w:right w:w="100" w:type="dxa"/>
            </w:tcMar>
          </w:tcPr>
          <w:p w14:paraId="26A4C75E" w14:textId="77777777" w:rsidR="007E572B" w:rsidRDefault="00000000">
            <w:pPr>
              <w:spacing w:line="480" w:lineRule="auto"/>
              <w:rPr>
                <w:rFonts w:ascii="Calibri" w:eastAsia="Calibri" w:hAnsi="Calibri" w:cs="Calibri"/>
                <w:sz w:val="24"/>
                <w:szCs w:val="24"/>
              </w:rPr>
            </w:pPr>
            <w:r>
              <w:rPr>
                <w:rFonts w:ascii="Calibri" w:eastAsia="Calibri" w:hAnsi="Calibri" w:cs="Calibri"/>
                <w:b/>
                <w:sz w:val="24"/>
                <w:szCs w:val="24"/>
              </w:rPr>
              <w:t xml:space="preserve">Female </w:t>
            </w:r>
            <w:r>
              <w:rPr>
                <w:rFonts w:ascii="Calibri" w:eastAsia="Calibri" w:hAnsi="Calibri" w:cs="Calibri"/>
                <w:sz w:val="24"/>
                <w:szCs w:val="24"/>
              </w:rPr>
              <w:t>(N=1,200)</w:t>
            </w:r>
          </w:p>
        </w:tc>
        <w:tc>
          <w:tcPr>
            <w:tcW w:w="3435" w:type="dxa"/>
            <w:gridSpan w:val="2"/>
            <w:shd w:val="clear" w:color="auto" w:fill="FCFCFC"/>
            <w:tcMar>
              <w:top w:w="100" w:type="dxa"/>
              <w:left w:w="100" w:type="dxa"/>
              <w:bottom w:w="100" w:type="dxa"/>
              <w:right w:w="100" w:type="dxa"/>
            </w:tcMar>
          </w:tcPr>
          <w:p w14:paraId="1A811D05" w14:textId="77777777" w:rsidR="007E572B" w:rsidRDefault="00000000">
            <w:pPr>
              <w:spacing w:line="480" w:lineRule="auto"/>
              <w:rPr>
                <w:rFonts w:ascii="Calibri" w:eastAsia="Calibri" w:hAnsi="Calibri" w:cs="Calibri"/>
                <w:sz w:val="24"/>
                <w:szCs w:val="24"/>
              </w:rPr>
            </w:pPr>
            <w:r>
              <w:rPr>
                <w:rFonts w:ascii="Calibri" w:eastAsia="Calibri" w:hAnsi="Calibri" w:cs="Calibri"/>
                <w:b/>
                <w:sz w:val="24"/>
                <w:szCs w:val="24"/>
              </w:rPr>
              <w:t xml:space="preserve">Male </w:t>
            </w:r>
            <w:r>
              <w:rPr>
                <w:rFonts w:ascii="Calibri" w:eastAsia="Calibri" w:hAnsi="Calibri" w:cs="Calibri"/>
                <w:sz w:val="24"/>
                <w:szCs w:val="24"/>
              </w:rPr>
              <w:t>(N=1,186)</w:t>
            </w:r>
          </w:p>
        </w:tc>
      </w:tr>
      <w:tr w:rsidR="007E572B" w14:paraId="22C5A5A9" w14:textId="77777777">
        <w:trPr>
          <w:trHeight w:val="420"/>
        </w:trPr>
        <w:tc>
          <w:tcPr>
            <w:tcW w:w="2055" w:type="dxa"/>
            <w:vMerge/>
            <w:shd w:val="clear" w:color="auto" w:fill="FCFCFC"/>
            <w:tcMar>
              <w:top w:w="100" w:type="dxa"/>
              <w:left w:w="100" w:type="dxa"/>
              <w:bottom w:w="100" w:type="dxa"/>
              <w:right w:w="100" w:type="dxa"/>
            </w:tcMar>
          </w:tcPr>
          <w:p w14:paraId="33963241" w14:textId="77777777" w:rsidR="007E572B" w:rsidRDefault="007E572B">
            <w:pPr>
              <w:spacing w:line="480" w:lineRule="auto"/>
              <w:jc w:val="both"/>
              <w:rPr>
                <w:rFonts w:ascii="Calibri" w:eastAsia="Calibri" w:hAnsi="Calibri" w:cs="Calibri"/>
                <w:sz w:val="24"/>
                <w:szCs w:val="24"/>
              </w:rPr>
            </w:pPr>
          </w:p>
        </w:tc>
        <w:tc>
          <w:tcPr>
            <w:tcW w:w="1800" w:type="dxa"/>
            <w:shd w:val="clear" w:color="auto" w:fill="auto"/>
            <w:tcMar>
              <w:top w:w="100" w:type="dxa"/>
              <w:left w:w="100" w:type="dxa"/>
              <w:bottom w:w="100" w:type="dxa"/>
              <w:right w:w="100" w:type="dxa"/>
            </w:tcMar>
          </w:tcPr>
          <w:p w14:paraId="2412B970" w14:textId="77777777" w:rsidR="007E572B" w:rsidRDefault="00000000">
            <w:pPr>
              <w:spacing w:line="480" w:lineRule="auto"/>
              <w:rPr>
                <w:rFonts w:ascii="Calibri" w:eastAsia="Calibri" w:hAnsi="Calibri" w:cs="Calibri"/>
                <w:b/>
                <w:sz w:val="24"/>
                <w:szCs w:val="24"/>
              </w:rPr>
            </w:pPr>
            <m:oMathPara>
              <m:oMath>
                <m:acc>
                  <m:accPr>
                    <m:ctrlPr>
                      <w:rPr>
                        <w:rFonts w:ascii="Cambria Math" w:hAnsi="Cambria Math"/>
                      </w:rPr>
                    </m:ctrlPr>
                  </m:accPr>
                  <m:e>
                    <m:r>
                      <w:rPr>
                        <w:rFonts w:ascii="Cambria Math" w:hAnsi="Cambria Math"/>
                      </w:rPr>
                      <m:t>β</m:t>
                    </m:r>
                  </m:e>
                </m:acc>
                <m:r>
                  <w:rPr>
                    <w:rFonts w:ascii="Calibri" w:eastAsia="Calibri" w:hAnsi="Calibri" w:cs="Calibri"/>
                    <w:sz w:val="24"/>
                    <w:szCs w:val="24"/>
                  </w:rPr>
                  <m:t>&lt;0</m:t>
                </m:r>
              </m:oMath>
            </m:oMathPara>
          </w:p>
        </w:tc>
        <w:tc>
          <w:tcPr>
            <w:tcW w:w="1725" w:type="dxa"/>
            <w:shd w:val="clear" w:color="auto" w:fill="auto"/>
            <w:tcMar>
              <w:top w:w="100" w:type="dxa"/>
              <w:left w:w="100" w:type="dxa"/>
              <w:bottom w:w="100" w:type="dxa"/>
              <w:right w:w="100" w:type="dxa"/>
            </w:tcMar>
          </w:tcPr>
          <w:p w14:paraId="7D60BEA6" w14:textId="77777777" w:rsidR="007E572B" w:rsidRDefault="00000000">
            <w:pPr>
              <w:spacing w:line="480" w:lineRule="auto"/>
              <w:rPr>
                <w:rFonts w:ascii="Calibri" w:eastAsia="Calibri" w:hAnsi="Calibri" w:cs="Calibri"/>
                <w:b/>
                <w:sz w:val="24"/>
                <w:szCs w:val="24"/>
              </w:rPr>
            </w:pPr>
            <m:oMathPara>
              <m:oMath>
                <m:acc>
                  <m:accPr>
                    <m:ctrlPr>
                      <w:rPr>
                        <w:rFonts w:ascii="Cambria Math" w:hAnsi="Cambria Math"/>
                      </w:rPr>
                    </m:ctrlPr>
                  </m:accPr>
                  <m:e>
                    <m:r>
                      <w:rPr>
                        <w:rFonts w:ascii="Cambria Math" w:hAnsi="Cambria Math"/>
                      </w:rPr>
                      <m:t>β</m:t>
                    </m:r>
                  </m:e>
                </m:acc>
                <m:r>
                  <m:rPr>
                    <m:sty m:val="bi"/>
                  </m:rPr>
                  <w:rPr>
                    <w:rFonts w:ascii="Calibri" w:eastAsia="Calibri" w:hAnsi="Calibri" w:cs="Calibri"/>
                    <w:sz w:val="24"/>
                    <w:szCs w:val="24"/>
                  </w:rPr>
                  <m:t>&gt;0</m:t>
                </m:r>
              </m:oMath>
            </m:oMathPara>
          </w:p>
        </w:tc>
        <w:tc>
          <w:tcPr>
            <w:tcW w:w="1815" w:type="dxa"/>
            <w:shd w:val="clear" w:color="auto" w:fill="FCFCFC"/>
            <w:tcMar>
              <w:top w:w="100" w:type="dxa"/>
              <w:left w:w="100" w:type="dxa"/>
              <w:bottom w:w="100" w:type="dxa"/>
              <w:right w:w="100" w:type="dxa"/>
            </w:tcMar>
          </w:tcPr>
          <w:p w14:paraId="037ED2A8" w14:textId="77777777" w:rsidR="007E572B" w:rsidRDefault="00000000">
            <w:pPr>
              <w:spacing w:line="480" w:lineRule="auto"/>
              <w:rPr>
                <w:rFonts w:ascii="Calibri" w:eastAsia="Calibri" w:hAnsi="Calibri" w:cs="Calibri"/>
                <w:sz w:val="24"/>
                <w:szCs w:val="24"/>
              </w:rPr>
            </w:pPr>
            <m:oMathPara>
              <m:oMath>
                <m:acc>
                  <m:accPr>
                    <m:ctrlPr>
                      <w:rPr>
                        <w:rFonts w:ascii="Cambria Math" w:hAnsi="Cambria Math"/>
                      </w:rPr>
                    </m:ctrlPr>
                  </m:accPr>
                  <m:e>
                    <m:r>
                      <w:rPr>
                        <w:rFonts w:ascii="Cambria Math" w:hAnsi="Cambria Math"/>
                      </w:rPr>
                      <m:t>β</m:t>
                    </m:r>
                  </m:e>
                </m:acc>
                <m:r>
                  <w:rPr>
                    <w:rFonts w:ascii="Calibri" w:eastAsia="Calibri" w:hAnsi="Calibri" w:cs="Calibri"/>
                    <w:sz w:val="24"/>
                    <w:szCs w:val="24"/>
                  </w:rPr>
                  <m:t>&lt;0</m:t>
                </m:r>
              </m:oMath>
            </m:oMathPara>
          </w:p>
        </w:tc>
        <w:tc>
          <w:tcPr>
            <w:tcW w:w="1620" w:type="dxa"/>
            <w:shd w:val="clear" w:color="auto" w:fill="auto"/>
            <w:tcMar>
              <w:top w:w="100" w:type="dxa"/>
              <w:left w:w="100" w:type="dxa"/>
              <w:bottom w:w="100" w:type="dxa"/>
              <w:right w:w="100" w:type="dxa"/>
            </w:tcMar>
          </w:tcPr>
          <w:p w14:paraId="33641D52" w14:textId="77777777" w:rsidR="007E572B" w:rsidRDefault="00000000">
            <w:pPr>
              <w:spacing w:line="480" w:lineRule="auto"/>
              <w:rPr>
                <w:rFonts w:ascii="Calibri" w:eastAsia="Calibri" w:hAnsi="Calibri" w:cs="Calibri"/>
                <w:sz w:val="24"/>
                <w:szCs w:val="24"/>
              </w:rPr>
            </w:pPr>
            <m:oMathPara>
              <m:oMath>
                <m:acc>
                  <m:accPr>
                    <m:ctrlPr>
                      <w:rPr>
                        <w:rFonts w:ascii="Cambria Math" w:hAnsi="Cambria Math"/>
                      </w:rPr>
                    </m:ctrlPr>
                  </m:accPr>
                  <m:e>
                    <m:r>
                      <w:rPr>
                        <w:rFonts w:ascii="Cambria Math" w:hAnsi="Cambria Math"/>
                      </w:rPr>
                      <m:t>β</m:t>
                    </m:r>
                  </m:e>
                </m:acc>
                <m:r>
                  <m:rPr>
                    <m:sty m:val="bi"/>
                  </m:rPr>
                  <w:rPr>
                    <w:rFonts w:ascii="Calibri" w:eastAsia="Calibri" w:hAnsi="Calibri" w:cs="Calibri"/>
                    <w:sz w:val="24"/>
                    <w:szCs w:val="24"/>
                  </w:rPr>
                  <m:t>&gt;0</m:t>
                </m:r>
              </m:oMath>
            </m:oMathPara>
          </w:p>
        </w:tc>
      </w:tr>
      <w:tr w:rsidR="007E572B" w14:paraId="14E13FE4" w14:textId="77777777">
        <w:trPr>
          <w:trHeight w:val="440"/>
        </w:trPr>
        <w:tc>
          <w:tcPr>
            <w:tcW w:w="2055" w:type="dxa"/>
            <w:vMerge/>
            <w:shd w:val="clear" w:color="auto" w:fill="FCFCFC"/>
            <w:tcMar>
              <w:top w:w="100" w:type="dxa"/>
              <w:left w:w="100" w:type="dxa"/>
              <w:bottom w:w="100" w:type="dxa"/>
              <w:right w:w="100" w:type="dxa"/>
            </w:tcMar>
          </w:tcPr>
          <w:p w14:paraId="13711A31" w14:textId="77777777" w:rsidR="007E572B" w:rsidRDefault="007E572B">
            <w:pPr>
              <w:spacing w:line="480" w:lineRule="auto"/>
              <w:jc w:val="both"/>
              <w:rPr>
                <w:rFonts w:ascii="Calibri" w:eastAsia="Calibri" w:hAnsi="Calibri" w:cs="Calibri"/>
                <w:sz w:val="24"/>
                <w:szCs w:val="24"/>
              </w:rPr>
            </w:pPr>
          </w:p>
        </w:tc>
        <w:tc>
          <w:tcPr>
            <w:tcW w:w="6960" w:type="dxa"/>
            <w:gridSpan w:val="4"/>
            <w:tcBorders>
              <w:bottom w:val="single" w:sz="8" w:space="0" w:color="000000"/>
            </w:tcBorders>
            <w:shd w:val="clear" w:color="auto" w:fill="FCFCFC"/>
          </w:tcPr>
          <w:p w14:paraId="75067C73" w14:textId="77777777" w:rsidR="007E572B" w:rsidRDefault="00000000">
            <w:pPr>
              <w:spacing w:line="480" w:lineRule="auto"/>
              <w:rPr>
                <w:rFonts w:ascii="Calibri" w:eastAsia="Calibri" w:hAnsi="Calibri" w:cs="Calibri"/>
                <w:b/>
                <w:sz w:val="24"/>
                <w:szCs w:val="24"/>
              </w:rPr>
            </w:pPr>
            <w:r>
              <w:rPr>
                <w:rFonts w:ascii="Calibri" w:eastAsia="Calibri" w:hAnsi="Calibri" w:cs="Calibri"/>
                <w:sz w:val="24"/>
                <w:szCs w:val="24"/>
              </w:rPr>
              <w:t xml:space="preserve">Median beta </w:t>
            </w:r>
            <w:proofErr w:type="gramStart"/>
            <w:r>
              <w:rPr>
                <w:rFonts w:ascii="Calibri" w:eastAsia="Calibri" w:hAnsi="Calibri" w:cs="Calibri"/>
                <w:sz w:val="24"/>
                <w:szCs w:val="24"/>
              </w:rPr>
              <w:t>coefficients  (</w:t>
            </w:r>
            <w:proofErr w:type="gramEnd"/>
            <w:r>
              <w:rPr>
                <w:rFonts w:ascii="Calibri" w:eastAsia="Calibri" w:hAnsi="Calibri" w:cs="Calibri"/>
                <w:sz w:val="24"/>
                <w:szCs w:val="24"/>
              </w:rPr>
              <w:t>IQR, Significance area (%))</w:t>
            </w:r>
          </w:p>
        </w:tc>
      </w:tr>
      <w:tr w:rsidR="007E572B" w14:paraId="055B31FC" w14:textId="77777777">
        <w:trPr>
          <w:trHeight w:val="461"/>
        </w:trPr>
        <w:tc>
          <w:tcPr>
            <w:tcW w:w="2055" w:type="dxa"/>
            <w:shd w:val="clear" w:color="auto" w:fill="auto"/>
            <w:tcMar>
              <w:top w:w="100" w:type="dxa"/>
              <w:left w:w="100" w:type="dxa"/>
              <w:bottom w:w="100" w:type="dxa"/>
              <w:right w:w="100" w:type="dxa"/>
            </w:tcMar>
          </w:tcPr>
          <w:p w14:paraId="205CC7E6"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Intercept</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226D93A1" w14:textId="77777777" w:rsidR="007E572B" w:rsidRDefault="00000000">
            <w:pPr>
              <w:widowControl w:val="0"/>
              <w:rPr>
                <w:sz w:val="20"/>
                <w:szCs w:val="20"/>
              </w:rPr>
            </w:pPr>
            <w:r>
              <w:rPr>
                <w:rFonts w:ascii="Calibri" w:eastAsia="Calibri" w:hAnsi="Calibri" w:cs="Calibri"/>
                <w:sz w:val="24"/>
                <w:szCs w:val="24"/>
              </w:rPr>
              <w:t>-</w:t>
            </w:r>
          </w:p>
        </w:tc>
        <w:tc>
          <w:tcPr>
            <w:tcW w:w="1725"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60C54F7E"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24.76 (14.75, 99.99%)</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0C8783F8" w14:textId="77777777" w:rsidR="007E572B" w:rsidRDefault="00000000">
            <w:pPr>
              <w:widowControl w:val="0"/>
              <w:rPr>
                <w:sz w:val="20"/>
                <w:szCs w:val="20"/>
              </w:rPr>
            </w:pPr>
            <w:r>
              <w:rPr>
                <w:rFonts w:ascii="Calibri" w:eastAsia="Calibri" w:hAnsi="Calibri" w:cs="Calibri"/>
                <w:sz w:val="24"/>
                <w:szCs w:val="24"/>
              </w:rPr>
              <w:t>-</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45DE89D9"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18.18 (10.42, 99.71%)</w:t>
            </w:r>
          </w:p>
        </w:tc>
      </w:tr>
      <w:tr w:rsidR="007E572B" w14:paraId="2B8CA18C" w14:textId="77777777">
        <w:trPr>
          <w:trHeight w:val="461"/>
        </w:trPr>
        <w:tc>
          <w:tcPr>
            <w:tcW w:w="2055" w:type="dxa"/>
            <w:shd w:val="clear" w:color="auto" w:fill="auto"/>
            <w:tcMar>
              <w:top w:w="100" w:type="dxa"/>
              <w:left w:w="100" w:type="dxa"/>
              <w:bottom w:w="100" w:type="dxa"/>
              <w:right w:w="100" w:type="dxa"/>
            </w:tcMar>
          </w:tcPr>
          <w:p w14:paraId="16995675"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lastRenderedPageBreak/>
              <w:t>Age at baseline</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13968C0A" w14:textId="77777777" w:rsidR="007E572B" w:rsidRDefault="00000000">
            <w:pPr>
              <w:widowControl w:val="0"/>
              <w:rPr>
                <w:sz w:val="20"/>
                <w:szCs w:val="20"/>
              </w:rPr>
            </w:pPr>
            <w:r>
              <w:rPr>
                <w:rFonts w:ascii="Calibri" w:eastAsia="Calibri" w:hAnsi="Calibri" w:cs="Calibri"/>
                <w:sz w:val="24"/>
                <w:szCs w:val="24"/>
              </w:rPr>
              <w:t>-1.05 (0.75, 74.4%)</w:t>
            </w:r>
          </w:p>
        </w:tc>
        <w:tc>
          <w:tcPr>
            <w:tcW w:w="1725"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118724B1"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0.32 (0.40, 3.43%)</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0897519A" w14:textId="77777777" w:rsidR="007E572B" w:rsidRDefault="00000000">
            <w:pPr>
              <w:widowControl w:val="0"/>
              <w:rPr>
                <w:sz w:val="20"/>
                <w:szCs w:val="20"/>
              </w:rPr>
            </w:pPr>
            <w:r>
              <w:rPr>
                <w:rFonts w:ascii="Calibri" w:eastAsia="Calibri" w:hAnsi="Calibri" w:cs="Calibri"/>
                <w:sz w:val="24"/>
                <w:szCs w:val="24"/>
              </w:rPr>
              <w:t>-0.72 (0.73, 70.06%)</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3022365F"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0.43 (0.23, 1.77%)</w:t>
            </w:r>
          </w:p>
        </w:tc>
      </w:tr>
      <w:tr w:rsidR="007E572B" w14:paraId="7C835E56" w14:textId="77777777">
        <w:tc>
          <w:tcPr>
            <w:tcW w:w="2055" w:type="dxa"/>
            <w:shd w:val="clear" w:color="auto" w:fill="auto"/>
            <w:tcMar>
              <w:top w:w="100" w:type="dxa"/>
              <w:left w:w="100" w:type="dxa"/>
              <w:bottom w:w="100" w:type="dxa"/>
              <w:right w:w="100" w:type="dxa"/>
            </w:tcMar>
          </w:tcPr>
          <w:p w14:paraId="4D1E32D4" w14:textId="77777777" w:rsidR="007E572B" w:rsidRDefault="00000000">
            <w:pPr>
              <w:spacing w:line="480" w:lineRule="auto"/>
              <w:rPr>
                <w:rFonts w:ascii="Calibri" w:eastAsia="Calibri" w:hAnsi="Calibri" w:cs="Calibri"/>
                <w:sz w:val="24"/>
                <w:szCs w:val="24"/>
              </w:rPr>
            </w:pPr>
            <w:r>
              <w:rPr>
                <w:rFonts w:ascii="Calibri" w:eastAsia="Calibri" w:hAnsi="Calibri" w:cs="Calibri"/>
                <w:b/>
                <w:sz w:val="24"/>
                <w:szCs w:val="24"/>
              </w:rPr>
              <w:t xml:space="preserve">Height  </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1A90C6FC" w14:textId="77777777" w:rsidR="007E572B" w:rsidRDefault="00000000">
            <w:pPr>
              <w:widowControl w:val="0"/>
              <w:rPr>
                <w:sz w:val="20"/>
                <w:szCs w:val="20"/>
              </w:rPr>
            </w:pPr>
            <w:r>
              <w:rPr>
                <w:rFonts w:ascii="Calibri" w:eastAsia="Calibri" w:hAnsi="Calibri" w:cs="Calibri"/>
                <w:sz w:val="24"/>
                <w:szCs w:val="24"/>
              </w:rPr>
              <w:t>-1.01 (0.78, 57.81%)</w:t>
            </w:r>
          </w:p>
        </w:tc>
        <w:tc>
          <w:tcPr>
            <w:tcW w:w="1725"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3F2E6E77"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0.80 (0.87, 9.83%)</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7350988E" w14:textId="77777777" w:rsidR="007E572B" w:rsidRDefault="00000000">
            <w:pPr>
              <w:widowControl w:val="0"/>
              <w:rPr>
                <w:sz w:val="20"/>
                <w:szCs w:val="20"/>
              </w:rPr>
            </w:pPr>
            <w:r>
              <w:rPr>
                <w:rFonts w:ascii="Calibri" w:eastAsia="Calibri" w:hAnsi="Calibri" w:cs="Calibri"/>
                <w:sz w:val="24"/>
                <w:szCs w:val="24"/>
              </w:rPr>
              <w:t>-0.78 (0.50, 42.19%)</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75F96ACE"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0.85 (0.91, 23.45%)</w:t>
            </w:r>
          </w:p>
        </w:tc>
      </w:tr>
      <w:tr w:rsidR="007E572B" w14:paraId="75CDB6EF" w14:textId="77777777">
        <w:tc>
          <w:tcPr>
            <w:tcW w:w="2055" w:type="dxa"/>
            <w:shd w:val="clear" w:color="auto" w:fill="auto"/>
            <w:tcMar>
              <w:top w:w="100" w:type="dxa"/>
              <w:left w:w="100" w:type="dxa"/>
              <w:bottom w:w="100" w:type="dxa"/>
              <w:right w:w="100" w:type="dxa"/>
            </w:tcMar>
          </w:tcPr>
          <w:p w14:paraId="56C71309"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Dominant HGS</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2E321B9C" w14:textId="77777777" w:rsidR="007E572B" w:rsidRDefault="00000000">
            <w:pPr>
              <w:widowControl w:val="0"/>
              <w:rPr>
                <w:sz w:val="20"/>
                <w:szCs w:val="20"/>
              </w:rPr>
            </w:pPr>
            <w:r>
              <w:rPr>
                <w:rFonts w:ascii="Calibri" w:eastAsia="Calibri" w:hAnsi="Calibri" w:cs="Calibri"/>
                <w:sz w:val="24"/>
                <w:szCs w:val="24"/>
              </w:rPr>
              <w:t>-0.38 (0.15, 10.98%)</w:t>
            </w:r>
          </w:p>
        </w:tc>
        <w:tc>
          <w:tcPr>
            <w:tcW w:w="1725"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5359F342" w14:textId="77777777" w:rsidR="007E572B" w:rsidRDefault="00000000">
            <w:pPr>
              <w:widowControl w:val="0"/>
              <w:rPr>
                <w:sz w:val="20"/>
                <w:szCs w:val="20"/>
              </w:rPr>
            </w:pPr>
            <w:r>
              <w:rPr>
                <w:rFonts w:ascii="Calibri" w:eastAsia="Calibri" w:hAnsi="Calibri" w:cs="Calibri"/>
                <w:sz w:val="24"/>
                <w:szCs w:val="24"/>
              </w:rPr>
              <w:t>-</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3CD5FEAC" w14:textId="77777777" w:rsidR="007E572B" w:rsidRDefault="00000000">
            <w:pPr>
              <w:widowControl w:val="0"/>
              <w:rPr>
                <w:sz w:val="20"/>
                <w:szCs w:val="20"/>
              </w:rPr>
            </w:pPr>
            <w:r>
              <w:rPr>
                <w:rFonts w:ascii="Calibri" w:eastAsia="Calibri" w:hAnsi="Calibri" w:cs="Calibri"/>
                <w:sz w:val="24"/>
                <w:szCs w:val="24"/>
              </w:rPr>
              <w:t>-0.44 (0.17, 8.8%)</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7897E233"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0.21 (0.29, 0.13%)</w:t>
            </w:r>
          </w:p>
        </w:tc>
      </w:tr>
      <w:tr w:rsidR="007E572B" w14:paraId="44F4B2AA" w14:textId="77777777">
        <w:tc>
          <w:tcPr>
            <w:tcW w:w="2055" w:type="dxa"/>
            <w:tcBorders>
              <w:right w:val="single" w:sz="8" w:space="0" w:color="000000"/>
            </w:tcBorders>
            <w:shd w:val="clear" w:color="auto" w:fill="auto"/>
            <w:tcMar>
              <w:top w:w="100" w:type="dxa"/>
              <w:left w:w="100" w:type="dxa"/>
              <w:bottom w:w="100" w:type="dxa"/>
              <w:right w:w="100" w:type="dxa"/>
            </w:tcMar>
          </w:tcPr>
          <w:p w14:paraId="6FEFEB21"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Townsend deprivation index</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621C3803" w14:textId="77777777" w:rsidR="007E572B" w:rsidRDefault="00000000">
            <w:pPr>
              <w:widowControl w:val="0"/>
              <w:rPr>
                <w:sz w:val="20"/>
                <w:szCs w:val="20"/>
              </w:rPr>
            </w:pPr>
            <w:r>
              <w:rPr>
                <w:rFonts w:ascii="Calibri" w:eastAsia="Calibri" w:hAnsi="Calibri" w:cs="Calibri"/>
                <w:sz w:val="24"/>
                <w:szCs w:val="24"/>
              </w:rPr>
              <w:t>-</w:t>
            </w:r>
          </w:p>
        </w:tc>
        <w:tc>
          <w:tcPr>
            <w:tcW w:w="1725"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6F9DC200" w14:textId="77777777" w:rsidR="007E572B" w:rsidRDefault="00000000">
            <w:pPr>
              <w:widowControl w:val="0"/>
              <w:rPr>
                <w:sz w:val="20"/>
                <w:szCs w:val="20"/>
              </w:rPr>
            </w:pPr>
            <w:r>
              <w:rPr>
                <w:rFonts w:ascii="Calibri" w:eastAsia="Calibri" w:hAnsi="Calibri" w:cs="Calibri"/>
                <w:sz w:val="24"/>
                <w:szCs w:val="24"/>
              </w:rPr>
              <w:t>-</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12285DF5" w14:textId="77777777" w:rsidR="007E572B" w:rsidRDefault="00000000">
            <w:pPr>
              <w:widowControl w:val="0"/>
              <w:rPr>
                <w:sz w:val="20"/>
                <w:szCs w:val="20"/>
              </w:rPr>
            </w:pPr>
            <w:r>
              <w:rPr>
                <w:rFonts w:ascii="Calibri" w:eastAsia="Calibri" w:hAnsi="Calibri" w:cs="Calibri"/>
                <w:sz w:val="24"/>
                <w:szCs w:val="24"/>
              </w:rPr>
              <w:t>-</w:t>
            </w:r>
          </w:p>
        </w:tc>
        <w:tc>
          <w:tcPr>
            <w:tcW w:w="1620"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31A93F78" w14:textId="77777777" w:rsidR="007E572B" w:rsidRDefault="00000000">
            <w:pPr>
              <w:widowControl w:val="0"/>
              <w:rPr>
                <w:sz w:val="20"/>
                <w:szCs w:val="20"/>
              </w:rPr>
            </w:pPr>
            <w:r>
              <w:rPr>
                <w:rFonts w:ascii="Calibri" w:eastAsia="Calibri" w:hAnsi="Calibri" w:cs="Calibri"/>
                <w:sz w:val="24"/>
                <w:szCs w:val="24"/>
              </w:rPr>
              <w:t>-</w:t>
            </w:r>
          </w:p>
        </w:tc>
      </w:tr>
      <w:tr w:rsidR="007E572B" w14:paraId="7E006F30" w14:textId="77777777">
        <w:tc>
          <w:tcPr>
            <w:tcW w:w="2055" w:type="dxa"/>
            <w:shd w:val="clear" w:color="auto" w:fill="auto"/>
            <w:tcMar>
              <w:top w:w="100" w:type="dxa"/>
              <w:left w:w="100" w:type="dxa"/>
              <w:bottom w:w="100" w:type="dxa"/>
              <w:right w:w="100" w:type="dxa"/>
            </w:tcMar>
          </w:tcPr>
          <w:p w14:paraId="7A76F5F3"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Alcohol intake frequency</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40C67572" w14:textId="77777777" w:rsidR="007E572B" w:rsidRDefault="00000000">
            <w:pPr>
              <w:widowControl w:val="0"/>
              <w:rPr>
                <w:sz w:val="20"/>
                <w:szCs w:val="20"/>
              </w:rPr>
            </w:pPr>
            <w:r>
              <w:rPr>
                <w:rFonts w:ascii="Calibri" w:eastAsia="Calibri" w:hAnsi="Calibri" w:cs="Calibri"/>
                <w:sz w:val="24"/>
                <w:szCs w:val="24"/>
              </w:rPr>
              <w:t>-</w:t>
            </w:r>
          </w:p>
        </w:tc>
        <w:tc>
          <w:tcPr>
            <w:tcW w:w="1725"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18946E28" w14:textId="77777777" w:rsidR="007E572B" w:rsidRDefault="00000000">
            <w:pPr>
              <w:widowControl w:val="0"/>
              <w:rPr>
                <w:sz w:val="20"/>
                <w:szCs w:val="20"/>
              </w:rPr>
            </w:pPr>
            <w:r>
              <w:rPr>
                <w:rFonts w:ascii="Calibri" w:eastAsia="Calibri" w:hAnsi="Calibri" w:cs="Calibri"/>
                <w:sz w:val="24"/>
                <w:szCs w:val="24"/>
              </w:rPr>
              <w:t>-</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1152C2E9" w14:textId="77777777" w:rsidR="007E572B" w:rsidRDefault="00000000">
            <w:pPr>
              <w:widowControl w:val="0"/>
              <w:rPr>
                <w:sz w:val="20"/>
                <w:szCs w:val="20"/>
              </w:rPr>
            </w:pPr>
            <w:r>
              <w:rPr>
                <w:rFonts w:ascii="Calibri" w:eastAsia="Calibri" w:hAnsi="Calibri" w:cs="Calibri"/>
                <w:sz w:val="24"/>
                <w:szCs w:val="24"/>
              </w:rPr>
              <w:t>-1.28 (0.44, 3.18%)</w:t>
            </w:r>
          </w:p>
        </w:tc>
        <w:tc>
          <w:tcPr>
            <w:tcW w:w="1620"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2F0C17F9" w14:textId="77777777" w:rsidR="007E572B" w:rsidRDefault="00000000">
            <w:pPr>
              <w:widowControl w:val="0"/>
              <w:rPr>
                <w:sz w:val="20"/>
                <w:szCs w:val="20"/>
              </w:rPr>
            </w:pPr>
            <w:r>
              <w:rPr>
                <w:rFonts w:ascii="Calibri" w:eastAsia="Calibri" w:hAnsi="Calibri" w:cs="Calibri"/>
                <w:sz w:val="24"/>
                <w:szCs w:val="24"/>
              </w:rPr>
              <w:t>-</w:t>
            </w:r>
          </w:p>
        </w:tc>
      </w:tr>
      <w:tr w:rsidR="007E572B" w14:paraId="6F1FFEF8" w14:textId="77777777">
        <w:tc>
          <w:tcPr>
            <w:tcW w:w="2055" w:type="dxa"/>
            <w:shd w:val="clear" w:color="auto" w:fill="auto"/>
            <w:tcMar>
              <w:top w:w="100" w:type="dxa"/>
              <w:left w:w="100" w:type="dxa"/>
              <w:bottom w:w="100" w:type="dxa"/>
              <w:right w:w="100" w:type="dxa"/>
            </w:tcMar>
          </w:tcPr>
          <w:p w14:paraId="71B68C6E"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Smoking status</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03364BE1" w14:textId="77777777" w:rsidR="007E572B" w:rsidRDefault="00000000">
            <w:pPr>
              <w:widowControl w:val="0"/>
              <w:rPr>
                <w:sz w:val="20"/>
                <w:szCs w:val="20"/>
              </w:rPr>
            </w:pPr>
            <w:r>
              <w:rPr>
                <w:rFonts w:ascii="Calibri" w:eastAsia="Calibri" w:hAnsi="Calibri" w:cs="Calibri"/>
                <w:sz w:val="24"/>
                <w:szCs w:val="24"/>
              </w:rPr>
              <w:t>-</w:t>
            </w:r>
          </w:p>
        </w:tc>
        <w:tc>
          <w:tcPr>
            <w:tcW w:w="1725"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5509AA37" w14:textId="77777777" w:rsidR="007E572B" w:rsidRDefault="00000000">
            <w:pPr>
              <w:widowControl w:val="0"/>
              <w:rPr>
                <w:sz w:val="20"/>
                <w:szCs w:val="20"/>
              </w:rPr>
            </w:pPr>
            <w:r>
              <w:rPr>
                <w:rFonts w:ascii="Calibri" w:eastAsia="Calibri" w:hAnsi="Calibri" w:cs="Calibri"/>
                <w:sz w:val="24"/>
                <w:szCs w:val="24"/>
              </w:rPr>
              <w:t>-</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6ED3D1A7" w14:textId="77777777" w:rsidR="007E572B" w:rsidRDefault="00000000">
            <w:pPr>
              <w:widowControl w:val="0"/>
              <w:rPr>
                <w:sz w:val="20"/>
                <w:szCs w:val="20"/>
              </w:rPr>
            </w:pPr>
            <w:r>
              <w:rPr>
                <w:rFonts w:ascii="Calibri" w:eastAsia="Calibri" w:hAnsi="Calibri" w:cs="Calibri"/>
                <w:sz w:val="24"/>
                <w:szCs w:val="24"/>
              </w:rPr>
              <w:t>-6.08 (0.30, 0.02%)</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4F1EE40F"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2.56 (0.87, 0.08%)</w:t>
            </w:r>
          </w:p>
        </w:tc>
      </w:tr>
      <w:tr w:rsidR="007E572B" w14:paraId="3A9227AA" w14:textId="77777777">
        <w:tc>
          <w:tcPr>
            <w:tcW w:w="2055" w:type="dxa"/>
            <w:shd w:val="clear" w:color="auto" w:fill="auto"/>
            <w:tcMar>
              <w:top w:w="100" w:type="dxa"/>
              <w:left w:w="100" w:type="dxa"/>
              <w:bottom w:w="100" w:type="dxa"/>
              <w:right w:w="100" w:type="dxa"/>
            </w:tcMar>
          </w:tcPr>
          <w:p w14:paraId="39856309"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 xml:space="preserve">Vigorous MET </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4D351C52" w14:textId="77777777" w:rsidR="007E572B" w:rsidRDefault="00000000">
            <w:pPr>
              <w:widowControl w:val="0"/>
              <w:rPr>
                <w:sz w:val="20"/>
                <w:szCs w:val="20"/>
              </w:rPr>
            </w:pPr>
            <w:r>
              <w:rPr>
                <w:rFonts w:ascii="Calibri" w:eastAsia="Calibri" w:hAnsi="Calibri" w:cs="Calibri"/>
                <w:sz w:val="24"/>
                <w:szCs w:val="24"/>
              </w:rPr>
              <w:t>-0.33 (0.18, 32.34%)</w:t>
            </w:r>
          </w:p>
        </w:tc>
        <w:tc>
          <w:tcPr>
            <w:tcW w:w="1725"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098C5DA5" w14:textId="77777777" w:rsidR="007E572B" w:rsidRDefault="00000000">
            <w:pPr>
              <w:widowControl w:val="0"/>
              <w:rPr>
                <w:sz w:val="20"/>
                <w:szCs w:val="20"/>
              </w:rPr>
            </w:pPr>
            <w:r>
              <w:rPr>
                <w:rFonts w:ascii="Calibri" w:eastAsia="Calibri" w:hAnsi="Calibri" w:cs="Calibri"/>
                <w:sz w:val="24"/>
                <w:szCs w:val="24"/>
              </w:rPr>
              <w:t>-</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68F12CF9" w14:textId="77777777" w:rsidR="007E572B" w:rsidRDefault="00000000">
            <w:pPr>
              <w:widowControl w:val="0"/>
              <w:rPr>
                <w:sz w:val="20"/>
                <w:szCs w:val="20"/>
              </w:rPr>
            </w:pPr>
            <w:r>
              <w:rPr>
                <w:rFonts w:ascii="Calibri" w:eastAsia="Calibri" w:hAnsi="Calibri" w:cs="Calibri"/>
                <w:sz w:val="24"/>
                <w:szCs w:val="24"/>
              </w:rPr>
              <w:t>-0.34 (0.17, 14.6%)</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075748D7"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0.17 (0.14, 0.05%)</w:t>
            </w:r>
          </w:p>
        </w:tc>
      </w:tr>
      <w:tr w:rsidR="007E572B" w14:paraId="56222B31" w14:textId="77777777">
        <w:trPr>
          <w:trHeight w:val="349"/>
        </w:trPr>
        <w:tc>
          <w:tcPr>
            <w:tcW w:w="2055" w:type="dxa"/>
            <w:shd w:val="clear" w:color="auto" w:fill="auto"/>
            <w:tcMar>
              <w:top w:w="100" w:type="dxa"/>
              <w:left w:w="100" w:type="dxa"/>
              <w:bottom w:w="100" w:type="dxa"/>
              <w:right w:w="100" w:type="dxa"/>
            </w:tcMar>
          </w:tcPr>
          <w:p w14:paraId="14086A25"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Total muscle</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21DCC890" w14:textId="77777777" w:rsidR="007E572B" w:rsidRDefault="00000000">
            <w:pPr>
              <w:widowControl w:val="0"/>
              <w:rPr>
                <w:sz w:val="20"/>
                <w:szCs w:val="20"/>
              </w:rPr>
            </w:pPr>
            <w:r>
              <w:rPr>
                <w:rFonts w:ascii="Calibri" w:eastAsia="Calibri" w:hAnsi="Calibri" w:cs="Calibri"/>
                <w:sz w:val="24"/>
                <w:szCs w:val="24"/>
              </w:rPr>
              <w:t>-0.73 (0.49, 10.63%)</w:t>
            </w:r>
          </w:p>
        </w:tc>
        <w:tc>
          <w:tcPr>
            <w:tcW w:w="1725"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2E06FBDA"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0.75 (0.35, 39.86%)</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5CF8B53B" w14:textId="77777777" w:rsidR="007E572B" w:rsidRDefault="00000000">
            <w:pPr>
              <w:widowControl w:val="0"/>
              <w:rPr>
                <w:sz w:val="20"/>
                <w:szCs w:val="20"/>
              </w:rPr>
            </w:pPr>
            <w:r>
              <w:rPr>
                <w:rFonts w:ascii="Calibri" w:eastAsia="Calibri" w:hAnsi="Calibri" w:cs="Calibri"/>
                <w:sz w:val="24"/>
                <w:szCs w:val="24"/>
              </w:rPr>
              <w:t>-1.28 (1.04, 17%)</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4C4D8CDF"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0.84 (0.67, 41.76%)</w:t>
            </w:r>
          </w:p>
        </w:tc>
      </w:tr>
      <w:tr w:rsidR="007E572B" w14:paraId="7597430D" w14:textId="77777777">
        <w:trPr>
          <w:trHeight w:val="349"/>
        </w:trPr>
        <w:tc>
          <w:tcPr>
            <w:tcW w:w="2055" w:type="dxa"/>
            <w:shd w:val="clear" w:color="auto" w:fill="auto"/>
            <w:tcMar>
              <w:top w:w="100" w:type="dxa"/>
              <w:left w:w="100" w:type="dxa"/>
              <w:bottom w:w="100" w:type="dxa"/>
              <w:right w:w="100" w:type="dxa"/>
            </w:tcMar>
          </w:tcPr>
          <w:p w14:paraId="77DFCB04"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VAT</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5F7C5EF3" w14:textId="77777777" w:rsidR="007E572B" w:rsidRDefault="00000000">
            <w:pPr>
              <w:widowControl w:val="0"/>
              <w:rPr>
                <w:sz w:val="20"/>
                <w:szCs w:val="20"/>
              </w:rPr>
            </w:pPr>
            <w:r>
              <w:rPr>
                <w:rFonts w:ascii="Calibri" w:eastAsia="Calibri" w:hAnsi="Calibri" w:cs="Calibri"/>
                <w:sz w:val="24"/>
                <w:szCs w:val="24"/>
              </w:rPr>
              <w:t>-0.39 (0.28, 0.14%)</w:t>
            </w:r>
          </w:p>
        </w:tc>
        <w:tc>
          <w:tcPr>
            <w:tcW w:w="1725"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41536BEA"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5.42 (3.13, 98.74%)</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385FCF78" w14:textId="77777777" w:rsidR="007E572B" w:rsidRDefault="00000000">
            <w:pPr>
              <w:widowControl w:val="0"/>
              <w:rPr>
                <w:sz w:val="20"/>
                <w:szCs w:val="20"/>
              </w:rPr>
            </w:pPr>
            <w:r>
              <w:rPr>
                <w:rFonts w:ascii="Calibri" w:eastAsia="Calibri" w:hAnsi="Calibri" w:cs="Calibri"/>
                <w:sz w:val="24"/>
                <w:szCs w:val="24"/>
              </w:rPr>
              <w:t>-0.68 (0.49, 0.92%)</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4EA6F1CE"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3.70 (2.51, 98.17%)</w:t>
            </w:r>
          </w:p>
        </w:tc>
      </w:tr>
      <w:tr w:rsidR="007E572B" w14:paraId="51E0F81A" w14:textId="77777777">
        <w:trPr>
          <w:trHeight w:val="405"/>
        </w:trPr>
        <w:tc>
          <w:tcPr>
            <w:tcW w:w="2055" w:type="dxa"/>
            <w:shd w:val="clear" w:color="auto" w:fill="auto"/>
            <w:tcMar>
              <w:top w:w="100" w:type="dxa"/>
              <w:left w:w="100" w:type="dxa"/>
              <w:bottom w:w="100" w:type="dxa"/>
              <w:right w:w="100" w:type="dxa"/>
            </w:tcMar>
          </w:tcPr>
          <w:p w14:paraId="46F4340C"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Lipodystrophy</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217D809C" w14:textId="77777777" w:rsidR="007E572B" w:rsidRDefault="00000000">
            <w:pPr>
              <w:widowControl w:val="0"/>
              <w:rPr>
                <w:sz w:val="20"/>
                <w:szCs w:val="20"/>
              </w:rPr>
            </w:pPr>
            <w:r>
              <w:rPr>
                <w:rFonts w:ascii="Calibri" w:eastAsia="Calibri" w:hAnsi="Calibri" w:cs="Calibri"/>
                <w:sz w:val="24"/>
                <w:szCs w:val="24"/>
              </w:rPr>
              <w:t>-4.62 (4.78, 48.06%)</w:t>
            </w:r>
          </w:p>
        </w:tc>
        <w:tc>
          <w:tcPr>
            <w:tcW w:w="1725"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66BBA8C0"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1.70 (0.71, 0.45%)</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4845C3E9" w14:textId="77777777" w:rsidR="007E572B" w:rsidRDefault="00000000">
            <w:pPr>
              <w:widowControl w:val="0"/>
              <w:rPr>
                <w:sz w:val="20"/>
                <w:szCs w:val="20"/>
              </w:rPr>
            </w:pPr>
            <w:r>
              <w:rPr>
                <w:rFonts w:ascii="Calibri" w:eastAsia="Calibri" w:hAnsi="Calibri" w:cs="Calibri"/>
                <w:sz w:val="24"/>
                <w:szCs w:val="24"/>
              </w:rPr>
              <w:t>-3.04 (2.26, 70.55%)</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3779ACA5"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0.75 (0.73, 0.3%)</w:t>
            </w:r>
          </w:p>
        </w:tc>
      </w:tr>
      <w:tr w:rsidR="007E572B" w14:paraId="2CEAE21F" w14:textId="77777777">
        <w:trPr>
          <w:trHeight w:val="405"/>
        </w:trPr>
        <w:tc>
          <w:tcPr>
            <w:tcW w:w="2055" w:type="dxa"/>
            <w:shd w:val="clear" w:color="auto" w:fill="auto"/>
            <w:tcMar>
              <w:top w:w="100" w:type="dxa"/>
              <w:left w:w="100" w:type="dxa"/>
              <w:bottom w:w="100" w:type="dxa"/>
              <w:right w:w="100" w:type="dxa"/>
            </w:tcMar>
          </w:tcPr>
          <w:p w14:paraId="3E9AE632"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T2D</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577DE374" w14:textId="77777777" w:rsidR="007E572B" w:rsidRDefault="00000000">
            <w:pPr>
              <w:widowControl w:val="0"/>
              <w:rPr>
                <w:sz w:val="20"/>
                <w:szCs w:val="20"/>
              </w:rPr>
            </w:pPr>
            <w:r>
              <w:rPr>
                <w:rFonts w:ascii="Calibri" w:eastAsia="Calibri" w:hAnsi="Calibri" w:cs="Calibri"/>
                <w:sz w:val="24"/>
                <w:szCs w:val="24"/>
              </w:rPr>
              <w:t>-4.02 (0.43, 0.23%)</w:t>
            </w:r>
          </w:p>
        </w:tc>
        <w:tc>
          <w:tcPr>
            <w:tcW w:w="1725"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138BCA6F"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1.48 (0.86, 0.5%)</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74E1D060" w14:textId="77777777" w:rsidR="007E572B" w:rsidRDefault="00000000">
            <w:pPr>
              <w:widowControl w:val="0"/>
              <w:rPr>
                <w:sz w:val="20"/>
                <w:szCs w:val="20"/>
              </w:rPr>
            </w:pPr>
            <w:r>
              <w:rPr>
                <w:rFonts w:ascii="Calibri" w:eastAsia="Calibri" w:hAnsi="Calibri" w:cs="Calibri"/>
                <w:sz w:val="24"/>
                <w:szCs w:val="24"/>
              </w:rPr>
              <w:t>-3.30 (1.77, 2.4%)</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1603DABA"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1.34 (1.22, 0.17%)</w:t>
            </w:r>
          </w:p>
        </w:tc>
      </w:tr>
      <w:tr w:rsidR="007E572B" w14:paraId="49894259" w14:textId="77777777">
        <w:trPr>
          <w:trHeight w:val="461"/>
        </w:trPr>
        <w:tc>
          <w:tcPr>
            <w:tcW w:w="2055" w:type="dxa"/>
            <w:shd w:val="clear" w:color="auto" w:fill="auto"/>
            <w:tcMar>
              <w:top w:w="100" w:type="dxa"/>
              <w:left w:w="100" w:type="dxa"/>
              <w:bottom w:w="100" w:type="dxa"/>
              <w:right w:w="100" w:type="dxa"/>
            </w:tcMar>
          </w:tcPr>
          <w:p w14:paraId="49F17CDA"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Hypertension</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504F9CDF" w14:textId="77777777" w:rsidR="007E572B" w:rsidRDefault="00000000">
            <w:pPr>
              <w:widowControl w:val="0"/>
              <w:rPr>
                <w:sz w:val="20"/>
                <w:szCs w:val="20"/>
              </w:rPr>
            </w:pPr>
            <w:r>
              <w:rPr>
                <w:rFonts w:ascii="Calibri" w:eastAsia="Calibri" w:hAnsi="Calibri" w:cs="Calibri"/>
                <w:sz w:val="24"/>
                <w:szCs w:val="24"/>
              </w:rPr>
              <w:t>-</w:t>
            </w:r>
          </w:p>
        </w:tc>
        <w:tc>
          <w:tcPr>
            <w:tcW w:w="1725"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19420383" w14:textId="77777777" w:rsidR="007E572B" w:rsidRDefault="00000000">
            <w:pPr>
              <w:widowControl w:val="0"/>
              <w:rPr>
                <w:sz w:val="20"/>
                <w:szCs w:val="20"/>
              </w:rPr>
            </w:pPr>
            <w:r>
              <w:rPr>
                <w:rFonts w:ascii="Calibri" w:eastAsia="Calibri" w:hAnsi="Calibri" w:cs="Calibri"/>
                <w:sz w:val="24"/>
                <w:szCs w:val="24"/>
              </w:rPr>
              <w:t>-</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148D6CAB" w14:textId="77777777" w:rsidR="007E572B" w:rsidRDefault="00000000">
            <w:pPr>
              <w:widowControl w:val="0"/>
              <w:rPr>
                <w:sz w:val="20"/>
                <w:szCs w:val="20"/>
              </w:rPr>
            </w:pPr>
            <w:r>
              <w:rPr>
                <w:rFonts w:ascii="Calibri" w:eastAsia="Calibri" w:hAnsi="Calibri" w:cs="Calibri"/>
                <w:sz w:val="24"/>
                <w:szCs w:val="24"/>
              </w:rPr>
              <w:t>-</w:t>
            </w:r>
          </w:p>
        </w:tc>
        <w:tc>
          <w:tcPr>
            <w:tcW w:w="1620"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108E98D1" w14:textId="77777777" w:rsidR="007E572B" w:rsidRDefault="00000000">
            <w:pPr>
              <w:widowControl w:val="0"/>
              <w:rPr>
                <w:sz w:val="20"/>
                <w:szCs w:val="20"/>
              </w:rPr>
            </w:pPr>
            <w:r>
              <w:rPr>
                <w:rFonts w:ascii="Calibri" w:eastAsia="Calibri" w:hAnsi="Calibri" w:cs="Calibri"/>
                <w:sz w:val="24"/>
                <w:szCs w:val="24"/>
              </w:rPr>
              <w:t>-</w:t>
            </w:r>
          </w:p>
        </w:tc>
      </w:tr>
      <w:tr w:rsidR="007E572B" w14:paraId="11FA4180" w14:textId="77777777">
        <w:trPr>
          <w:trHeight w:val="461"/>
        </w:trPr>
        <w:tc>
          <w:tcPr>
            <w:tcW w:w="2055" w:type="dxa"/>
            <w:shd w:val="clear" w:color="auto" w:fill="auto"/>
            <w:tcMar>
              <w:top w:w="100" w:type="dxa"/>
              <w:left w:w="100" w:type="dxa"/>
              <w:bottom w:w="100" w:type="dxa"/>
              <w:right w:w="100" w:type="dxa"/>
            </w:tcMar>
          </w:tcPr>
          <w:p w14:paraId="31C3218E"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Second Imaging Visit</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25EB1A88" w14:textId="77777777" w:rsidR="007E572B" w:rsidRDefault="00000000">
            <w:pPr>
              <w:widowControl w:val="0"/>
              <w:rPr>
                <w:sz w:val="20"/>
                <w:szCs w:val="20"/>
              </w:rPr>
            </w:pPr>
            <w:r>
              <w:rPr>
                <w:rFonts w:ascii="Calibri" w:eastAsia="Calibri" w:hAnsi="Calibri" w:cs="Calibri"/>
                <w:sz w:val="24"/>
                <w:szCs w:val="24"/>
              </w:rPr>
              <w:t>-0.59 (0.53, 22.47%)</w:t>
            </w:r>
          </w:p>
        </w:tc>
        <w:tc>
          <w:tcPr>
            <w:tcW w:w="1725"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476593FF"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0.79 (0.77, 21.21%)</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1EEB6725" w14:textId="77777777" w:rsidR="007E572B" w:rsidRDefault="00000000">
            <w:pPr>
              <w:widowControl w:val="0"/>
              <w:rPr>
                <w:sz w:val="20"/>
                <w:szCs w:val="20"/>
              </w:rPr>
            </w:pPr>
            <w:r>
              <w:rPr>
                <w:rFonts w:ascii="Calibri" w:eastAsia="Calibri" w:hAnsi="Calibri" w:cs="Calibri"/>
                <w:sz w:val="24"/>
                <w:szCs w:val="24"/>
              </w:rPr>
              <w:t>-0.53 (0.27, 1.8%)</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47E0B12F"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0.66 (0.38, 13.63%)</w:t>
            </w:r>
          </w:p>
        </w:tc>
      </w:tr>
      <w:tr w:rsidR="007E572B" w14:paraId="1D41082C" w14:textId="77777777">
        <w:trPr>
          <w:trHeight w:val="461"/>
        </w:trPr>
        <w:tc>
          <w:tcPr>
            <w:tcW w:w="2055" w:type="dxa"/>
            <w:shd w:val="clear" w:color="auto" w:fill="auto"/>
            <w:tcMar>
              <w:top w:w="100" w:type="dxa"/>
              <w:left w:w="100" w:type="dxa"/>
              <w:bottom w:w="100" w:type="dxa"/>
              <w:right w:w="100" w:type="dxa"/>
            </w:tcMar>
          </w:tcPr>
          <w:p w14:paraId="48AF94C8"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lastRenderedPageBreak/>
              <w:t>Lipodystrophy * 2nd Visit</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12EB88DD" w14:textId="77777777" w:rsidR="007E572B" w:rsidRDefault="00000000">
            <w:pPr>
              <w:widowControl w:val="0"/>
              <w:rPr>
                <w:sz w:val="20"/>
                <w:szCs w:val="20"/>
              </w:rPr>
            </w:pPr>
            <w:r>
              <w:rPr>
                <w:rFonts w:ascii="Calibri" w:eastAsia="Calibri" w:hAnsi="Calibri" w:cs="Calibri"/>
                <w:sz w:val="24"/>
                <w:szCs w:val="24"/>
              </w:rPr>
              <w:t>-2.14 (0.12, 0%)</w:t>
            </w:r>
          </w:p>
        </w:tc>
        <w:tc>
          <w:tcPr>
            <w:tcW w:w="1725"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70EE2F58" w14:textId="77777777" w:rsidR="007E572B" w:rsidRDefault="00000000">
            <w:pPr>
              <w:widowControl w:val="0"/>
              <w:rPr>
                <w:sz w:val="20"/>
                <w:szCs w:val="20"/>
              </w:rPr>
            </w:pPr>
            <w:r>
              <w:rPr>
                <w:rFonts w:ascii="Calibri" w:eastAsia="Calibri" w:hAnsi="Calibri" w:cs="Calibri"/>
                <w:sz w:val="24"/>
                <w:szCs w:val="24"/>
              </w:rPr>
              <w:t>NA (NA, 0%)</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7C9B317C" w14:textId="77777777" w:rsidR="007E572B" w:rsidRDefault="00000000">
            <w:pPr>
              <w:widowControl w:val="0"/>
              <w:rPr>
                <w:sz w:val="20"/>
                <w:szCs w:val="20"/>
              </w:rPr>
            </w:pPr>
            <w:r>
              <w:rPr>
                <w:rFonts w:ascii="Calibri" w:eastAsia="Calibri" w:hAnsi="Calibri" w:cs="Calibri"/>
                <w:sz w:val="24"/>
                <w:szCs w:val="24"/>
              </w:rPr>
              <w:t>-3.03 (1.54, 0.03%)</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68C65F40"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2.44 (0.75, 0.09%)</w:t>
            </w:r>
          </w:p>
        </w:tc>
      </w:tr>
      <w:tr w:rsidR="007E572B" w14:paraId="4B29B7E3" w14:textId="77777777">
        <w:trPr>
          <w:trHeight w:val="461"/>
        </w:trPr>
        <w:tc>
          <w:tcPr>
            <w:tcW w:w="2055" w:type="dxa"/>
            <w:shd w:val="clear" w:color="auto" w:fill="auto"/>
            <w:tcMar>
              <w:top w:w="100" w:type="dxa"/>
              <w:left w:w="100" w:type="dxa"/>
              <w:bottom w:w="100" w:type="dxa"/>
              <w:right w:w="100" w:type="dxa"/>
            </w:tcMar>
          </w:tcPr>
          <w:p w14:paraId="62E3455E"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T2D * 2nd Visit</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43E908A1" w14:textId="77777777" w:rsidR="007E572B" w:rsidRDefault="00000000">
            <w:pPr>
              <w:widowControl w:val="0"/>
              <w:rPr>
                <w:sz w:val="20"/>
                <w:szCs w:val="20"/>
              </w:rPr>
            </w:pPr>
            <w:r>
              <w:rPr>
                <w:rFonts w:ascii="Calibri" w:eastAsia="Calibri" w:hAnsi="Calibri" w:cs="Calibri"/>
                <w:sz w:val="24"/>
                <w:szCs w:val="24"/>
              </w:rPr>
              <w:t>-1.31 (0.55, 0.09%)</w:t>
            </w:r>
          </w:p>
        </w:tc>
        <w:tc>
          <w:tcPr>
            <w:tcW w:w="1725"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5DFCEE64"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2.14 (1.06, 0.16%)</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4B524D5E" w14:textId="77777777" w:rsidR="007E572B" w:rsidRDefault="00000000">
            <w:pPr>
              <w:widowControl w:val="0"/>
              <w:rPr>
                <w:sz w:val="20"/>
                <w:szCs w:val="20"/>
              </w:rPr>
            </w:pPr>
            <w:r>
              <w:rPr>
                <w:rFonts w:ascii="Calibri" w:eastAsia="Calibri" w:hAnsi="Calibri" w:cs="Calibri"/>
                <w:sz w:val="24"/>
                <w:szCs w:val="24"/>
              </w:rPr>
              <w:t>-2.24 (1.21, 0.2%)</w:t>
            </w:r>
          </w:p>
        </w:tc>
        <w:tc>
          <w:tcPr>
            <w:tcW w:w="1620" w:type="dxa"/>
            <w:tcBorders>
              <w:top w:val="single" w:sz="8" w:space="0" w:color="CCCCCC"/>
              <w:left w:val="single" w:sz="8" w:space="0" w:color="CCCCCC"/>
              <w:bottom w:val="single" w:sz="8" w:space="0" w:color="0C1F30"/>
              <w:right w:val="single" w:sz="8" w:space="0" w:color="000000"/>
            </w:tcBorders>
            <w:tcMar>
              <w:top w:w="40" w:type="dxa"/>
              <w:left w:w="0" w:type="dxa"/>
              <w:bottom w:w="40" w:type="dxa"/>
              <w:right w:w="0" w:type="dxa"/>
            </w:tcMar>
            <w:vAlign w:val="bottom"/>
          </w:tcPr>
          <w:p w14:paraId="2F6EDD3A" w14:textId="77777777" w:rsidR="007E572B" w:rsidRDefault="00000000">
            <w:pPr>
              <w:widowControl w:val="0"/>
              <w:rPr>
                <w:rFonts w:ascii="Calibri" w:eastAsia="Calibri" w:hAnsi="Calibri" w:cs="Calibri"/>
                <w:sz w:val="24"/>
                <w:szCs w:val="24"/>
              </w:rPr>
            </w:pPr>
            <w:r>
              <w:rPr>
                <w:rFonts w:ascii="Calibri" w:eastAsia="Calibri" w:hAnsi="Calibri" w:cs="Calibri"/>
                <w:sz w:val="24"/>
                <w:szCs w:val="24"/>
              </w:rPr>
              <w:t>2.17 (0.04, 0.01%)</w:t>
            </w:r>
          </w:p>
        </w:tc>
      </w:tr>
      <w:tr w:rsidR="007E572B" w14:paraId="72D2503B" w14:textId="77777777">
        <w:trPr>
          <w:trHeight w:val="461"/>
        </w:trPr>
        <w:tc>
          <w:tcPr>
            <w:tcW w:w="2055" w:type="dxa"/>
            <w:shd w:val="clear" w:color="auto" w:fill="auto"/>
            <w:tcMar>
              <w:top w:w="100" w:type="dxa"/>
              <w:left w:w="100" w:type="dxa"/>
              <w:bottom w:w="100" w:type="dxa"/>
              <w:right w:w="100" w:type="dxa"/>
            </w:tcMar>
          </w:tcPr>
          <w:p w14:paraId="1A8053B0" w14:textId="77777777" w:rsidR="007E572B" w:rsidRDefault="00000000">
            <w:pPr>
              <w:spacing w:line="480" w:lineRule="auto"/>
              <w:rPr>
                <w:rFonts w:ascii="Calibri" w:eastAsia="Calibri" w:hAnsi="Calibri" w:cs="Calibri"/>
                <w:b/>
                <w:sz w:val="24"/>
                <w:szCs w:val="24"/>
              </w:rPr>
            </w:pPr>
            <w:r>
              <w:rPr>
                <w:rFonts w:ascii="Calibri" w:eastAsia="Calibri" w:hAnsi="Calibri" w:cs="Calibri"/>
                <w:b/>
                <w:sz w:val="24"/>
                <w:szCs w:val="24"/>
              </w:rPr>
              <w:t>Hypertension * 2nd Visit</w:t>
            </w:r>
          </w:p>
        </w:tc>
        <w:tc>
          <w:tcPr>
            <w:tcW w:w="1800"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481740B5" w14:textId="77777777" w:rsidR="007E572B" w:rsidRDefault="00000000">
            <w:pPr>
              <w:widowControl w:val="0"/>
              <w:rPr>
                <w:sz w:val="20"/>
                <w:szCs w:val="20"/>
              </w:rPr>
            </w:pPr>
            <w:r>
              <w:rPr>
                <w:rFonts w:ascii="Calibri" w:eastAsia="Calibri" w:hAnsi="Calibri" w:cs="Calibri"/>
                <w:sz w:val="24"/>
                <w:szCs w:val="24"/>
              </w:rPr>
              <w:t>-</w:t>
            </w:r>
          </w:p>
        </w:tc>
        <w:tc>
          <w:tcPr>
            <w:tcW w:w="1725"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3F1A3B51" w14:textId="77777777" w:rsidR="007E572B" w:rsidRDefault="00000000">
            <w:pPr>
              <w:widowControl w:val="0"/>
              <w:rPr>
                <w:sz w:val="20"/>
                <w:szCs w:val="20"/>
              </w:rPr>
            </w:pPr>
            <w:r>
              <w:rPr>
                <w:rFonts w:ascii="Calibri" w:eastAsia="Calibri" w:hAnsi="Calibri" w:cs="Calibri"/>
                <w:sz w:val="24"/>
                <w:szCs w:val="24"/>
              </w:rPr>
              <w:t>-</w:t>
            </w:r>
          </w:p>
        </w:tc>
        <w:tc>
          <w:tcPr>
            <w:tcW w:w="1815" w:type="dxa"/>
            <w:tcBorders>
              <w:top w:val="single" w:sz="8" w:space="0" w:color="CCCCCC"/>
              <w:left w:val="single" w:sz="8" w:space="0" w:color="0C1F30"/>
              <w:bottom w:val="single" w:sz="8" w:space="0" w:color="0C1F30"/>
              <w:right w:val="single" w:sz="8" w:space="0" w:color="0C1F30"/>
            </w:tcBorders>
            <w:tcMar>
              <w:top w:w="40" w:type="dxa"/>
              <w:left w:w="40" w:type="dxa"/>
              <w:bottom w:w="40" w:type="dxa"/>
              <w:right w:w="40" w:type="dxa"/>
            </w:tcMar>
            <w:vAlign w:val="bottom"/>
          </w:tcPr>
          <w:p w14:paraId="6C626AEA" w14:textId="77777777" w:rsidR="007E572B" w:rsidRDefault="00000000">
            <w:pPr>
              <w:widowControl w:val="0"/>
              <w:rPr>
                <w:sz w:val="20"/>
                <w:szCs w:val="20"/>
              </w:rPr>
            </w:pPr>
            <w:r>
              <w:rPr>
                <w:rFonts w:ascii="Calibri" w:eastAsia="Calibri" w:hAnsi="Calibri" w:cs="Calibri"/>
                <w:sz w:val="24"/>
                <w:szCs w:val="24"/>
              </w:rPr>
              <w:t>-</w:t>
            </w:r>
          </w:p>
        </w:tc>
        <w:tc>
          <w:tcPr>
            <w:tcW w:w="1620" w:type="dxa"/>
            <w:tcBorders>
              <w:top w:val="single" w:sz="8" w:space="0" w:color="CCCCCC"/>
              <w:left w:val="single" w:sz="8" w:space="0" w:color="CCCCCC"/>
              <w:bottom w:val="single" w:sz="8" w:space="0" w:color="0C1F30"/>
              <w:right w:val="single" w:sz="8" w:space="0" w:color="0C1F30"/>
            </w:tcBorders>
            <w:tcMar>
              <w:top w:w="40" w:type="dxa"/>
              <w:left w:w="40" w:type="dxa"/>
              <w:bottom w:w="40" w:type="dxa"/>
              <w:right w:w="40" w:type="dxa"/>
            </w:tcMar>
            <w:vAlign w:val="bottom"/>
          </w:tcPr>
          <w:p w14:paraId="16AC80B5" w14:textId="77777777" w:rsidR="007E572B" w:rsidRDefault="00000000">
            <w:pPr>
              <w:widowControl w:val="0"/>
              <w:rPr>
                <w:sz w:val="20"/>
                <w:szCs w:val="20"/>
              </w:rPr>
            </w:pPr>
            <w:r>
              <w:rPr>
                <w:rFonts w:ascii="Calibri" w:eastAsia="Calibri" w:hAnsi="Calibri" w:cs="Calibri"/>
                <w:sz w:val="24"/>
                <w:szCs w:val="24"/>
              </w:rPr>
              <w:t>-</w:t>
            </w:r>
          </w:p>
        </w:tc>
      </w:tr>
    </w:tbl>
    <w:p w14:paraId="095CD548"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Table S3. Significance areas for covariates in mixed-effect models for the anthropometric variables of the model for the ASAT thickness (mm) by gender (1,200 female and 1,186 male participants). The total area has been split into areas of positive and negative associations. The regression coefficients (</w:t>
      </w:r>
      <m:oMath>
        <m:acc>
          <m:accPr>
            <m:ctrlPr>
              <w:rPr>
                <w:rFonts w:ascii="Cambria Math" w:hAnsi="Cambria Math"/>
              </w:rPr>
            </m:ctrlPr>
          </m:accPr>
          <m:e>
            <m:r>
              <w:rPr>
                <w:rFonts w:ascii="Cambria Math" w:hAnsi="Cambria Math"/>
              </w:rPr>
              <m:t>β</m:t>
            </m:r>
          </m:e>
        </m:acc>
      </m:oMath>
      <w:r>
        <w:rPr>
          <w:rFonts w:ascii="Calibri" w:eastAsia="Calibri" w:hAnsi="Calibri" w:cs="Calibri"/>
          <w:sz w:val="24"/>
          <w:szCs w:val="24"/>
        </w:rPr>
        <w:t xml:space="preserve">) are presented as median (interquartile range - IQR) across all vertices of the ASAT surface and the significance areas as a percentage (%) of the vertices with statistically significant associations. All continuous variables used as fixed effects were standardised before analysis. </w:t>
      </w:r>
    </w:p>
    <w:p w14:paraId="496EE9B9" w14:textId="77777777" w:rsidR="007E572B" w:rsidRDefault="007E572B">
      <w:pPr>
        <w:spacing w:line="480" w:lineRule="auto"/>
        <w:ind w:firstLine="720"/>
        <w:jc w:val="both"/>
        <w:rPr>
          <w:rFonts w:ascii="Calibri" w:eastAsia="Calibri" w:hAnsi="Calibri" w:cs="Calibri"/>
          <w:sz w:val="24"/>
          <w:szCs w:val="24"/>
        </w:rPr>
      </w:pPr>
    </w:p>
    <w:tbl>
      <w:tblPr>
        <w:tblStyle w:val="a2"/>
        <w:tblW w:w="88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60"/>
        <w:gridCol w:w="1890"/>
        <w:gridCol w:w="1635"/>
        <w:gridCol w:w="1605"/>
        <w:gridCol w:w="1605"/>
      </w:tblGrid>
      <w:tr w:rsidR="007E572B" w14:paraId="62EA82C6" w14:textId="77777777">
        <w:trPr>
          <w:trHeight w:val="440"/>
        </w:trPr>
        <w:tc>
          <w:tcPr>
            <w:tcW w:w="2160" w:type="dxa"/>
            <w:shd w:val="clear" w:color="auto" w:fill="auto"/>
            <w:tcMar>
              <w:top w:w="100" w:type="dxa"/>
              <w:left w:w="100" w:type="dxa"/>
              <w:bottom w:w="100" w:type="dxa"/>
              <w:right w:w="100" w:type="dxa"/>
            </w:tcMar>
          </w:tcPr>
          <w:p w14:paraId="3F092B62" w14:textId="77777777" w:rsidR="007E572B" w:rsidRDefault="007E572B">
            <w:pPr>
              <w:spacing w:line="480" w:lineRule="auto"/>
              <w:jc w:val="both"/>
              <w:rPr>
                <w:rFonts w:ascii="Calibri" w:eastAsia="Calibri" w:hAnsi="Calibri" w:cs="Calibri"/>
                <w:b/>
                <w:sz w:val="24"/>
                <w:szCs w:val="24"/>
              </w:rPr>
            </w:pPr>
          </w:p>
        </w:tc>
        <w:tc>
          <w:tcPr>
            <w:tcW w:w="6735" w:type="dxa"/>
            <w:gridSpan w:val="4"/>
            <w:shd w:val="clear" w:color="auto" w:fill="auto"/>
            <w:tcMar>
              <w:top w:w="100" w:type="dxa"/>
              <w:left w:w="100" w:type="dxa"/>
              <w:bottom w:w="100" w:type="dxa"/>
              <w:right w:w="100" w:type="dxa"/>
            </w:tcMar>
          </w:tcPr>
          <w:p w14:paraId="5DD22BE3" w14:textId="77777777" w:rsidR="007E572B" w:rsidRDefault="00000000">
            <w:pPr>
              <w:widowControl w:val="0"/>
              <w:spacing w:line="480" w:lineRule="auto"/>
              <w:jc w:val="center"/>
              <w:rPr>
                <w:rFonts w:ascii="Calibri" w:eastAsia="Calibri" w:hAnsi="Calibri" w:cs="Calibri"/>
                <w:b/>
                <w:sz w:val="24"/>
                <w:szCs w:val="24"/>
              </w:rPr>
            </w:pPr>
            <w:r>
              <w:rPr>
                <w:rFonts w:ascii="Calibri" w:eastAsia="Calibri" w:hAnsi="Calibri" w:cs="Calibri"/>
                <w:b/>
                <w:sz w:val="24"/>
                <w:szCs w:val="24"/>
              </w:rPr>
              <w:t>Models</w:t>
            </w:r>
          </w:p>
        </w:tc>
      </w:tr>
      <w:tr w:rsidR="007E572B" w14:paraId="3ECC6751" w14:textId="77777777">
        <w:trPr>
          <w:trHeight w:val="420"/>
        </w:trPr>
        <w:tc>
          <w:tcPr>
            <w:tcW w:w="2160" w:type="dxa"/>
            <w:vMerge w:val="restart"/>
            <w:shd w:val="clear" w:color="auto" w:fill="auto"/>
            <w:tcMar>
              <w:top w:w="100" w:type="dxa"/>
              <w:left w:w="100" w:type="dxa"/>
              <w:bottom w:w="100" w:type="dxa"/>
              <w:right w:w="100" w:type="dxa"/>
            </w:tcMar>
          </w:tcPr>
          <w:p w14:paraId="59A7C191"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b/>
                <w:sz w:val="24"/>
                <w:szCs w:val="24"/>
              </w:rPr>
              <w:t>Disease Cohort (N)</w:t>
            </w:r>
          </w:p>
        </w:tc>
        <w:tc>
          <w:tcPr>
            <w:tcW w:w="3525" w:type="dxa"/>
            <w:gridSpan w:val="2"/>
            <w:shd w:val="clear" w:color="auto" w:fill="auto"/>
            <w:tcMar>
              <w:top w:w="100" w:type="dxa"/>
              <w:left w:w="100" w:type="dxa"/>
              <w:bottom w:w="100" w:type="dxa"/>
              <w:right w:w="100" w:type="dxa"/>
            </w:tcMar>
          </w:tcPr>
          <w:p w14:paraId="13B9B723" w14:textId="77777777" w:rsidR="007E572B" w:rsidRDefault="00000000">
            <w:pPr>
              <w:widowControl w:val="0"/>
              <w:spacing w:line="480" w:lineRule="auto"/>
              <w:jc w:val="both"/>
              <w:rPr>
                <w:rFonts w:ascii="Calibri" w:eastAsia="Calibri" w:hAnsi="Calibri" w:cs="Calibri"/>
                <w:b/>
                <w:sz w:val="24"/>
                <w:szCs w:val="24"/>
              </w:rPr>
            </w:pPr>
            <w:r>
              <w:rPr>
                <w:rFonts w:ascii="Calibri" w:eastAsia="Calibri" w:hAnsi="Calibri" w:cs="Calibri"/>
                <w:b/>
                <w:sz w:val="24"/>
                <w:szCs w:val="24"/>
              </w:rPr>
              <w:t xml:space="preserve">ASAT Volume </w:t>
            </w:r>
          </w:p>
        </w:tc>
        <w:tc>
          <w:tcPr>
            <w:tcW w:w="3210" w:type="dxa"/>
            <w:gridSpan w:val="2"/>
            <w:shd w:val="clear" w:color="auto" w:fill="auto"/>
            <w:tcMar>
              <w:top w:w="100" w:type="dxa"/>
              <w:left w:w="100" w:type="dxa"/>
              <w:bottom w:w="100" w:type="dxa"/>
              <w:right w:w="100" w:type="dxa"/>
            </w:tcMar>
          </w:tcPr>
          <w:p w14:paraId="56B37CED" w14:textId="77777777" w:rsidR="007E572B" w:rsidRDefault="00000000">
            <w:pPr>
              <w:widowControl w:val="0"/>
              <w:spacing w:line="480" w:lineRule="auto"/>
              <w:jc w:val="both"/>
              <w:rPr>
                <w:rFonts w:ascii="Calibri" w:eastAsia="Calibri" w:hAnsi="Calibri" w:cs="Calibri"/>
                <w:b/>
                <w:sz w:val="24"/>
                <w:szCs w:val="24"/>
              </w:rPr>
            </w:pPr>
            <w:r>
              <w:rPr>
                <w:rFonts w:ascii="Calibri" w:eastAsia="Calibri" w:hAnsi="Calibri" w:cs="Calibri"/>
                <w:b/>
                <w:sz w:val="24"/>
                <w:szCs w:val="24"/>
              </w:rPr>
              <w:t>ASAT Thickness</w:t>
            </w:r>
          </w:p>
        </w:tc>
      </w:tr>
      <w:tr w:rsidR="007E572B" w14:paraId="59B61B5A" w14:textId="77777777">
        <w:trPr>
          <w:trHeight w:val="420"/>
        </w:trPr>
        <w:tc>
          <w:tcPr>
            <w:tcW w:w="2160" w:type="dxa"/>
            <w:vMerge/>
            <w:shd w:val="clear" w:color="auto" w:fill="auto"/>
            <w:tcMar>
              <w:top w:w="100" w:type="dxa"/>
              <w:left w:w="100" w:type="dxa"/>
              <w:bottom w:w="100" w:type="dxa"/>
              <w:right w:w="100" w:type="dxa"/>
            </w:tcMar>
          </w:tcPr>
          <w:p w14:paraId="42A45263" w14:textId="77777777" w:rsidR="007E572B" w:rsidRDefault="007E572B">
            <w:pPr>
              <w:widowControl w:val="0"/>
              <w:spacing w:line="480" w:lineRule="auto"/>
              <w:jc w:val="both"/>
              <w:rPr>
                <w:rFonts w:ascii="Calibri" w:eastAsia="Calibri" w:hAnsi="Calibri" w:cs="Calibri"/>
                <w:b/>
                <w:sz w:val="24"/>
                <w:szCs w:val="24"/>
              </w:rPr>
            </w:pPr>
          </w:p>
        </w:tc>
        <w:tc>
          <w:tcPr>
            <w:tcW w:w="1890" w:type="dxa"/>
            <w:shd w:val="clear" w:color="auto" w:fill="auto"/>
            <w:tcMar>
              <w:top w:w="100" w:type="dxa"/>
              <w:left w:w="100" w:type="dxa"/>
              <w:bottom w:w="100" w:type="dxa"/>
              <w:right w:w="100" w:type="dxa"/>
            </w:tcMar>
          </w:tcPr>
          <w:p w14:paraId="34F97024"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C-index</w:t>
            </w:r>
          </w:p>
        </w:tc>
        <w:tc>
          <w:tcPr>
            <w:tcW w:w="1635" w:type="dxa"/>
            <w:shd w:val="clear" w:color="auto" w:fill="auto"/>
            <w:tcMar>
              <w:top w:w="100" w:type="dxa"/>
              <w:left w:w="100" w:type="dxa"/>
              <w:bottom w:w="100" w:type="dxa"/>
              <w:right w:w="100" w:type="dxa"/>
            </w:tcMar>
          </w:tcPr>
          <w:p w14:paraId="604FD630"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AIC</w:t>
            </w:r>
          </w:p>
        </w:tc>
        <w:tc>
          <w:tcPr>
            <w:tcW w:w="1605" w:type="dxa"/>
            <w:shd w:val="clear" w:color="auto" w:fill="auto"/>
            <w:tcMar>
              <w:top w:w="100" w:type="dxa"/>
              <w:left w:w="100" w:type="dxa"/>
              <w:bottom w:w="100" w:type="dxa"/>
              <w:right w:w="100" w:type="dxa"/>
            </w:tcMar>
          </w:tcPr>
          <w:p w14:paraId="71D8E9B8"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C-index</w:t>
            </w:r>
          </w:p>
        </w:tc>
        <w:tc>
          <w:tcPr>
            <w:tcW w:w="1605" w:type="dxa"/>
            <w:shd w:val="clear" w:color="auto" w:fill="auto"/>
            <w:tcMar>
              <w:top w:w="100" w:type="dxa"/>
              <w:left w:w="100" w:type="dxa"/>
              <w:bottom w:w="100" w:type="dxa"/>
              <w:right w:w="100" w:type="dxa"/>
            </w:tcMar>
          </w:tcPr>
          <w:p w14:paraId="298B2278"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AIC</w:t>
            </w:r>
          </w:p>
        </w:tc>
      </w:tr>
      <w:tr w:rsidR="007E572B" w14:paraId="63FEE354" w14:textId="77777777">
        <w:trPr>
          <w:trHeight w:val="440"/>
        </w:trPr>
        <w:tc>
          <w:tcPr>
            <w:tcW w:w="8895" w:type="dxa"/>
            <w:gridSpan w:val="5"/>
            <w:shd w:val="clear" w:color="auto" w:fill="auto"/>
            <w:tcMar>
              <w:top w:w="100" w:type="dxa"/>
              <w:left w:w="100" w:type="dxa"/>
              <w:bottom w:w="100" w:type="dxa"/>
              <w:right w:w="100" w:type="dxa"/>
            </w:tcMar>
          </w:tcPr>
          <w:p w14:paraId="3A4429A8" w14:textId="77777777" w:rsidR="007E572B" w:rsidRDefault="00000000">
            <w:pPr>
              <w:spacing w:line="480" w:lineRule="auto"/>
              <w:jc w:val="center"/>
              <w:rPr>
                <w:rFonts w:ascii="Calibri" w:eastAsia="Calibri" w:hAnsi="Calibri" w:cs="Calibri"/>
                <w:b/>
                <w:sz w:val="24"/>
                <w:szCs w:val="24"/>
              </w:rPr>
            </w:pPr>
            <w:r>
              <w:rPr>
                <w:rFonts w:ascii="Calibri" w:eastAsia="Calibri" w:hAnsi="Calibri" w:cs="Calibri"/>
                <w:b/>
                <w:sz w:val="24"/>
                <w:szCs w:val="24"/>
              </w:rPr>
              <w:t>Female</w:t>
            </w:r>
          </w:p>
        </w:tc>
      </w:tr>
      <w:tr w:rsidR="007E572B" w14:paraId="7EFAAF69" w14:textId="77777777">
        <w:tc>
          <w:tcPr>
            <w:tcW w:w="2160" w:type="dxa"/>
            <w:shd w:val="clear" w:color="auto" w:fill="auto"/>
            <w:tcMar>
              <w:top w:w="100" w:type="dxa"/>
              <w:left w:w="100" w:type="dxa"/>
              <w:bottom w:w="100" w:type="dxa"/>
              <w:right w:w="100" w:type="dxa"/>
            </w:tcMar>
          </w:tcPr>
          <w:p w14:paraId="4463EA6D" w14:textId="77777777" w:rsidR="007E572B" w:rsidRDefault="00000000">
            <w:pPr>
              <w:widowControl w:val="0"/>
              <w:spacing w:line="480" w:lineRule="auto"/>
              <w:jc w:val="both"/>
              <w:rPr>
                <w:rFonts w:ascii="Calibri" w:eastAsia="Calibri" w:hAnsi="Calibri" w:cs="Calibri"/>
                <w:b/>
                <w:sz w:val="24"/>
                <w:szCs w:val="24"/>
              </w:rPr>
            </w:pPr>
            <w:r>
              <w:rPr>
                <w:rFonts w:ascii="Calibri" w:eastAsia="Calibri" w:hAnsi="Calibri" w:cs="Calibri"/>
                <w:b/>
                <w:sz w:val="24"/>
                <w:szCs w:val="24"/>
              </w:rPr>
              <w:t>CVD (656)</w:t>
            </w:r>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253A6E"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 xml:space="preserve">0.66 </w:t>
            </w:r>
          </w:p>
        </w:tc>
        <w:tc>
          <w:tcPr>
            <w:tcW w:w="16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73F57D7"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12016.5</w:t>
            </w:r>
          </w:p>
        </w:tc>
        <w:tc>
          <w:tcPr>
            <w:tcW w:w="16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419B0B1"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 xml:space="preserve">0.66 </w:t>
            </w:r>
          </w:p>
        </w:tc>
        <w:tc>
          <w:tcPr>
            <w:tcW w:w="16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89C4B1E"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12014.4</w:t>
            </w:r>
          </w:p>
        </w:tc>
      </w:tr>
      <w:tr w:rsidR="007E572B" w14:paraId="1CF19974" w14:textId="77777777">
        <w:tc>
          <w:tcPr>
            <w:tcW w:w="2160" w:type="dxa"/>
            <w:shd w:val="clear" w:color="auto" w:fill="auto"/>
            <w:tcMar>
              <w:top w:w="100" w:type="dxa"/>
              <w:left w:w="100" w:type="dxa"/>
              <w:bottom w:w="100" w:type="dxa"/>
              <w:right w:w="100" w:type="dxa"/>
            </w:tcMar>
          </w:tcPr>
          <w:p w14:paraId="72285676" w14:textId="77777777" w:rsidR="007E572B" w:rsidRDefault="00000000">
            <w:pPr>
              <w:widowControl w:val="0"/>
              <w:spacing w:line="480" w:lineRule="auto"/>
              <w:jc w:val="both"/>
              <w:rPr>
                <w:rFonts w:ascii="Calibri" w:eastAsia="Calibri" w:hAnsi="Calibri" w:cs="Calibri"/>
                <w:b/>
                <w:sz w:val="24"/>
                <w:szCs w:val="24"/>
              </w:rPr>
            </w:pPr>
            <w:r>
              <w:rPr>
                <w:rFonts w:ascii="Calibri" w:eastAsia="Calibri" w:hAnsi="Calibri" w:cs="Calibri"/>
                <w:b/>
                <w:sz w:val="24"/>
                <w:szCs w:val="24"/>
              </w:rPr>
              <w:t>Hypertension (410)</w:t>
            </w:r>
          </w:p>
        </w:tc>
        <w:tc>
          <w:tcPr>
            <w:tcW w:w="189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089EEDF"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0.65</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tcPr>
          <w:p w14:paraId="169D9A2F"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7528.68</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14:paraId="3730C741"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 xml:space="preserve">0.66 </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14:paraId="6558DBB5"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7521.9</w:t>
            </w:r>
          </w:p>
        </w:tc>
      </w:tr>
      <w:tr w:rsidR="007E572B" w14:paraId="2E9C159E" w14:textId="77777777">
        <w:tc>
          <w:tcPr>
            <w:tcW w:w="8895" w:type="dxa"/>
            <w:gridSpan w:val="5"/>
            <w:shd w:val="clear" w:color="auto" w:fill="auto"/>
            <w:tcMar>
              <w:top w:w="100" w:type="dxa"/>
              <w:left w:w="100" w:type="dxa"/>
              <w:bottom w:w="100" w:type="dxa"/>
              <w:right w:w="100" w:type="dxa"/>
            </w:tcMar>
          </w:tcPr>
          <w:p w14:paraId="7B98C3CA" w14:textId="77777777" w:rsidR="007E572B" w:rsidRDefault="00000000">
            <w:pPr>
              <w:spacing w:line="480" w:lineRule="auto"/>
              <w:jc w:val="center"/>
              <w:rPr>
                <w:rFonts w:ascii="Calibri" w:eastAsia="Calibri" w:hAnsi="Calibri" w:cs="Calibri"/>
                <w:b/>
                <w:sz w:val="24"/>
                <w:szCs w:val="24"/>
              </w:rPr>
            </w:pPr>
            <w:r>
              <w:rPr>
                <w:rFonts w:ascii="Calibri" w:eastAsia="Calibri" w:hAnsi="Calibri" w:cs="Calibri"/>
                <w:b/>
                <w:sz w:val="24"/>
                <w:szCs w:val="24"/>
              </w:rPr>
              <w:lastRenderedPageBreak/>
              <w:t>Male</w:t>
            </w:r>
          </w:p>
        </w:tc>
      </w:tr>
      <w:tr w:rsidR="007E572B" w14:paraId="4C7C6A58" w14:textId="77777777">
        <w:tc>
          <w:tcPr>
            <w:tcW w:w="2160" w:type="dxa"/>
            <w:shd w:val="clear" w:color="auto" w:fill="auto"/>
            <w:tcMar>
              <w:top w:w="100" w:type="dxa"/>
              <w:left w:w="100" w:type="dxa"/>
              <w:bottom w:w="100" w:type="dxa"/>
              <w:right w:w="100" w:type="dxa"/>
            </w:tcMar>
          </w:tcPr>
          <w:p w14:paraId="34F62458" w14:textId="77777777" w:rsidR="007E572B" w:rsidRDefault="00000000">
            <w:pPr>
              <w:widowControl w:val="0"/>
              <w:spacing w:line="480" w:lineRule="auto"/>
              <w:jc w:val="both"/>
              <w:rPr>
                <w:rFonts w:ascii="Calibri" w:eastAsia="Calibri" w:hAnsi="Calibri" w:cs="Calibri"/>
                <w:b/>
                <w:sz w:val="24"/>
                <w:szCs w:val="24"/>
              </w:rPr>
            </w:pPr>
            <w:r>
              <w:rPr>
                <w:rFonts w:ascii="Calibri" w:eastAsia="Calibri" w:hAnsi="Calibri" w:cs="Calibri"/>
                <w:b/>
                <w:sz w:val="24"/>
                <w:szCs w:val="24"/>
              </w:rPr>
              <w:t>CVD</w:t>
            </w:r>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DD048E"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0.65</w:t>
            </w:r>
          </w:p>
        </w:tc>
        <w:tc>
          <w:tcPr>
            <w:tcW w:w="16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704AB73"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14009.48</w:t>
            </w:r>
          </w:p>
        </w:tc>
        <w:tc>
          <w:tcPr>
            <w:tcW w:w="16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9326240"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0.65</w:t>
            </w:r>
          </w:p>
        </w:tc>
        <w:tc>
          <w:tcPr>
            <w:tcW w:w="16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CEFF44F"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14021.26</w:t>
            </w:r>
          </w:p>
        </w:tc>
      </w:tr>
      <w:tr w:rsidR="007E572B" w14:paraId="05BC5C90" w14:textId="77777777">
        <w:tc>
          <w:tcPr>
            <w:tcW w:w="2160" w:type="dxa"/>
            <w:shd w:val="clear" w:color="auto" w:fill="auto"/>
            <w:tcMar>
              <w:top w:w="100" w:type="dxa"/>
              <w:left w:w="100" w:type="dxa"/>
              <w:bottom w:w="100" w:type="dxa"/>
              <w:right w:w="100" w:type="dxa"/>
            </w:tcMar>
          </w:tcPr>
          <w:p w14:paraId="5C087E52" w14:textId="77777777" w:rsidR="007E572B" w:rsidRDefault="00000000">
            <w:pPr>
              <w:widowControl w:val="0"/>
              <w:spacing w:line="480" w:lineRule="auto"/>
              <w:jc w:val="both"/>
              <w:rPr>
                <w:rFonts w:ascii="Calibri" w:eastAsia="Calibri" w:hAnsi="Calibri" w:cs="Calibri"/>
                <w:b/>
                <w:sz w:val="24"/>
                <w:szCs w:val="24"/>
              </w:rPr>
            </w:pPr>
            <w:r>
              <w:rPr>
                <w:rFonts w:ascii="Calibri" w:eastAsia="Calibri" w:hAnsi="Calibri" w:cs="Calibri"/>
                <w:b/>
                <w:sz w:val="24"/>
                <w:szCs w:val="24"/>
              </w:rPr>
              <w:t>Hypertension (516)</w:t>
            </w:r>
          </w:p>
        </w:tc>
        <w:tc>
          <w:tcPr>
            <w:tcW w:w="189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CE2ED26"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0.64</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tcPr>
          <w:p w14:paraId="38B0B115"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9182.83</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14:paraId="6D864A25"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0.65</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14:paraId="53D74D46"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9180.36</w:t>
            </w:r>
          </w:p>
        </w:tc>
      </w:tr>
      <w:tr w:rsidR="007E572B" w14:paraId="45930877" w14:textId="77777777">
        <w:tc>
          <w:tcPr>
            <w:tcW w:w="2160" w:type="dxa"/>
            <w:shd w:val="clear" w:color="auto" w:fill="auto"/>
            <w:tcMar>
              <w:top w:w="100" w:type="dxa"/>
              <w:left w:w="100" w:type="dxa"/>
              <w:bottom w:w="100" w:type="dxa"/>
              <w:right w:w="100" w:type="dxa"/>
            </w:tcMar>
          </w:tcPr>
          <w:p w14:paraId="2637A388" w14:textId="77777777" w:rsidR="007E572B" w:rsidRDefault="00000000">
            <w:pPr>
              <w:widowControl w:val="0"/>
              <w:spacing w:line="480" w:lineRule="auto"/>
              <w:jc w:val="both"/>
              <w:rPr>
                <w:rFonts w:ascii="Calibri" w:eastAsia="Calibri" w:hAnsi="Calibri" w:cs="Calibri"/>
                <w:b/>
                <w:sz w:val="24"/>
                <w:szCs w:val="24"/>
              </w:rPr>
            </w:pPr>
            <w:r>
              <w:rPr>
                <w:rFonts w:ascii="Calibri" w:eastAsia="Calibri" w:hAnsi="Calibri" w:cs="Calibri"/>
                <w:b/>
                <w:sz w:val="24"/>
                <w:szCs w:val="24"/>
              </w:rPr>
              <w:t>T2D (135)</w:t>
            </w:r>
          </w:p>
        </w:tc>
        <w:tc>
          <w:tcPr>
            <w:tcW w:w="189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F895A1E"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0.75</w:t>
            </w:r>
          </w:p>
        </w:tc>
        <w:tc>
          <w:tcPr>
            <w:tcW w:w="1635" w:type="dxa"/>
            <w:tcBorders>
              <w:top w:val="nil"/>
              <w:left w:val="nil"/>
              <w:bottom w:val="single" w:sz="8" w:space="0" w:color="000000"/>
              <w:right w:val="single" w:sz="8" w:space="0" w:color="000000"/>
            </w:tcBorders>
            <w:tcMar>
              <w:top w:w="100" w:type="dxa"/>
              <w:left w:w="100" w:type="dxa"/>
              <w:bottom w:w="100" w:type="dxa"/>
              <w:right w:w="100" w:type="dxa"/>
            </w:tcMar>
          </w:tcPr>
          <w:p w14:paraId="13531634"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2493.32</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14:paraId="7587928B"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0.76</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14:paraId="6D0DCD8A" w14:textId="77777777" w:rsidR="007E572B" w:rsidRDefault="00000000">
            <w:pPr>
              <w:widowControl w:val="0"/>
              <w:spacing w:line="480" w:lineRule="auto"/>
              <w:jc w:val="both"/>
              <w:rPr>
                <w:rFonts w:ascii="Calibri" w:eastAsia="Calibri" w:hAnsi="Calibri" w:cs="Calibri"/>
                <w:sz w:val="24"/>
                <w:szCs w:val="24"/>
              </w:rPr>
            </w:pPr>
            <w:r>
              <w:rPr>
                <w:rFonts w:ascii="Calibri" w:eastAsia="Calibri" w:hAnsi="Calibri" w:cs="Calibri"/>
                <w:sz w:val="24"/>
                <w:szCs w:val="24"/>
              </w:rPr>
              <w:t>2485.44</w:t>
            </w:r>
          </w:p>
        </w:tc>
      </w:tr>
    </w:tbl>
    <w:p w14:paraId="34B89546" w14:textId="77777777" w:rsidR="007E572B" w:rsidRDefault="00000000">
      <w:pPr>
        <w:spacing w:before="200" w:after="200" w:line="480" w:lineRule="auto"/>
        <w:jc w:val="both"/>
        <w:rPr>
          <w:rFonts w:ascii="Calibri" w:eastAsia="Calibri" w:hAnsi="Calibri" w:cs="Calibri"/>
          <w:sz w:val="24"/>
          <w:szCs w:val="24"/>
        </w:rPr>
      </w:pPr>
      <w:r>
        <w:rPr>
          <w:rFonts w:ascii="Calibri" w:eastAsia="Calibri" w:hAnsi="Calibri" w:cs="Calibri"/>
          <w:sz w:val="24"/>
          <w:szCs w:val="24"/>
        </w:rPr>
        <w:t>Table S4. Summary of the concordance index (C-index) and the Akaike’s Information Criterion (AIC) from the Cox proportional hazard models for all disease groups (CVD, hypertension and T2D) separated by gender. Disease cohort with small numbers of cases were not analysed.</w:t>
      </w:r>
    </w:p>
    <w:p w14:paraId="28436251" w14:textId="77777777" w:rsidR="007E572B" w:rsidRDefault="007E572B">
      <w:pPr>
        <w:spacing w:line="480" w:lineRule="auto"/>
        <w:rPr>
          <w:rFonts w:ascii="Calibri" w:eastAsia="Calibri" w:hAnsi="Calibri" w:cs="Calibri"/>
          <w:sz w:val="24"/>
          <w:szCs w:val="24"/>
        </w:rPr>
      </w:pPr>
    </w:p>
    <w:p w14:paraId="3C1F86A2"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Supplementary Figures</w:t>
      </w:r>
    </w:p>
    <w:p w14:paraId="207CBA16" w14:textId="77777777" w:rsidR="007E572B" w:rsidRDefault="007E572B">
      <w:pPr>
        <w:spacing w:line="480" w:lineRule="auto"/>
        <w:jc w:val="both"/>
        <w:rPr>
          <w:rFonts w:ascii="Calibri" w:eastAsia="Calibri" w:hAnsi="Calibri" w:cs="Calibri"/>
          <w:sz w:val="24"/>
          <w:szCs w:val="24"/>
        </w:rPr>
      </w:pPr>
    </w:p>
    <w:p w14:paraId="6BFBB189" w14:textId="77777777" w:rsidR="007E572B" w:rsidRDefault="00000000">
      <w:pPr>
        <w:spacing w:line="480" w:lineRule="auto"/>
        <w:jc w:val="center"/>
        <w:rPr>
          <w:rFonts w:ascii="Calibri" w:eastAsia="Calibri" w:hAnsi="Calibri" w:cs="Calibri"/>
          <w:sz w:val="24"/>
          <w:szCs w:val="24"/>
        </w:rPr>
      </w:pPr>
      <w:r>
        <w:rPr>
          <w:rFonts w:ascii="Calibri" w:eastAsia="Calibri" w:hAnsi="Calibri" w:cs="Calibri"/>
          <w:noProof/>
          <w:sz w:val="24"/>
          <w:szCs w:val="24"/>
        </w:rPr>
        <w:drawing>
          <wp:inline distT="114300" distB="114300" distL="114300" distR="114300" wp14:anchorId="26CE2A0A" wp14:editId="4E2F8B83">
            <wp:extent cx="5731200" cy="3581400"/>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5731200" cy="3581400"/>
                    </a:xfrm>
                    <a:prstGeom prst="rect">
                      <a:avLst/>
                    </a:prstGeom>
                    <a:ln/>
                  </pic:spPr>
                </pic:pic>
              </a:graphicData>
            </a:graphic>
          </wp:inline>
        </w:drawing>
      </w:r>
    </w:p>
    <w:p w14:paraId="31D6C2EA"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lastRenderedPageBreak/>
        <w:t>Figure S1. Overview 3D mesh construction, registration, phenotype mapping and analysis workflow. Dixon MRI images from UK Biobank are used to segment ASAT, register images to a common space, and create a 3D reference ASAT template mesh. 3D ASAT thickness is computed, mapped to individual meshes, and analysed via mas univariate regression models cross-sectionally and longitudinally, with results visualised on the template mesh. The principal component analysis is used to reduce dimensionality of the 3D ASAT thickness, and hazard ratio models are used to assess associations between 3D phenotypes and incident disease risk for both men and women.</w:t>
      </w:r>
    </w:p>
    <w:p w14:paraId="17006573" w14:textId="77777777" w:rsidR="007E572B" w:rsidRDefault="007E572B">
      <w:pPr>
        <w:spacing w:line="480" w:lineRule="auto"/>
        <w:jc w:val="both"/>
        <w:rPr>
          <w:rFonts w:ascii="Calibri" w:eastAsia="Calibri" w:hAnsi="Calibri" w:cs="Calibri"/>
          <w:sz w:val="24"/>
          <w:szCs w:val="24"/>
        </w:rPr>
      </w:pPr>
    </w:p>
    <w:p w14:paraId="0540A979"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noProof/>
          <w:sz w:val="24"/>
          <w:szCs w:val="24"/>
        </w:rPr>
        <w:drawing>
          <wp:inline distT="114300" distB="114300" distL="114300" distR="114300" wp14:anchorId="1107FE2E" wp14:editId="7AAED92A">
            <wp:extent cx="5747024" cy="3268861"/>
            <wp:effectExtent l="0" t="0" r="0" b="0"/>
            <wp:docPr id="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6"/>
                    <a:srcRect l="996"/>
                    <a:stretch>
                      <a:fillRect/>
                    </a:stretch>
                  </pic:blipFill>
                  <pic:spPr>
                    <a:xfrm>
                      <a:off x="0" y="0"/>
                      <a:ext cx="5747024" cy="3268861"/>
                    </a:xfrm>
                    <a:prstGeom prst="rect">
                      <a:avLst/>
                    </a:prstGeom>
                    <a:ln/>
                  </pic:spPr>
                </pic:pic>
              </a:graphicData>
            </a:graphic>
          </wp:inline>
        </w:drawing>
      </w:r>
    </w:p>
    <w:p w14:paraId="1CB23F61"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Figure S2. Flow diagram of the study population. T2D: Type-2 diabetes.</w:t>
      </w:r>
    </w:p>
    <w:p w14:paraId="7D363D75"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20CE11C7" wp14:editId="1C8CB9F7">
            <wp:extent cx="5744339" cy="3910013"/>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7"/>
                    <a:srcRect l="10631" t="8259" r="13593"/>
                    <a:stretch>
                      <a:fillRect/>
                    </a:stretch>
                  </pic:blipFill>
                  <pic:spPr>
                    <a:xfrm>
                      <a:off x="0" y="0"/>
                      <a:ext cx="5744339" cy="3910013"/>
                    </a:xfrm>
                    <a:prstGeom prst="rect">
                      <a:avLst/>
                    </a:prstGeom>
                    <a:ln/>
                  </pic:spPr>
                </pic:pic>
              </a:graphicData>
            </a:graphic>
          </wp:inline>
        </w:drawing>
      </w:r>
    </w:p>
    <w:p w14:paraId="24E0ADD0"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Figure S3. Flow diagram for the mass univariate regression (MUR) analysis of the 3D ASAT thickness phenotypes. The 3D phenotypes are used to construct the linear regression model. MUR analysis produces parameter estimates (</w:t>
      </w:r>
      <m:oMath>
        <m:acc>
          <m:accPr>
            <m:ctrlPr>
              <w:rPr>
                <w:rFonts w:ascii="Cambria Math" w:hAnsi="Cambria Math"/>
              </w:rPr>
            </m:ctrlPr>
          </m:accPr>
          <m:e>
            <m:r>
              <w:rPr>
                <w:rFonts w:ascii="Cambria Math" w:hAnsi="Cambria Math"/>
              </w:rPr>
              <m:t>β</m:t>
            </m:r>
          </m:e>
        </m:acc>
      </m:oMath>
      <w:r>
        <w:rPr>
          <w:rFonts w:ascii="Calibri" w:eastAsia="Calibri" w:hAnsi="Calibri" w:cs="Calibri"/>
          <w:sz w:val="24"/>
          <w:szCs w:val="24"/>
        </w:rPr>
        <w:t xml:space="preserve">) and their null distribution via permutation. Threshold free cluster enhancement (TFCE) is applied to the </w:t>
      </w:r>
      <m:oMath>
        <m:r>
          <w:rPr>
            <w:rFonts w:ascii="Calibri" w:eastAsia="Calibri" w:hAnsi="Calibri" w:cs="Calibri"/>
            <w:sz w:val="24"/>
            <w:szCs w:val="24"/>
          </w:rPr>
          <m:t>t</m:t>
        </m:r>
      </m:oMath>
      <w:r>
        <w:rPr>
          <w:rFonts w:ascii="Calibri" w:eastAsia="Calibri" w:hAnsi="Calibri" w:cs="Calibri"/>
          <w:sz w:val="24"/>
          <w:szCs w:val="24"/>
        </w:rPr>
        <w:t xml:space="preserve">-statistics from the regression analysis to produce a significance threshold. The associated TFCE-derived </w:t>
      </w:r>
      <m:oMath>
        <m:r>
          <w:rPr>
            <w:rFonts w:ascii="Calibri" w:eastAsia="Calibri" w:hAnsi="Calibri" w:cs="Calibri"/>
            <w:sz w:val="24"/>
            <w:szCs w:val="24"/>
          </w:rPr>
          <m:t>p</m:t>
        </m:r>
      </m:oMath>
      <w:r>
        <w:rPr>
          <w:rFonts w:ascii="Calibri" w:eastAsia="Calibri" w:hAnsi="Calibri" w:cs="Calibri"/>
          <w:sz w:val="24"/>
          <w:szCs w:val="24"/>
        </w:rPr>
        <w:t>-values are corrected for multiple comparisons and mapped onto the ASAT template mesh for visualisation. This diagram was modified from Biffi et al.</w:t>
      </w:r>
      <w:hyperlink r:id="rId18">
        <w:r w:rsidR="007E572B">
          <w:rPr>
            <w:rFonts w:ascii="Calibri" w:eastAsia="Calibri" w:hAnsi="Calibri" w:cs="Calibri"/>
            <w:color w:val="000000"/>
            <w:sz w:val="24"/>
            <w:szCs w:val="24"/>
            <w:vertAlign w:val="superscript"/>
          </w:rPr>
          <w:t>6</w:t>
        </w:r>
      </w:hyperlink>
      <w:r>
        <w:rPr>
          <w:rFonts w:ascii="Calibri" w:eastAsia="Calibri" w:hAnsi="Calibri" w:cs="Calibri"/>
          <w:sz w:val="24"/>
          <w:szCs w:val="24"/>
        </w:rPr>
        <w:t>.</w:t>
      </w:r>
    </w:p>
    <w:p w14:paraId="5A78C539"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5DC6F4D2" wp14:editId="34AB100E">
            <wp:extent cx="5731200" cy="8280400"/>
            <wp:effectExtent l="0" t="0" r="0" b="0"/>
            <wp:docPr id="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9"/>
                    <a:srcRect/>
                    <a:stretch>
                      <a:fillRect/>
                    </a:stretch>
                  </pic:blipFill>
                  <pic:spPr>
                    <a:xfrm>
                      <a:off x="0" y="0"/>
                      <a:ext cx="5731200" cy="8280400"/>
                    </a:xfrm>
                    <a:prstGeom prst="rect">
                      <a:avLst/>
                    </a:prstGeom>
                    <a:ln/>
                  </pic:spPr>
                </pic:pic>
              </a:graphicData>
            </a:graphic>
          </wp:inline>
        </w:drawing>
      </w:r>
    </w:p>
    <w:p w14:paraId="6633128B"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lastRenderedPageBreak/>
        <w:t>Figure S4. Histograms of the statistically significant regression coefficients across the vertices (approximately 90,000) of the ASAT for each covariate in the model on the full cohort separated by gender. Positive associations are in red and negative associations in blue, with female participants (N=19,418) in a lighter colour and male participants (N=18,470) in a darker colour. The regression (beta) coefficients are provided with units in standard deviations for each covariate.</w:t>
      </w:r>
    </w:p>
    <w:p w14:paraId="505B3B7B" w14:textId="77777777" w:rsidR="007E572B" w:rsidRDefault="007E572B">
      <w:pPr>
        <w:spacing w:line="480" w:lineRule="auto"/>
        <w:jc w:val="both"/>
        <w:rPr>
          <w:rFonts w:ascii="Calibri" w:eastAsia="Calibri" w:hAnsi="Calibri" w:cs="Calibri"/>
          <w:sz w:val="24"/>
          <w:szCs w:val="24"/>
        </w:rPr>
      </w:pPr>
    </w:p>
    <w:p w14:paraId="5705C77B"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2193B4EA" wp14:editId="3A9047F4">
            <wp:extent cx="5691188" cy="6938712"/>
            <wp:effectExtent l="0" t="0" r="0" 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0"/>
                    <a:srcRect/>
                    <a:stretch>
                      <a:fillRect/>
                    </a:stretch>
                  </pic:blipFill>
                  <pic:spPr>
                    <a:xfrm>
                      <a:off x="0" y="0"/>
                      <a:ext cx="5691188" cy="6938712"/>
                    </a:xfrm>
                    <a:prstGeom prst="rect">
                      <a:avLst/>
                    </a:prstGeom>
                    <a:ln/>
                  </pic:spPr>
                </pic:pic>
              </a:graphicData>
            </a:graphic>
          </wp:inline>
        </w:drawing>
      </w:r>
    </w:p>
    <w:p w14:paraId="13C2A5CF"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 xml:space="preserve">Figure S5. Three-dimensional ASAT morphology, showing the median changes in the ASAT thickness between the first and second imaging visit for the male (N=18,470) and female participants (N=19,418). Projections are anterior (left plots) and posterior views (right plots). White contour lines indicate the boundary between statistically significant regions (p &lt; 0.05) </w:t>
      </w:r>
      <w:r>
        <w:rPr>
          <w:rFonts w:ascii="Calibri" w:eastAsia="Calibri" w:hAnsi="Calibri" w:cs="Calibri"/>
          <w:sz w:val="24"/>
          <w:szCs w:val="24"/>
        </w:rPr>
        <w:lastRenderedPageBreak/>
        <w:t xml:space="preserve">after correction for multiple testing, with positive changes shown in bright red and negative changes shown in bright blue. </w:t>
      </w:r>
    </w:p>
    <w:p w14:paraId="2D5FADCC" w14:textId="77777777" w:rsidR="007E572B" w:rsidRDefault="007E572B">
      <w:pPr>
        <w:spacing w:line="480" w:lineRule="auto"/>
        <w:jc w:val="both"/>
        <w:rPr>
          <w:rFonts w:ascii="Calibri" w:eastAsia="Calibri" w:hAnsi="Calibri" w:cs="Calibri"/>
          <w:sz w:val="24"/>
          <w:szCs w:val="24"/>
        </w:rPr>
      </w:pPr>
    </w:p>
    <w:p w14:paraId="4A9B3C68" w14:textId="77777777" w:rsidR="007E572B" w:rsidRDefault="00000000">
      <w:pPr>
        <w:spacing w:line="240" w:lineRule="auto"/>
        <w:jc w:val="both"/>
        <w:rPr>
          <w:rFonts w:ascii="Calibri" w:eastAsia="Calibri" w:hAnsi="Calibri" w:cs="Calibri"/>
          <w:sz w:val="24"/>
          <w:szCs w:val="24"/>
        </w:rPr>
      </w:pPr>
      <w:r>
        <w:rPr>
          <w:rFonts w:ascii="Calibri" w:eastAsia="Calibri" w:hAnsi="Calibri" w:cs="Calibri"/>
          <w:noProof/>
          <w:sz w:val="24"/>
          <w:szCs w:val="24"/>
        </w:rPr>
        <w:drawing>
          <wp:inline distT="114300" distB="114300" distL="114300" distR="114300" wp14:anchorId="4C253867" wp14:editId="4AF19C50">
            <wp:extent cx="5731200" cy="4165600"/>
            <wp:effectExtent l="0" t="0" r="0" b="0"/>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1"/>
                    <a:srcRect/>
                    <a:stretch>
                      <a:fillRect/>
                    </a:stretch>
                  </pic:blipFill>
                  <pic:spPr>
                    <a:xfrm>
                      <a:off x="0" y="0"/>
                      <a:ext cx="5731200" cy="4165600"/>
                    </a:xfrm>
                    <a:prstGeom prst="rect">
                      <a:avLst/>
                    </a:prstGeom>
                    <a:ln/>
                  </pic:spPr>
                </pic:pic>
              </a:graphicData>
            </a:graphic>
          </wp:inline>
        </w:drawing>
      </w:r>
    </w:p>
    <w:p w14:paraId="40693EB1"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Figure S6. Hazard ratios and 95% CIs for CVD and hypertension outcomes for the female participants, adjusted for age, ethnicity, height, grip strength in the dominant hand, Townsend deprivation index (TDI), alcohol intake frequency, smoking status, vigorous MET, VAT and ASAT volume. Statistically significant associations (p &lt; 0.05) are shown in red.</w:t>
      </w:r>
    </w:p>
    <w:p w14:paraId="2096EF22" w14:textId="77777777" w:rsidR="007E572B" w:rsidRDefault="007E572B">
      <w:pPr>
        <w:spacing w:line="480" w:lineRule="auto"/>
        <w:jc w:val="both"/>
        <w:rPr>
          <w:rFonts w:ascii="Calibri" w:eastAsia="Calibri" w:hAnsi="Calibri" w:cs="Calibri"/>
          <w:sz w:val="24"/>
          <w:szCs w:val="24"/>
        </w:rPr>
      </w:pPr>
    </w:p>
    <w:p w14:paraId="5960B53B" w14:textId="77777777" w:rsidR="007E572B" w:rsidRDefault="00000000">
      <w:pPr>
        <w:spacing w:line="240" w:lineRule="auto"/>
        <w:jc w:val="both"/>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32067B2F" wp14:editId="3DB096E9">
            <wp:extent cx="5731200" cy="7289800"/>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2"/>
                    <a:srcRect/>
                    <a:stretch>
                      <a:fillRect/>
                    </a:stretch>
                  </pic:blipFill>
                  <pic:spPr>
                    <a:xfrm>
                      <a:off x="0" y="0"/>
                      <a:ext cx="5731200" cy="7289800"/>
                    </a:xfrm>
                    <a:prstGeom prst="rect">
                      <a:avLst/>
                    </a:prstGeom>
                    <a:ln/>
                  </pic:spPr>
                </pic:pic>
              </a:graphicData>
            </a:graphic>
          </wp:inline>
        </w:drawing>
      </w:r>
    </w:p>
    <w:p w14:paraId="6E157604"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Figure S7. Hazard ratios and 95% CIs for T2D, CVD and hypertension outcomes for the male participants, adjusted for age, ethnicity, height, grip strength in the dominant hand, Townsend deprivation index (TDI), alcohol intake frequency, smoking status, vigorous MET, VAT and ASAT volume. Statistically significant associations (p &lt; 0.05) are shown in red.</w:t>
      </w:r>
    </w:p>
    <w:p w14:paraId="485D72A3" w14:textId="77777777" w:rsidR="007E572B" w:rsidRDefault="00000000">
      <w:pPr>
        <w:spacing w:line="240" w:lineRule="auto"/>
        <w:jc w:val="both"/>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3A9A4482" wp14:editId="4B42FD3A">
            <wp:extent cx="5731200" cy="5143500"/>
            <wp:effectExtent l="0" t="0" r="0" b="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3"/>
                    <a:srcRect/>
                    <a:stretch>
                      <a:fillRect/>
                    </a:stretch>
                  </pic:blipFill>
                  <pic:spPr>
                    <a:xfrm>
                      <a:off x="0" y="0"/>
                      <a:ext cx="5731200" cy="5143500"/>
                    </a:xfrm>
                    <a:prstGeom prst="rect">
                      <a:avLst/>
                    </a:prstGeom>
                    <a:ln/>
                  </pic:spPr>
                </pic:pic>
              </a:graphicData>
            </a:graphic>
          </wp:inline>
        </w:drawing>
      </w:r>
    </w:p>
    <w:p w14:paraId="4403A25E" w14:textId="77777777" w:rsidR="007E572B" w:rsidRDefault="007E572B">
      <w:pPr>
        <w:spacing w:line="240" w:lineRule="auto"/>
        <w:jc w:val="both"/>
        <w:rPr>
          <w:rFonts w:ascii="Calibri" w:eastAsia="Calibri" w:hAnsi="Calibri" w:cs="Calibri"/>
          <w:sz w:val="24"/>
          <w:szCs w:val="24"/>
        </w:rPr>
      </w:pPr>
    </w:p>
    <w:p w14:paraId="5A78D11B"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 xml:space="preserve">Figure S8. Hazard ratios and 95% CIs for T2D outcomes for the male participants, adjusted for age, ethnicity, height, grip strength in the dominant hand, Townsend deprivation index (TDI), alcohol intake frequency, smoking status, vigorous MET, VAT </w:t>
      </w:r>
      <w:proofErr w:type="gramStart"/>
      <w:r>
        <w:rPr>
          <w:rFonts w:ascii="Calibri" w:eastAsia="Calibri" w:hAnsi="Calibri" w:cs="Calibri"/>
          <w:sz w:val="24"/>
          <w:szCs w:val="24"/>
        </w:rPr>
        <w:t>volume,  and</w:t>
      </w:r>
      <w:proofErr w:type="gramEnd"/>
      <w:r>
        <w:rPr>
          <w:rFonts w:ascii="Calibri" w:eastAsia="Calibri" w:hAnsi="Calibri" w:cs="Calibri"/>
          <w:sz w:val="24"/>
          <w:szCs w:val="24"/>
        </w:rPr>
        <w:t xml:space="preserve"> the first four PC scores for ASAT thickness. Statistically significant associations (p &lt; 0.05) are shown in red. The PCs are visualised below the hazard ratios of the male participants, showing the minimum and maximum deviations from the average male ASAT thickness mapped onto the average male shape. </w:t>
      </w:r>
    </w:p>
    <w:p w14:paraId="67FAD44B" w14:textId="77777777" w:rsidR="007E572B" w:rsidRDefault="007E572B">
      <w:pPr>
        <w:spacing w:line="480" w:lineRule="auto"/>
        <w:jc w:val="both"/>
        <w:rPr>
          <w:rFonts w:ascii="Calibri" w:eastAsia="Calibri" w:hAnsi="Calibri" w:cs="Calibri"/>
          <w:sz w:val="24"/>
          <w:szCs w:val="24"/>
        </w:rPr>
      </w:pPr>
    </w:p>
    <w:p w14:paraId="1CAF3922" w14:textId="06CBA7D8" w:rsidR="007E572B" w:rsidRDefault="00000000">
      <w:pPr>
        <w:spacing w:line="480" w:lineRule="auto"/>
        <w:jc w:val="both"/>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63F97747" wp14:editId="7461DD7E">
            <wp:extent cx="5731200" cy="3225800"/>
            <wp:effectExtent l="0" t="0" r="0" b="0"/>
            <wp:docPr id="1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4"/>
                    <a:srcRect/>
                    <a:stretch>
                      <a:fillRect/>
                    </a:stretch>
                  </pic:blipFill>
                  <pic:spPr>
                    <a:xfrm>
                      <a:off x="0" y="0"/>
                      <a:ext cx="5731200" cy="3225800"/>
                    </a:xfrm>
                    <a:prstGeom prst="rect">
                      <a:avLst/>
                    </a:prstGeom>
                    <a:ln/>
                  </pic:spPr>
                </pic:pic>
              </a:graphicData>
            </a:graphic>
          </wp:inline>
        </w:drawing>
      </w:r>
      <w:r>
        <w:rPr>
          <w:rFonts w:ascii="Calibri" w:eastAsia="Calibri" w:hAnsi="Calibri" w:cs="Calibri"/>
          <w:sz w:val="24"/>
          <w:szCs w:val="24"/>
        </w:rPr>
        <w:t>Figure S9. Hazard ratios and 95% CIs for CVD and hypertension outcomes for the male and female participants, adjusted for age, ethnicity, height, grip strength in the dominant hand, Townsend deprivation index (TDI), alcohol intake frequency, smoking status, vigorous MET, VAT volume, and the first 25 PC scores, accounting for over 80% of the variation in ASAT thickness. Statistically significant associations (p &lt; 0.05) are shown in red</w:t>
      </w:r>
      <w:r w:rsidR="003611F4">
        <w:rPr>
          <w:rFonts w:ascii="Calibri" w:eastAsia="Calibri" w:hAnsi="Calibri" w:cs="Calibri"/>
          <w:sz w:val="24"/>
          <w:szCs w:val="24"/>
        </w:rPr>
        <w:t xml:space="preserve"> for women and blue for men</w:t>
      </w:r>
      <w:r>
        <w:rPr>
          <w:rFonts w:ascii="Calibri" w:eastAsia="Calibri" w:hAnsi="Calibri" w:cs="Calibri"/>
          <w:sz w:val="24"/>
          <w:szCs w:val="24"/>
        </w:rPr>
        <w:t xml:space="preserve">. The PCs are visualised below the hazard ratios of the male participants, showing the minimum and maximum deviations from the average male ASAT thickness mapped onto the average male and female shape. </w:t>
      </w:r>
    </w:p>
    <w:p w14:paraId="092F98CF" w14:textId="77777777" w:rsidR="007E572B" w:rsidRDefault="007E572B">
      <w:pPr>
        <w:spacing w:line="480" w:lineRule="auto"/>
      </w:pPr>
    </w:p>
    <w:p w14:paraId="0205ED4F" w14:textId="77777777" w:rsidR="007E572B" w:rsidRDefault="00000000">
      <w:pPr>
        <w:spacing w:line="480" w:lineRule="auto"/>
        <w:jc w:val="both"/>
        <w:rPr>
          <w:rFonts w:ascii="Calibri" w:eastAsia="Calibri" w:hAnsi="Calibri" w:cs="Calibri"/>
          <w:sz w:val="24"/>
          <w:szCs w:val="24"/>
        </w:rPr>
      </w:pPr>
      <w:r>
        <w:rPr>
          <w:rFonts w:ascii="Calibri" w:eastAsia="Calibri" w:hAnsi="Calibri" w:cs="Calibri"/>
          <w:sz w:val="24"/>
          <w:szCs w:val="24"/>
        </w:rPr>
        <w:t>Supplementary Videos</w:t>
      </w:r>
    </w:p>
    <w:p w14:paraId="386D9457" w14:textId="77777777" w:rsidR="007E572B" w:rsidRDefault="00000000">
      <w:pPr>
        <w:spacing w:line="480" w:lineRule="auto"/>
        <w:jc w:val="both"/>
      </w:pPr>
      <w:r>
        <w:rPr>
          <w:noProof/>
        </w:rPr>
        <w:lastRenderedPageBreak/>
        <w:drawing>
          <wp:inline distT="114300" distB="114300" distL="114300" distR="114300" wp14:anchorId="697B30E5" wp14:editId="360FA06D">
            <wp:extent cx="4067175" cy="3705225"/>
            <wp:effectExtent l="0" t="0" r="0" b="0"/>
            <wp:docPr id="7" name="image5.gif"/>
            <wp:cNvGraphicFramePr/>
            <a:graphic xmlns:a="http://schemas.openxmlformats.org/drawingml/2006/main">
              <a:graphicData uri="http://schemas.openxmlformats.org/drawingml/2006/picture">
                <pic:pic xmlns:pic="http://schemas.openxmlformats.org/drawingml/2006/picture">
                  <pic:nvPicPr>
                    <pic:cNvPr id="0" name="image5.gif"/>
                    <pic:cNvPicPr preferRelativeResize="0"/>
                  </pic:nvPicPr>
                  <pic:blipFill>
                    <a:blip r:embed="rId25"/>
                    <a:srcRect l="27408" r="29555"/>
                    <a:stretch>
                      <a:fillRect/>
                    </a:stretch>
                  </pic:blipFill>
                  <pic:spPr>
                    <a:xfrm>
                      <a:off x="0" y="0"/>
                      <a:ext cx="4067175" cy="3705225"/>
                    </a:xfrm>
                    <a:prstGeom prst="rect">
                      <a:avLst/>
                    </a:prstGeom>
                    <a:ln/>
                  </pic:spPr>
                </pic:pic>
              </a:graphicData>
            </a:graphic>
          </wp:inline>
        </w:drawing>
      </w:r>
      <w:r>
        <w:rPr>
          <w:noProof/>
        </w:rPr>
        <w:drawing>
          <wp:inline distT="114300" distB="114300" distL="114300" distR="114300" wp14:anchorId="108A4A45" wp14:editId="184F42ED">
            <wp:extent cx="1550296" cy="370078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1564699" cy="3735163"/>
                    </a:xfrm>
                    <a:prstGeom prst="rect">
                      <a:avLst/>
                    </a:prstGeom>
                    <a:ln/>
                  </pic:spPr>
                </pic:pic>
              </a:graphicData>
            </a:graphic>
          </wp:inline>
        </w:drawing>
      </w:r>
    </w:p>
    <w:p w14:paraId="5EE0A0A0" w14:textId="1376D976" w:rsidR="007E572B" w:rsidRDefault="00000000">
      <w:pPr>
        <w:spacing w:line="480" w:lineRule="auto"/>
        <w:jc w:val="both"/>
        <w:rPr>
          <w:rFonts w:ascii="Calibri" w:eastAsia="Calibri" w:hAnsi="Calibri" w:cs="Calibri"/>
          <w:sz w:val="24"/>
          <w:szCs w:val="24"/>
        </w:rPr>
      </w:pPr>
      <w:r>
        <w:rPr>
          <w:rFonts w:ascii="Calibri" w:eastAsia="Calibri" w:hAnsi="Calibri" w:cs="Calibri"/>
          <w:b/>
          <w:sz w:val="24"/>
          <w:szCs w:val="24"/>
        </w:rPr>
        <w:t xml:space="preserve">Video S1. </w:t>
      </w:r>
      <w:r>
        <w:rPr>
          <w:rFonts w:ascii="Calibri" w:eastAsia="Calibri" w:hAnsi="Calibri" w:cs="Calibri"/>
          <w:sz w:val="24"/>
          <w:szCs w:val="24"/>
        </w:rPr>
        <w:t>The first 4 modes of shape variation for the ASAT for each gender</w:t>
      </w:r>
      <w:r w:rsidR="00CF54FB">
        <w:rPr>
          <w:rFonts w:ascii="Calibri" w:eastAsia="Calibri" w:hAnsi="Calibri" w:cs="Calibri"/>
          <w:sz w:val="24"/>
          <w:szCs w:val="24"/>
        </w:rPr>
        <w:t xml:space="preserve">. </w:t>
      </w:r>
      <w:r>
        <w:rPr>
          <w:rFonts w:ascii="Calibri" w:eastAsia="Calibri" w:hAnsi="Calibri" w:cs="Calibri"/>
          <w:sz w:val="24"/>
          <w:szCs w:val="24"/>
        </w:rPr>
        <w:t xml:space="preserve">The mean shape </w:t>
      </w:r>
      <w:r w:rsidR="00CF54FB">
        <w:rPr>
          <w:rFonts w:ascii="Calibri" w:eastAsia="Calibri" w:hAnsi="Calibri" w:cs="Calibri"/>
          <w:sz w:val="24"/>
          <w:szCs w:val="24"/>
        </w:rPr>
        <w:t xml:space="preserve">(for each gender) </w:t>
      </w:r>
      <w:r>
        <w:rPr>
          <w:rFonts w:ascii="Calibri" w:eastAsia="Calibri" w:hAnsi="Calibri" w:cs="Calibri"/>
          <w:sz w:val="24"/>
          <w:szCs w:val="24"/>
        </w:rPr>
        <w:t>and the shape at the +/- 3 standard deviations are displayed for each mode showing the ASAT Thickness change in mm.</w:t>
      </w:r>
    </w:p>
    <w:p w14:paraId="6A7F14DB" w14:textId="77777777" w:rsidR="007E572B" w:rsidRDefault="007E572B">
      <w:pPr>
        <w:spacing w:line="480" w:lineRule="auto"/>
        <w:jc w:val="both"/>
      </w:pPr>
    </w:p>
    <w:p w14:paraId="285003A1" w14:textId="77777777" w:rsidR="007E572B" w:rsidRDefault="00000000">
      <w:pPr>
        <w:widowControl w:val="0"/>
        <w:spacing w:line="480" w:lineRule="auto"/>
        <w:jc w:val="both"/>
        <w:rPr>
          <w:rFonts w:ascii="Calibri" w:eastAsia="Calibri" w:hAnsi="Calibri" w:cs="Calibri"/>
          <w:color w:val="000000"/>
          <w:sz w:val="24"/>
          <w:szCs w:val="24"/>
        </w:rPr>
      </w:pPr>
      <w:r>
        <w:rPr>
          <w:rFonts w:ascii="Calibri" w:eastAsia="Calibri" w:hAnsi="Calibri" w:cs="Calibri"/>
          <w:b/>
          <w:sz w:val="24"/>
          <w:szCs w:val="24"/>
        </w:rPr>
        <w:t>References</w:t>
      </w:r>
    </w:p>
    <w:p w14:paraId="20A80AD0" w14:textId="77777777" w:rsidR="007E572B" w:rsidRDefault="00000000">
      <w:pPr>
        <w:widowControl w:val="0"/>
        <w:pBdr>
          <w:top w:val="nil"/>
          <w:left w:val="nil"/>
          <w:bottom w:val="nil"/>
          <w:right w:val="nil"/>
          <w:between w:val="nil"/>
        </w:pBdr>
        <w:spacing w:before="240"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1 </w:t>
      </w:r>
      <w:r>
        <w:rPr>
          <w:rFonts w:ascii="Calibri" w:eastAsia="Calibri" w:hAnsi="Calibri" w:cs="Calibri"/>
          <w:color w:val="000000"/>
          <w:sz w:val="24"/>
          <w:szCs w:val="24"/>
        </w:rPr>
        <w:tab/>
      </w:r>
      <w:hyperlink r:id="rId27">
        <w:proofErr w:type="spellStart"/>
        <w:r w:rsidR="007E572B">
          <w:rPr>
            <w:rFonts w:ascii="Calibri" w:eastAsia="Calibri" w:hAnsi="Calibri" w:cs="Calibri"/>
            <w:color w:val="000000"/>
            <w:sz w:val="24"/>
            <w:szCs w:val="24"/>
          </w:rPr>
          <w:t>Thanaj</w:t>
        </w:r>
        <w:proofErr w:type="spellEnd"/>
        <w:r w:rsidR="007E572B">
          <w:rPr>
            <w:rFonts w:ascii="Calibri" w:eastAsia="Calibri" w:hAnsi="Calibri" w:cs="Calibri"/>
            <w:color w:val="000000"/>
            <w:sz w:val="24"/>
            <w:szCs w:val="24"/>
          </w:rPr>
          <w:t xml:space="preserve"> M, </w:t>
        </w:r>
        <w:proofErr w:type="spellStart"/>
        <w:r w:rsidR="007E572B">
          <w:rPr>
            <w:rFonts w:ascii="Calibri" w:eastAsia="Calibri" w:hAnsi="Calibri" w:cs="Calibri"/>
            <w:color w:val="000000"/>
            <w:sz w:val="24"/>
            <w:szCs w:val="24"/>
          </w:rPr>
          <w:t>Basty</w:t>
        </w:r>
        <w:proofErr w:type="spellEnd"/>
        <w:r w:rsidR="007E572B">
          <w:rPr>
            <w:rFonts w:ascii="Calibri" w:eastAsia="Calibri" w:hAnsi="Calibri" w:cs="Calibri"/>
            <w:color w:val="000000"/>
            <w:sz w:val="24"/>
            <w:szCs w:val="24"/>
          </w:rPr>
          <w:t xml:space="preserve"> N, </w:t>
        </w:r>
        <w:proofErr w:type="spellStart"/>
        <w:r w:rsidR="007E572B">
          <w:rPr>
            <w:rFonts w:ascii="Calibri" w:eastAsia="Calibri" w:hAnsi="Calibri" w:cs="Calibri"/>
            <w:color w:val="000000"/>
            <w:sz w:val="24"/>
            <w:szCs w:val="24"/>
          </w:rPr>
          <w:t>Whitcher</w:t>
        </w:r>
        <w:proofErr w:type="spellEnd"/>
        <w:r w:rsidR="007E572B">
          <w:rPr>
            <w:rFonts w:ascii="Calibri" w:eastAsia="Calibri" w:hAnsi="Calibri" w:cs="Calibri"/>
            <w:color w:val="000000"/>
            <w:sz w:val="24"/>
            <w:szCs w:val="24"/>
          </w:rPr>
          <w:t xml:space="preserve"> B, Sorokin EP, Liu Y, Srinivasan R </w:t>
        </w:r>
      </w:hyperlink>
      <w:hyperlink r:id="rId28">
        <w:r w:rsidR="007E572B">
          <w:rPr>
            <w:rFonts w:ascii="Calibri" w:eastAsia="Calibri" w:hAnsi="Calibri" w:cs="Calibri"/>
            <w:i/>
            <w:color w:val="000000"/>
            <w:sz w:val="24"/>
            <w:szCs w:val="24"/>
          </w:rPr>
          <w:t>et al.</w:t>
        </w:r>
      </w:hyperlink>
      <w:hyperlink r:id="rId29">
        <w:r w:rsidR="007E572B">
          <w:rPr>
            <w:rFonts w:ascii="Calibri" w:eastAsia="Calibri" w:hAnsi="Calibri" w:cs="Calibri"/>
            <w:color w:val="000000"/>
            <w:sz w:val="24"/>
            <w:szCs w:val="24"/>
          </w:rPr>
          <w:t xml:space="preserve"> Precision MRI phenotyping of muscle volume and quality at a population scale. </w:t>
        </w:r>
        <w:proofErr w:type="spellStart"/>
        <w:r w:rsidR="007E572B">
          <w:rPr>
            <w:rFonts w:ascii="Calibri" w:eastAsia="Calibri" w:hAnsi="Calibri" w:cs="Calibri"/>
            <w:color w:val="000000"/>
            <w:sz w:val="24"/>
            <w:szCs w:val="24"/>
          </w:rPr>
          <w:t>medRxiv</w:t>
        </w:r>
        <w:proofErr w:type="spellEnd"/>
        <w:r w:rsidR="007E572B">
          <w:rPr>
            <w:rFonts w:ascii="Calibri" w:eastAsia="Calibri" w:hAnsi="Calibri" w:cs="Calibri"/>
            <w:color w:val="000000"/>
            <w:sz w:val="24"/>
            <w:szCs w:val="24"/>
          </w:rPr>
          <w:t>. 2023</w:t>
        </w:r>
        <w:proofErr w:type="gramStart"/>
        <w:r w:rsidR="007E572B">
          <w:rPr>
            <w:rFonts w:ascii="Calibri" w:eastAsia="Calibri" w:hAnsi="Calibri" w:cs="Calibri"/>
            <w:color w:val="000000"/>
            <w:sz w:val="24"/>
            <w:szCs w:val="24"/>
          </w:rPr>
          <w:t>; :</w:t>
        </w:r>
        <w:proofErr w:type="gramEnd"/>
        <w:r w:rsidR="007E572B">
          <w:rPr>
            <w:rFonts w:ascii="Calibri" w:eastAsia="Calibri" w:hAnsi="Calibri" w:cs="Calibri"/>
            <w:color w:val="000000"/>
            <w:sz w:val="24"/>
            <w:szCs w:val="24"/>
          </w:rPr>
          <w:t xml:space="preserve"> 2023.03.02.23286689.</w:t>
        </w:r>
      </w:hyperlink>
    </w:p>
    <w:p w14:paraId="69B38070" w14:textId="77777777" w:rsidR="007E572B" w:rsidRDefault="00000000">
      <w:pPr>
        <w:widowControl w:val="0"/>
        <w:pBdr>
          <w:top w:val="nil"/>
          <w:left w:val="nil"/>
          <w:bottom w:val="nil"/>
          <w:right w:val="nil"/>
          <w:between w:val="nil"/>
        </w:pBdr>
        <w:spacing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2 </w:t>
      </w:r>
      <w:r>
        <w:rPr>
          <w:rFonts w:ascii="Calibri" w:eastAsia="Calibri" w:hAnsi="Calibri" w:cs="Calibri"/>
          <w:color w:val="000000"/>
          <w:sz w:val="24"/>
          <w:szCs w:val="24"/>
        </w:rPr>
        <w:tab/>
      </w:r>
      <w:hyperlink r:id="rId30">
        <w:r w:rsidR="007E572B">
          <w:rPr>
            <w:rFonts w:ascii="Calibri" w:eastAsia="Calibri" w:hAnsi="Calibri" w:cs="Calibri"/>
            <w:color w:val="000000"/>
            <w:sz w:val="24"/>
            <w:szCs w:val="24"/>
          </w:rPr>
          <w:t xml:space="preserve">Agrawal S, Luan J ’an, Cummings BB, Weiss EJ, Wareham NJ, Khera AV. Relationship of Fat Mass Ratio, a Biomarker for Lipodystrophy, With Cardiometabolic Traits. </w:t>
        </w:r>
      </w:hyperlink>
      <w:hyperlink r:id="rId31">
        <w:r w:rsidR="007E572B">
          <w:rPr>
            <w:rFonts w:ascii="Calibri" w:eastAsia="Calibri" w:hAnsi="Calibri" w:cs="Calibri"/>
            <w:i/>
            <w:color w:val="000000"/>
            <w:sz w:val="24"/>
            <w:szCs w:val="24"/>
          </w:rPr>
          <w:t>Diabetes</w:t>
        </w:r>
      </w:hyperlink>
      <w:hyperlink r:id="rId32">
        <w:r w:rsidR="007E572B">
          <w:rPr>
            <w:rFonts w:ascii="Calibri" w:eastAsia="Calibri" w:hAnsi="Calibri" w:cs="Calibri"/>
            <w:color w:val="000000"/>
            <w:sz w:val="24"/>
            <w:szCs w:val="24"/>
          </w:rPr>
          <w:t xml:space="preserve"> 2024; </w:t>
        </w:r>
      </w:hyperlink>
      <w:hyperlink r:id="rId33">
        <w:r w:rsidR="007E572B">
          <w:rPr>
            <w:rFonts w:ascii="Calibri" w:eastAsia="Calibri" w:hAnsi="Calibri" w:cs="Calibri"/>
            <w:b/>
            <w:color w:val="000000"/>
            <w:sz w:val="24"/>
            <w:szCs w:val="24"/>
          </w:rPr>
          <w:t>73</w:t>
        </w:r>
      </w:hyperlink>
      <w:hyperlink r:id="rId34">
        <w:r w:rsidR="007E572B">
          <w:rPr>
            <w:rFonts w:ascii="Calibri" w:eastAsia="Calibri" w:hAnsi="Calibri" w:cs="Calibri"/>
            <w:color w:val="000000"/>
            <w:sz w:val="24"/>
            <w:szCs w:val="24"/>
          </w:rPr>
          <w:t>: 1099–1111.</w:t>
        </w:r>
      </w:hyperlink>
    </w:p>
    <w:p w14:paraId="26532F57" w14:textId="77777777" w:rsidR="007E572B" w:rsidRDefault="00000000">
      <w:pPr>
        <w:widowControl w:val="0"/>
        <w:pBdr>
          <w:top w:val="nil"/>
          <w:left w:val="nil"/>
          <w:bottom w:val="nil"/>
          <w:right w:val="nil"/>
          <w:between w:val="nil"/>
        </w:pBdr>
        <w:spacing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3 </w:t>
      </w:r>
      <w:r>
        <w:rPr>
          <w:rFonts w:ascii="Calibri" w:eastAsia="Calibri" w:hAnsi="Calibri" w:cs="Calibri"/>
          <w:color w:val="000000"/>
          <w:sz w:val="24"/>
          <w:szCs w:val="24"/>
        </w:rPr>
        <w:tab/>
      </w:r>
      <w:hyperlink r:id="rId35">
        <w:proofErr w:type="spellStart"/>
        <w:r w:rsidR="007E572B">
          <w:rPr>
            <w:rFonts w:ascii="Calibri" w:eastAsia="Calibri" w:hAnsi="Calibri" w:cs="Calibri"/>
            <w:color w:val="000000"/>
            <w:sz w:val="24"/>
            <w:szCs w:val="24"/>
          </w:rPr>
          <w:t>Thanaj</w:t>
        </w:r>
        <w:proofErr w:type="spellEnd"/>
        <w:r w:rsidR="007E572B">
          <w:rPr>
            <w:rFonts w:ascii="Calibri" w:eastAsia="Calibri" w:hAnsi="Calibri" w:cs="Calibri"/>
            <w:color w:val="000000"/>
            <w:sz w:val="24"/>
            <w:szCs w:val="24"/>
          </w:rPr>
          <w:t xml:space="preserve"> M, </w:t>
        </w:r>
        <w:proofErr w:type="spellStart"/>
        <w:r w:rsidR="007E572B">
          <w:rPr>
            <w:rFonts w:ascii="Calibri" w:eastAsia="Calibri" w:hAnsi="Calibri" w:cs="Calibri"/>
            <w:color w:val="000000"/>
            <w:sz w:val="24"/>
            <w:szCs w:val="24"/>
          </w:rPr>
          <w:t>Basty</w:t>
        </w:r>
        <w:proofErr w:type="spellEnd"/>
        <w:r w:rsidR="007E572B">
          <w:rPr>
            <w:rFonts w:ascii="Calibri" w:eastAsia="Calibri" w:hAnsi="Calibri" w:cs="Calibri"/>
            <w:color w:val="000000"/>
            <w:sz w:val="24"/>
            <w:szCs w:val="24"/>
          </w:rPr>
          <w:t xml:space="preserve"> N, </w:t>
        </w:r>
        <w:proofErr w:type="spellStart"/>
        <w:r w:rsidR="007E572B">
          <w:rPr>
            <w:rFonts w:ascii="Calibri" w:eastAsia="Calibri" w:hAnsi="Calibri" w:cs="Calibri"/>
            <w:color w:val="000000"/>
            <w:sz w:val="24"/>
            <w:szCs w:val="24"/>
          </w:rPr>
          <w:t>Cule</w:t>
        </w:r>
        <w:proofErr w:type="spellEnd"/>
        <w:r w:rsidR="007E572B">
          <w:rPr>
            <w:rFonts w:ascii="Calibri" w:eastAsia="Calibri" w:hAnsi="Calibri" w:cs="Calibri"/>
            <w:color w:val="000000"/>
            <w:sz w:val="24"/>
            <w:szCs w:val="24"/>
          </w:rPr>
          <w:t xml:space="preserve"> M, Sorokin EP, </w:t>
        </w:r>
        <w:proofErr w:type="spellStart"/>
        <w:r w:rsidR="007E572B">
          <w:rPr>
            <w:rFonts w:ascii="Calibri" w:eastAsia="Calibri" w:hAnsi="Calibri" w:cs="Calibri"/>
            <w:color w:val="000000"/>
            <w:sz w:val="24"/>
            <w:szCs w:val="24"/>
          </w:rPr>
          <w:t>Whitcher</w:t>
        </w:r>
        <w:proofErr w:type="spellEnd"/>
        <w:r w:rsidR="007E572B">
          <w:rPr>
            <w:rFonts w:ascii="Calibri" w:eastAsia="Calibri" w:hAnsi="Calibri" w:cs="Calibri"/>
            <w:color w:val="000000"/>
            <w:sz w:val="24"/>
            <w:szCs w:val="24"/>
          </w:rPr>
          <w:t xml:space="preserve"> B, Srinivasan R </w:t>
        </w:r>
      </w:hyperlink>
      <w:hyperlink r:id="rId36">
        <w:r w:rsidR="007E572B">
          <w:rPr>
            <w:rFonts w:ascii="Calibri" w:eastAsia="Calibri" w:hAnsi="Calibri" w:cs="Calibri"/>
            <w:i/>
            <w:color w:val="000000"/>
            <w:sz w:val="24"/>
            <w:szCs w:val="24"/>
          </w:rPr>
          <w:t>et al.</w:t>
        </w:r>
      </w:hyperlink>
      <w:hyperlink r:id="rId37">
        <w:r w:rsidR="007E572B">
          <w:rPr>
            <w:rFonts w:ascii="Calibri" w:eastAsia="Calibri" w:hAnsi="Calibri" w:cs="Calibri"/>
            <w:color w:val="000000"/>
            <w:sz w:val="24"/>
            <w:szCs w:val="24"/>
          </w:rPr>
          <w:t xml:space="preserve"> Kidney shape statistical analysis: associations with disease and anthropometric factors. </w:t>
        </w:r>
      </w:hyperlink>
      <w:hyperlink r:id="rId38">
        <w:r w:rsidR="007E572B">
          <w:rPr>
            <w:rFonts w:ascii="Calibri" w:eastAsia="Calibri" w:hAnsi="Calibri" w:cs="Calibri"/>
            <w:i/>
            <w:color w:val="000000"/>
            <w:sz w:val="24"/>
            <w:szCs w:val="24"/>
          </w:rPr>
          <w:t>BMC Nephrol</w:t>
        </w:r>
      </w:hyperlink>
      <w:hyperlink r:id="rId39">
        <w:r w:rsidR="007E572B">
          <w:rPr>
            <w:rFonts w:ascii="Calibri" w:eastAsia="Calibri" w:hAnsi="Calibri" w:cs="Calibri"/>
            <w:color w:val="000000"/>
            <w:sz w:val="24"/>
            <w:szCs w:val="24"/>
          </w:rPr>
          <w:t xml:space="preserve"> 2023; </w:t>
        </w:r>
      </w:hyperlink>
      <w:hyperlink r:id="rId40">
        <w:r w:rsidR="007E572B">
          <w:rPr>
            <w:rFonts w:ascii="Calibri" w:eastAsia="Calibri" w:hAnsi="Calibri" w:cs="Calibri"/>
            <w:b/>
            <w:color w:val="000000"/>
            <w:sz w:val="24"/>
            <w:szCs w:val="24"/>
          </w:rPr>
          <w:t>24</w:t>
        </w:r>
      </w:hyperlink>
      <w:hyperlink r:id="rId41">
        <w:r w:rsidR="007E572B">
          <w:rPr>
            <w:rFonts w:ascii="Calibri" w:eastAsia="Calibri" w:hAnsi="Calibri" w:cs="Calibri"/>
            <w:color w:val="000000"/>
            <w:sz w:val="24"/>
            <w:szCs w:val="24"/>
          </w:rPr>
          <w:t>: 362.</w:t>
        </w:r>
      </w:hyperlink>
    </w:p>
    <w:p w14:paraId="604BF099" w14:textId="77777777" w:rsidR="007E572B" w:rsidRDefault="00000000">
      <w:pPr>
        <w:widowControl w:val="0"/>
        <w:pBdr>
          <w:top w:val="nil"/>
          <w:left w:val="nil"/>
          <w:bottom w:val="nil"/>
          <w:right w:val="nil"/>
          <w:between w:val="nil"/>
        </w:pBdr>
        <w:spacing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4 </w:t>
      </w:r>
      <w:r>
        <w:rPr>
          <w:rFonts w:ascii="Calibri" w:eastAsia="Calibri" w:hAnsi="Calibri" w:cs="Calibri"/>
          <w:color w:val="000000"/>
          <w:sz w:val="24"/>
          <w:szCs w:val="24"/>
        </w:rPr>
        <w:tab/>
      </w:r>
      <w:hyperlink r:id="rId42">
        <w:r w:rsidR="007E572B">
          <w:rPr>
            <w:rFonts w:ascii="Calibri" w:eastAsia="Calibri" w:hAnsi="Calibri" w:cs="Calibri"/>
            <w:color w:val="000000"/>
            <w:sz w:val="24"/>
            <w:szCs w:val="24"/>
          </w:rPr>
          <w:t xml:space="preserve">Shah M, de A </w:t>
        </w:r>
        <w:proofErr w:type="spellStart"/>
        <w:r w:rsidR="007E572B">
          <w:rPr>
            <w:rFonts w:ascii="Calibri" w:eastAsia="Calibri" w:hAnsi="Calibri" w:cs="Calibri"/>
            <w:color w:val="000000"/>
            <w:sz w:val="24"/>
            <w:szCs w:val="24"/>
          </w:rPr>
          <w:t>Inácio</w:t>
        </w:r>
        <w:proofErr w:type="spellEnd"/>
        <w:r w:rsidR="007E572B">
          <w:rPr>
            <w:rFonts w:ascii="Calibri" w:eastAsia="Calibri" w:hAnsi="Calibri" w:cs="Calibri"/>
            <w:color w:val="000000"/>
            <w:sz w:val="24"/>
            <w:szCs w:val="24"/>
          </w:rPr>
          <w:t xml:space="preserve"> MH, Lu C, </w:t>
        </w:r>
        <w:proofErr w:type="spellStart"/>
        <w:r w:rsidR="007E572B">
          <w:rPr>
            <w:rFonts w:ascii="Calibri" w:eastAsia="Calibri" w:hAnsi="Calibri" w:cs="Calibri"/>
            <w:color w:val="000000"/>
            <w:sz w:val="24"/>
            <w:szCs w:val="24"/>
          </w:rPr>
          <w:t>Schiratti</w:t>
        </w:r>
        <w:proofErr w:type="spellEnd"/>
        <w:r w:rsidR="007E572B">
          <w:rPr>
            <w:rFonts w:ascii="Calibri" w:eastAsia="Calibri" w:hAnsi="Calibri" w:cs="Calibri"/>
            <w:color w:val="000000"/>
            <w:sz w:val="24"/>
            <w:szCs w:val="24"/>
          </w:rPr>
          <w:t xml:space="preserve"> P-R, Zheng SL, Clement A </w:t>
        </w:r>
      </w:hyperlink>
      <w:hyperlink r:id="rId43">
        <w:r w:rsidR="007E572B">
          <w:rPr>
            <w:rFonts w:ascii="Calibri" w:eastAsia="Calibri" w:hAnsi="Calibri" w:cs="Calibri"/>
            <w:i/>
            <w:color w:val="000000"/>
            <w:sz w:val="24"/>
            <w:szCs w:val="24"/>
          </w:rPr>
          <w:t>et al.</w:t>
        </w:r>
      </w:hyperlink>
      <w:hyperlink r:id="rId44">
        <w:r w:rsidR="007E572B">
          <w:rPr>
            <w:rFonts w:ascii="Calibri" w:eastAsia="Calibri" w:hAnsi="Calibri" w:cs="Calibri"/>
            <w:color w:val="000000"/>
            <w:sz w:val="24"/>
            <w:szCs w:val="24"/>
          </w:rPr>
          <w:t xml:space="preserve"> Environmental and genetic predictors of human cardiovascular ageing. </w:t>
        </w:r>
      </w:hyperlink>
      <w:hyperlink r:id="rId45">
        <w:r w:rsidR="007E572B">
          <w:rPr>
            <w:rFonts w:ascii="Calibri" w:eastAsia="Calibri" w:hAnsi="Calibri" w:cs="Calibri"/>
            <w:i/>
            <w:color w:val="000000"/>
            <w:sz w:val="24"/>
            <w:szCs w:val="24"/>
          </w:rPr>
          <w:t xml:space="preserve">Nat </w:t>
        </w:r>
        <w:proofErr w:type="spellStart"/>
        <w:r w:rsidR="007E572B">
          <w:rPr>
            <w:rFonts w:ascii="Calibri" w:eastAsia="Calibri" w:hAnsi="Calibri" w:cs="Calibri"/>
            <w:i/>
            <w:color w:val="000000"/>
            <w:sz w:val="24"/>
            <w:szCs w:val="24"/>
          </w:rPr>
          <w:t>Commun</w:t>
        </w:r>
        <w:proofErr w:type="spellEnd"/>
      </w:hyperlink>
      <w:hyperlink r:id="rId46">
        <w:r w:rsidR="007E572B">
          <w:rPr>
            <w:rFonts w:ascii="Calibri" w:eastAsia="Calibri" w:hAnsi="Calibri" w:cs="Calibri"/>
            <w:color w:val="000000"/>
            <w:sz w:val="24"/>
            <w:szCs w:val="24"/>
          </w:rPr>
          <w:t xml:space="preserve"> 2023; </w:t>
        </w:r>
      </w:hyperlink>
      <w:hyperlink r:id="rId47">
        <w:r w:rsidR="007E572B">
          <w:rPr>
            <w:rFonts w:ascii="Calibri" w:eastAsia="Calibri" w:hAnsi="Calibri" w:cs="Calibri"/>
            <w:b/>
            <w:color w:val="000000"/>
            <w:sz w:val="24"/>
            <w:szCs w:val="24"/>
          </w:rPr>
          <w:t>14</w:t>
        </w:r>
      </w:hyperlink>
      <w:hyperlink r:id="rId48">
        <w:r w:rsidR="007E572B">
          <w:rPr>
            <w:rFonts w:ascii="Calibri" w:eastAsia="Calibri" w:hAnsi="Calibri" w:cs="Calibri"/>
            <w:color w:val="000000"/>
            <w:sz w:val="24"/>
            <w:szCs w:val="24"/>
          </w:rPr>
          <w:t>: 4941.</w:t>
        </w:r>
      </w:hyperlink>
    </w:p>
    <w:p w14:paraId="5C5A0F2C" w14:textId="77777777" w:rsidR="007E572B" w:rsidRDefault="00000000">
      <w:pPr>
        <w:widowControl w:val="0"/>
        <w:pBdr>
          <w:top w:val="nil"/>
          <w:left w:val="nil"/>
          <w:bottom w:val="nil"/>
          <w:right w:val="nil"/>
          <w:between w:val="nil"/>
        </w:pBdr>
        <w:spacing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5 </w:t>
      </w:r>
      <w:r>
        <w:rPr>
          <w:rFonts w:ascii="Calibri" w:eastAsia="Calibri" w:hAnsi="Calibri" w:cs="Calibri"/>
          <w:color w:val="000000"/>
          <w:sz w:val="24"/>
          <w:szCs w:val="24"/>
        </w:rPr>
        <w:tab/>
      </w:r>
      <w:hyperlink r:id="rId49">
        <w:proofErr w:type="spellStart"/>
        <w:r w:rsidR="007E572B">
          <w:rPr>
            <w:rFonts w:ascii="Calibri" w:eastAsia="Calibri" w:hAnsi="Calibri" w:cs="Calibri"/>
            <w:color w:val="000000"/>
            <w:sz w:val="24"/>
            <w:szCs w:val="24"/>
          </w:rPr>
          <w:t>Tapela</w:t>
        </w:r>
        <w:proofErr w:type="spellEnd"/>
        <w:r w:rsidR="007E572B">
          <w:rPr>
            <w:rFonts w:ascii="Calibri" w:eastAsia="Calibri" w:hAnsi="Calibri" w:cs="Calibri"/>
            <w:color w:val="000000"/>
            <w:sz w:val="24"/>
            <w:szCs w:val="24"/>
          </w:rPr>
          <w:t xml:space="preserve"> N, </w:t>
        </w:r>
        <w:proofErr w:type="spellStart"/>
        <w:r w:rsidR="007E572B">
          <w:rPr>
            <w:rFonts w:ascii="Calibri" w:eastAsia="Calibri" w:hAnsi="Calibri" w:cs="Calibri"/>
            <w:color w:val="000000"/>
            <w:sz w:val="24"/>
            <w:szCs w:val="24"/>
          </w:rPr>
          <w:t>Collister</w:t>
        </w:r>
        <w:proofErr w:type="spellEnd"/>
        <w:r w:rsidR="007E572B">
          <w:rPr>
            <w:rFonts w:ascii="Calibri" w:eastAsia="Calibri" w:hAnsi="Calibri" w:cs="Calibri"/>
            <w:color w:val="000000"/>
            <w:sz w:val="24"/>
            <w:szCs w:val="24"/>
          </w:rPr>
          <w:t xml:space="preserve"> J, Clifton L, Turnbull I, Rahimi K, Hunter DJ. Prevalence and determinants of hypertension control among almost 100 000 treated adults in the UK. </w:t>
        </w:r>
      </w:hyperlink>
      <w:hyperlink r:id="rId50">
        <w:r w:rsidR="007E572B">
          <w:rPr>
            <w:rFonts w:ascii="Calibri" w:eastAsia="Calibri" w:hAnsi="Calibri" w:cs="Calibri"/>
            <w:i/>
            <w:color w:val="000000"/>
            <w:sz w:val="24"/>
            <w:szCs w:val="24"/>
          </w:rPr>
          <w:t>Open Heart</w:t>
        </w:r>
      </w:hyperlink>
      <w:hyperlink r:id="rId51">
        <w:r w:rsidR="007E572B">
          <w:rPr>
            <w:rFonts w:ascii="Calibri" w:eastAsia="Calibri" w:hAnsi="Calibri" w:cs="Calibri"/>
            <w:color w:val="000000"/>
            <w:sz w:val="24"/>
            <w:szCs w:val="24"/>
          </w:rPr>
          <w:t xml:space="preserve"> 2021; </w:t>
        </w:r>
      </w:hyperlink>
      <w:hyperlink r:id="rId52">
        <w:r w:rsidR="007E572B">
          <w:rPr>
            <w:rFonts w:ascii="Calibri" w:eastAsia="Calibri" w:hAnsi="Calibri" w:cs="Calibri"/>
            <w:b/>
            <w:color w:val="000000"/>
            <w:sz w:val="24"/>
            <w:szCs w:val="24"/>
          </w:rPr>
          <w:t>8</w:t>
        </w:r>
      </w:hyperlink>
      <w:hyperlink r:id="rId53">
        <w:r w:rsidR="007E572B">
          <w:rPr>
            <w:rFonts w:ascii="Calibri" w:eastAsia="Calibri" w:hAnsi="Calibri" w:cs="Calibri"/>
            <w:color w:val="000000"/>
            <w:sz w:val="24"/>
            <w:szCs w:val="24"/>
          </w:rPr>
          <w:t>. doi:</w:t>
        </w:r>
      </w:hyperlink>
      <w:hyperlink r:id="rId54">
        <w:r w:rsidR="007E572B">
          <w:rPr>
            <w:rFonts w:ascii="Calibri" w:eastAsia="Calibri" w:hAnsi="Calibri" w:cs="Calibri"/>
            <w:color w:val="000000"/>
            <w:sz w:val="24"/>
            <w:szCs w:val="24"/>
          </w:rPr>
          <w:t>10.1136/openhrt-2020-001461</w:t>
        </w:r>
      </w:hyperlink>
      <w:hyperlink r:id="rId55">
        <w:r w:rsidR="007E572B">
          <w:rPr>
            <w:rFonts w:ascii="Calibri" w:eastAsia="Calibri" w:hAnsi="Calibri" w:cs="Calibri"/>
            <w:color w:val="000000"/>
            <w:sz w:val="24"/>
            <w:szCs w:val="24"/>
          </w:rPr>
          <w:t>.</w:t>
        </w:r>
      </w:hyperlink>
    </w:p>
    <w:p w14:paraId="0604F2EA" w14:textId="77777777" w:rsidR="007E572B" w:rsidRDefault="00000000">
      <w:pPr>
        <w:widowControl w:val="0"/>
        <w:pBdr>
          <w:top w:val="nil"/>
          <w:left w:val="nil"/>
          <w:bottom w:val="nil"/>
          <w:right w:val="nil"/>
          <w:between w:val="nil"/>
        </w:pBdr>
        <w:spacing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6 </w:t>
      </w:r>
      <w:r>
        <w:rPr>
          <w:rFonts w:ascii="Calibri" w:eastAsia="Calibri" w:hAnsi="Calibri" w:cs="Calibri"/>
          <w:color w:val="000000"/>
          <w:sz w:val="24"/>
          <w:szCs w:val="24"/>
        </w:rPr>
        <w:tab/>
      </w:r>
      <w:hyperlink r:id="rId56">
        <w:proofErr w:type="spellStart"/>
        <w:r w:rsidR="007E572B">
          <w:rPr>
            <w:rFonts w:ascii="Calibri" w:eastAsia="Calibri" w:hAnsi="Calibri" w:cs="Calibri"/>
            <w:color w:val="000000"/>
            <w:sz w:val="24"/>
            <w:szCs w:val="24"/>
          </w:rPr>
          <w:t>Biffi</w:t>
        </w:r>
        <w:proofErr w:type="spellEnd"/>
        <w:r w:rsidR="007E572B">
          <w:rPr>
            <w:rFonts w:ascii="Calibri" w:eastAsia="Calibri" w:hAnsi="Calibri" w:cs="Calibri"/>
            <w:color w:val="000000"/>
            <w:sz w:val="24"/>
            <w:szCs w:val="24"/>
          </w:rPr>
          <w:t xml:space="preserve"> C, de </w:t>
        </w:r>
        <w:proofErr w:type="spellStart"/>
        <w:r w:rsidR="007E572B">
          <w:rPr>
            <w:rFonts w:ascii="Calibri" w:eastAsia="Calibri" w:hAnsi="Calibri" w:cs="Calibri"/>
            <w:color w:val="000000"/>
            <w:sz w:val="24"/>
            <w:szCs w:val="24"/>
          </w:rPr>
          <w:t>Marvao</w:t>
        </w:r>
        <w:proofErr w:type="spellEnd"/>
        <w:r w:rsidR="007E572B">
          <w:rPr>
            <w:rFonts w:ascii="Calibri" w:eastAsia="Calibri" w:hAnsi="Calibri" w:cs="Calibri"/>
            <w:color w:val="000000"/>
            <w:sz w:val="24"/>
            <w:szCs w:val="24"/>
          </w:rPr>
          <w:t xml:space="preserve"> A, Attard MI, Dawes TJW, </w:t>
        </w:r>
        <w:proofErr w:type="spellStart"/>
        <w:r w:rsidR="007E572B">
          <w:rPr>
            <w:rFonts w:ascii="Calibri" w:eastAsia="Calibri" w:hAnsi="Calibri" w:cs="Calibri"/>
            <w:color w:val="000000"/>
            <w:sz w:val="24"/>
            <w:szCs w:val="24"/>
          </w:rPr>
          <w:t>Whiffin</w:t>
        </w:r>
        <w:proofErr w:type="spellEnd"/>
        <w:r w:rsidR="007E572B">
          <w:rPr>
            <w:rFonts w:ascii="Calibri" w:eastAsia="Calibri" w:hAnsi="Calibri" w:cs="Calibri"/>
            <w:color w:val="000000"/>
            <w:sz w:val="24"/>
            <w:szCs w:val="24"/>
          </w:rPr>
          <w:t xml:space="preserve"> N, Bai W </w:t>
        </w:r>
      </w:hyperlink>
      <w:hyperlink r:id="rId57">
        <w:r w:rsidR="007E572B">
          <w:rPr>
            <w:rFonts w:ascii="Calibri" w:eastAsia="Calibri" w:hAnsi="Calibri" w:cs="Calibri"/>
            <w:i/>
            <w:color w:val="000000"/>
            <w:sz w:val="24"/>
            <w:szCs w:val="24"/>
          </w:rPr>
          <w:t>et al.</w:t>
        </w:r>
      </w:hyperlink>
      <w:hyperlink r:id="rId58">
        <w:r w:rsidR="007E572B">
          <w:rPr>
            <w:rFonts w:ascii="Calibri" w:eastAsia="Calibri" w:hAnsi="Calibri" w:cs="Calibri"/>
            <w:color w:val="000000"/>
            <w:sz w:val="24"/>
            <w:szCs w:val="24"/>
          </w:rPr>
          <w:t xml:space="preserve"> Three-dimensional cardiovascular imaging-genetics: a mass univariate framework. </w:t>
        </w:r>
      </w:hyperlink>
      <w:hyperlink r:id="rId59">
        <w:r w:rsidR="007E572B">
          <w:rPr>
            <w:rFonts w:ascii="Calibri" w:eastAsia="Calibri" w:hAnsi="Calibri" w:cs="Calibri"/>
            <w:i/>
            <w:color w:val="000000"/>
            <w:sz w:val="24"/>
            <w:szCs w:val="24"/>
          </w:rPr>
          <w:t>Bioinformatics</w:t>
        </w:r>
      </w:hyperlink>
      <w:hyperlink r:id="rId60">
        <w:r w:rsidR="007E572B">
          <w:rPr>
            <w:rFonts w:ascii="Calibri" w:eastAsia="Calibri" w:hAnsi="Calibri" w:cs="Calibri"/>
            <w:color w:val="000000"/>
            <w:sz w:val="24"/>
            <w:szCs w:val="24"/>
          </w:rPr>
          <w:t xml:space="preserve"> 2018; </w:t>
        </w:r>
      </w:hyperlink>
      <w:hyperlink r:id="rId61">
        <w:r w:rsidR="007E572B">
          <w:rPr>
            <w:rFonts w:ascii="Calibri" w:eastAsia="Calibri" w:hAnsi="Calibri" w:cs="Calibri"/>
            <w:b/>
            <w:color w:val="000000"/>
            <w:sz w:val="24"/>
            <w:szCs w:val="24"/>
          </w:rPr>
          <w:t>34</w:t>
        </w:r>
      </w:hyperlink>
      <w:hyperlink r:id="rId62">
        <w:r w:rsidR="007E572B">
          <w:rPr>
            <w:rFonts w:ascii="Calibri" w:eastAsia="Calibri" w:hAnsi="Calibri" w:cs="Calibri"/>
            <w:color w:val="000000"/>
            <w:sz w:val="24"/>
            <w:szCs w:val="24"/>
          </w:rPr>
          <w:t>: 97–103.</w:t>
        </w:r>
      </w:hyperlink>
    </w:p>
    <w:p w14:paraId="06E7AC04" w14:textId="77777777" w:rsidR="007E572B" w:rsidRDefault="00000000">
      <w:pPr>
        <w:widowControl w:val="0"/>
        <w:pBdr>
          <w:top w:val="nil"/>
          <w:left w:val="nil"/>
          <w:bottom w:val="nil"/>
          <w:right w:val="nil"/>
          <w:between w:val="nil"/>
        </w:pBdr>
        <w:spacing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7 </w:t>
      </w:r>
      <w:r>
        <w:rPr>
          <w:rFonts w:ascii="Calibri" w:eastAsia="Calibri" w:hAnsi="Calibri" w:cs="Calibri"/>
          <w:color w:val="000000"/>
          <w:sz w:val="24"/>
          <w:szCs w:val="24"/>
        </w:rPr>
        <w:tab/>
      </w:r>
      <w:hyperlink r:id="rId63">
        <w:proofErr w:type="spellStart"/>
        <w:r w:rsidR="007E572B">
          <w:rPr>
            <w:rFonts w:ascii="Calibri" w:eastAsia="Calibri" w:hAnsi="Calibri" w:cs="Calibri"/>
            <w:color w:val="000000"/>
            <w:sz w:val="24"/>
            <w:szCs w:val="24"/>
          </w:rPr>
          <w:t>Benjamini</w:t>
        </w:r>
        <w:proofErr w:type="spellEnd"/>
        <w:r w:rsidR="007E572B">
          <w:rPr>
            <w:rFonts w:ascii="Calibri" w:eastAsia="Calibri" w:hAnsi="Calibri" w:cs="Calibri"/>
            <w:color w:val="000000"/>
            <w:sz w:val="24"/>
            <w:szCs w:val="24"/>
          </w:rPr>
          <w:t xml:space="preserve"> Y, Hochberg Y. Controlling the False Discovery Rate: A Practical and Powerful Approach to Multiple Testing. Journal of the Royal Statistical Society: Series B (Methodological). 1995; </w:t>
        </w:r>
      </w:hyperlink>
      <w:hyperlink r:id="rId64">
        <w:r w:rsidR="007E572B">
          <w:rPr>
            <w:rFonts w:ascii="Calibri" w:eastAsia="Calibri" w:hAnsi="Calibri" w:cs="Calibri"/>
            <w:b/>
            <w:color w:val="000000"/>
            <w:sz w:val="24"/>
            <w:szCs w:val="24"/>
          </w:rPr>
          <w:t>57</w:t>
        </w:r>
      </w:hyperlink>
      <w:hyperlink r:id="rId65">
        <w:r w:rsidR="007E572B">
          <w:rPr>
            <w:rFonts w:ascii="Calibri" w:eastAsia="Calibri" w:hAnsi="Calibri" w:cs="Calibri"/>
            <w:color w:val="000000"/>
            <w:sz w:val="24"/>
            <w:szCs w:val="24"/>
          </w:rPr>
          <w:t>: 289–300.</w:t>
        </w:r>
      </w:hyperlink>
    </w:p>
    <w:p w14:paraId="00BEC0FE" w14:textId="77777777" w:rsidR="007E572B" w:rsidRDefault="00000000">
      <w:pPr>
        <w:widowControl w:val="0"/>
        <w:pBdr>
          <w:top w:val="nil"/>
          <w:left w:val="nil"/>
          <w:bottom w:val="nil"/>
          <w:right w:val="nil"/>
          <w:between w:val="nil"/>
        </w:pBdr>
        <w:spacing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8 </w:t>
      </w:r>
      <w:r>
        <w:rPr>
          <w:rFonts w:ascii="Calibri" w:eastAsia="Calibri" w:hAnsi="Calibri" w:cs="Calibri"/>
          <w:color w:val="000000"/>
          <w:sz w:val="24"/>
          <w:szCs w:val="24"/>
        </w:rPr>
        <w:tab/>
      </w:r>
      <w:hyperlink r:id="rId66">
        <w:r w:rsidR="007E572B">
          <w:rPr>
            <w:rFonts w:ascii="Calibri" w:eastAsia="Calibri" w:hAnsi="Calibri" w:cs="Calibri"/>
            <w:color w:val="000000"/>
            <w:sz w:val="24"/>
            <w:szCs w:val="24"/>
          </w:rPr>
          <w:t xml:space="preserve">Schroeder W, Martin KW, Martin K, </w:t>
        </w:r>
        <w:proofErr w:type="spellStart"/>
        <w:r w:rsidR="007E572B">
          <w:rPr>
            <w:rFonts w:ascii="Calibri" w:eastAsia="Calibri" w:hAnsi="Calibri" w:cs="Calibri"/>
            <w:color w:val="000000"/>
            <w:sz w:val="24"/>
            <w:szCs w:val="24"/>
          </w:rPr>
          <w:t>Lorensen</w:t>
        </w:r>
        <w:proofErr w:type="spellEnd"/>
        <w:r w:rsidR="007E572B">
          <w:rPr>
            <w:rFonts w:ascii="Calibri" w:eastAsia="Calibri" w:hAnsi="Calibri" w:cs="Calibri"/>
            <w:color w:val="000000"/>
            <w:sz w:val="24"/>
            <w:szCs w:val="24"/>
          </w:rPr>
          <w:t xml:space="preserve"> B. </w:t>
        </w:r>
      </w:hyperlink>
      <w:hyperlink r:id="rId67">
        <w:r w:rsidR="007E572B">
          <w:rPr>
            <w:rFonts w:ascii="Calibri" w:eastAsia="Calibri" w:hAnsi="Calibri" w:cs="Calibri"/>
            <w:i/>
            <w:color w:val="000000"/>
            <w:sz w:val="24"/>
            <w:szCs w:val="24"/>
          </w:rPr>
          <w:t>The Visualization Toolkit</w:t>
        </w:r>
      </w:hyperlink>
      <w:hyperlink r:id="rId68">
        <w:r w:rsidR="007E572B">
          <w:rPr>
            <w:rFonts w:ascii="Calibri" w:eastAsia="Calibri" w:hAnsi="Calibri" w:cs="Calibri"/>
            <w:color w:val="000000"/>
            <w:sz w:val="24"/>
            <w:szCs w:val="24"/>
          </w:rPr>
          <w:t>. Prentice Hall, 1998.</w:t>
        </w:r>
      </w:hyperlink>
    </w:p>
    <w:p w14:paraId="30FE71D8" w14:textId="77777777" w:rsidR="007E572B" w:rsidRDefault="00000000">
      <w:pPr>
        <w:widowControl w:val="0"/>
        <w:pBdr>
          <w:top w:val="nil"/>
          <w:left w:val="nil"/>
          <w:bottom w:val="nil"/>
          <w:right w:val="nil"/>
          <w:between w:val="nil"/>
        </w:pBdr>
        <w:spacing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9 </w:t>
      </w:r>
      <w:r>
        <w:rPr>
          <w:rFonts w:ascii="Calibri" w:eastAsia="Calibri" w:hAnsi="Calibri" w:cs="Calibri"/>
          <w:color w:val="000000"/>
          <w:sz w:val="24"/>
          <w:szCs w:val="24"/>
        </w:rPr>
        <w:tab/>
      </w:r>
      <w:hyperlink r:id="rId69">
        <w:r w:rsidR="007E572B">
          <w:rPr>
            <w:rFonts w:ascii="Calibri" w:eastAsia="Calibri" w:hAnsi="Calibri" w:cs="Calibri"/>
            <w:color w:val="000000"/>
            <w:sz w:val="24"/>
            <w:szCs w:val="24"/>
          </w:rPr>
          <w:t xml:space="preserve">Erichson et al. 2017. </w:t>
        </w:r>
      </w:hyperlink>
      <w:hyperlink r:id="rId70">
        <w:r w:rsidR="007E572B">
          <w:rPr>
            <w:rFonts w:ascii="Calibri" w:eastAsia="Calibri" w:hAnsi="Calibri" w:cs="Calibri"/>
            <w:color w:val="000000"/>
            <w:sz w:val="24"/>
            <w:szCs w:val="24"/>
          </w:rPr>
          <w:t>Erichson BN, Zheng P, Aravkin S. Sparse principal component analysis (SPCA), https://github.com/erichson/spca, R package version 0.1.2. 2018.</w:t>
        </w:r>
      </w:hyperlink>
    </w:p>
    <w:p w14:paraId="2C622D55" w14:textId="77777777" w:rsidR="007E572B" w:rsidRDefault="00000000">
      <w:pPr>
        <w:widowControl w:val="0"/>
        <w:pBdr>
          <w:top w:val="nil"/>
          <w:left w:val="nil"/>
          <w:bottom w:val="nil"/>
          <w:right w:val="nil"/>
          <w:between w:val="nil"/>
        </w:pBdr>
        <w:spacing w:after="240" w:line="240" w:lineRule="auto"/>
        <w:ind w:left="480" w:hanging="480"/>
        <w:rPr>
          <w:rFonts w:ascii="Calibri" w:eastAsia="Calibri" w:hAnsi="Calibri" w:cs="Calibri"/>
          <w:color w:val="000000"/>
          <w:sz w:val="24"/>
          <w:szCs w:val="24"/>
        </w:rPr>
      </w:pPr>
      <w:r>
        <w:rPr>
          <w:rFonts w:ascii="Calibri" w:eastAsia="Calibri" w:hAnsi="Calibri" w:cs="Calibri"/>
          <w:color w:val="000000"/>
          <w:sz w:val="24"/>
          <w:szCs w:val="24"/>
        </w:rPr>
        <w:t xml:space="preserve">10 </w:t>
      </w:r>
      <w:r>
        <w:rPr>
          <w:rFonts w:ascii="Calibri" w:eastAsia="Calibri" w:hAnsi="Calibri" w:cs="Calibri"/>
          <w:color w:val="000000"/>
          <w:sz w:val="24"/>
          <w:szCs w:val="24"/>
        </w:rPr>
        <w:tab/>
      </w:r>
      <w:hyperlink r:id="rId71">
        <w:r w:rsidR="007E572B">
          <w:rPr>
            <w:rFonts w:ascii="Calibri" w:eastAsia="Calibri" w:hAnsi="Calibri" w:cs="Calibri"/>
            <w:color w:val="000000"/>
            <w:sz w:val="24"/>
            <w:szCs w:val="24"/>
          </w:rPr>
          <w:t xml:space="preserve">N. Benjamin </w:t>
        </w:r>
        <w:proofErr w:type="spellStart"/>
        <w:r w:rsidR="007E572B">
          <w:rPr>
            <w:rFonts w:ascii="Calibri" w:eastAsia="Calibri" w:hAnsi="Calibri" w:cs="Calibri"/>
            <w:color w:val="000000"/>
            <w:sz w:val="24"/>
            <w:szCs w:val="24"/>
          </w:rPr>
          <w:t>Erichson</w:t>
        </w:r>
        <w:proofErr w:type="spellEnd"/>
        <w:r w:rsidR="007E572B">
          <w:rPr>
            <w:rFonts w:ascii="Calibri" w:eastAsia="Calibri" w:hAnsi="Calibri" w:cs="Calibri"/>
            <w:color w:val="000000"/>
            <w:sz w:val="24"/>
            <w:szCs w:val="24"/>
          </w:rPr>
          <w:t xml:space="preserve">, Peng Zheng, and Sasha </w:t>
        </w:r>
        <w:proofErr w:type="spellStart"/>
        <w:r w:rsidR="007E572B">
          <w:rPr>
            <w:rFonts w:ascii="Calibri" w:eastAsia="Calibri" w:hAnsi="Calibri" w:cs="Calibri"/>
            <w:color w:val="000000"/>
            <w:sz w:val="24"/>
            <w:szCs w:val="24"/>
          </w:rPr>
          <w:t>Aravkin</w:t>
        </w:r>
        <w:proofErr w:type="spellEnd"/>
        <w:r w:rsidR="007E572B">
          <w:rPr>
            <w:rFonts w:ascii="Calibri" w:eastAsia="Calibri" w:hAnsi="Calibri" w:cs="Calibri"/>
            <w:color w:val="000000"/>
            <w:sz w:val="24"/>
            <w:szCs w:val="24"/>
          </w:rPr>
          <w:t xml:space="preserve">. </w:t>
        </w:r>
        <w:proofErr w:type="spellStart"/>
        <w:r w:rsidR="007E572B">
          <w:rPr>
            <w:rFonts w:ascii="Calibri" w:eastAsia="Calibri" w:hAnsi="Calibri" w:cs="Calibri"/>
            <w:color w:val="000000"/>
            <w:sz w:val="24"/>
            <w:szCs w:val="24"/>
          </w:rPr>
          <w:t>sparsepca</w:t>
        </w:r>
        <w:proofErr w:type="spellEnd"/>
        <w:r w:rsidR="007E572B">
          <w:rPr>
            <w:rFonts w:ascii="Calibri" w:eastAsia="Calibri" w:hAnsi="Calibri" w:cs="Calibri"/>
            <w:color w:val="000000"/>
            <w:sz w:val="24"/>
            <w:szCs w:val="24"/>
          </w:rPr>
          <w:t>: Sparse Principal Component Analysis (SPCA). CRAN: Contributed Packages. 2018. doi:</w:t>
        </w:r>
      </w:hyperlink>
      <w:hyperlink r:id="rId72">
        <w:r w:rsidR="007E572B">
          <w:rPr>
            <w:rFonts w:ascii="Calibri" w:eastAsia="Calibri" w:hAnsi="Calibri" w:cs="Calibri"/>
            <w:color w:val="000000"/>
            <w:sz w:val="24"/>
            <w:szCs w:val="24"/>
          </w:rPr>
          <w:t>10.32614/</w:t>
        </w:r>
        <w:proofErr w:type="spellStart"/>
        <w:r w:rsidR="007E572B">
          <w:rPr>
            <w:rFonts w:ascii="Calibri" w:eastAsia="Calibri" w:hAnsi="Calibri" w:cs="Calibri"/>
            <w:color w:val="000000"/>
            <w:sz w:val="24"/>
            <w:szCs w:val="24"/>
          </w:rPr>
          <w:t>cran.package.sparsepca</w:t>
        </w:r>
        <w:proofErr w:type="spellEnd"/>
      </w:hyperlink>
      <w:hyperlink r:id="rId73">
        <w:r w:rsidR="007E572B">
          <w:rPr>
            <w:rFonts w:ascii="Calibri" w:eastAsia="Calibri" w:hAnsi="Calibri" w:cs="Calibri"/>
            <w:color w:val="000000"/>
            <w:sz w:val="24"/>
            <w:szCs w:val="24"/>
          </w:rPr>
          <w:t>.</w:t>
        </w:r>
      </w:hyperlink>
    </w:p>
    <w:p w14:paraId="4D71EE42" w14:textId="77777777" w:rsidR="007E572B" w:rsidRDefault="007E572B">
      <w:pPr>
        <w:widowControl w:val="0"/>
        <w:pBdr>
          <w:top w:val="nil"/>
          <w:left w:val="nil"/>
          <w:bottom w:val="nil"/>
          <w:right w:val="nil"/>
          <w:between w:val="nil"/>
        </w:pBdr>
        <w:spacing w:after="240" w:line="240" w:lineRule="auto"/>
        <w:ind w:left="480" w:hanging="480"/>
        <w:rPr>
          <w:rFonts w:ascii="Calibri" w:eastAsia="Calibri" w:hAnsi="Calibri" w:cs="Calibri"/>
          <w:sz w:val="24"/>
          <w:szCs w:val="24"/>
        </w:rPr>
      </w:pPr>
    </w:p>
    <w:sectPr w:rsidR="007E572B">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572B"/>
    <w:rsid w:val="003611F4"/>
    <w:rsid w:val="007E572B"/>
    <w:rsid w:val="00CF54FB"/>
    <w:rsid w:val="00D87116"/>
    <w:rsid w:val="00E33D83"/>
    <w:rsid w:val="00F71D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3DB2CAD"/>
  <w15:docId w15:val="{87673F83-3BB4-324F-9589-1E73CA6C3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media/image6.png"/><Relationship Id="rId42" Type="http://schemas.openxmlformats.org/officeDocument/2006/relationships/hyperlink" Target="http://paperpile.com/b/4GPqFd/oWcN" TargetMode="External"/><Relationship Id="rId47" Type="http://schemas.openxmlformats.org/officeDocument/2006/relationships/hyperlink" Target="http://paperpile.com/b/4GPqFd/oWcN" TargetMode="External"/><Relationship Id="rId63" Type="http://schemas.openxmlformats.org/officeDocument/2006/relationships/hyperlink" Target="http://paperpile.com/b/4GPqFd/DAO1K" TargetMode="External"/><Relationship Id="rId68" Type="http://schemas.openxmlformats.org/officeDocument/2006/relationships/hyperlink" Target="http://paperpile.com/b/4GPqFd/2uYMO" TargetMode="External"/><Relationship Id="rId2" Type="http://schemas.openxmlformats.org/officeDocument/2006/relationships/settings" Target="settings.xml"/><Relationship Id="rId16" Type="http://schemas.openxmlformats.org/officeDocument/2006/relationships/image" Target="media/image2.png"/><Relationship Id="rId29" Type="http://schemas.openxmlformats.org/officeDocument/2006/relationships/hyperlink" Target="http://paperpile.com/b/4GPqFd/aNVx8" TargetMode="External"/><Relationship Id="rId11" Type="http://schemas.openxmlformats.org/officeDocument/2006/relationships/hyperlink" Target="https://paperpile.com/c/4GPqFd/gfHlZ" TargetMode="External"/><Relationship Id="rId24" Type="http://schemas.openxmlformats.org/officeDocument/2006/relationships/image" Target="media/image9.png"/><Relationship Id="rId32" Type="http://schemas.openxmlformats.org/officeDocument/2006/relationships/hyperlink" Target="http://paperpile.com/b/4GPqFd/ZwiV" TargetMode="External"/><Relationship Id="rId37" Type="http://schemas.openxmlformats.org/officeDocument/2006/relationships/hyperlink" Target="http://paperpile.com/b/4GPqFd/AfLA" TargetMode="External"/><Relationship Id="rId40" Type="http://schemas.openxmlformats.org/officeDocument/2006/relationships/hyperlink" Target="http://paperpile.com/b/4GPqFd/AfLA" TargetMode="External"/><Relationship Id="rId45" Type="http://schemas.openxmlformats.org/officeDocument/2006/relationships/hyperlink" Target="http://paperpile.com/b/4GPqFd/oWcN" TargetMode="External"/><Relationship Id="rId53" Type="http://schemas.openxmlformats.org/officeDocument/2006/relationships/hyperlink" Target="http://paperpile.com/b/4GPqFd/X3zIb" TargetMode="External"/><Relationship Id="rId58" Type="http://schemas.openxmlformats.org/officeDocument/2006/relationships/hyperlink" Target="http://paperpile.com/b/4GPqFd/gfHlZ" TargetMode="External"/><Relationship Id="rId66" Type="http://schemas.openxmlformats.org/officeDocument/2006/relationships/hyperlink" Target="http://paperpile.com/b/4GPqFd/2uYMO" TargetMode="External"/><Relationship Id="rId74" Type="http://schemas.openxmlformats.org/officeDocument/2006/relationships/fontTable" Target="fontTable.xml"/><Relationship Id="rId5" Type="http://schemas.openxmlformats.org/officeDocument/2006/relationships/hyperlink" Target="https://paperpile.com/c/4GPqFd/aNVx8" TargetMode="External"/><Relationship Id="rId61" Type="http://schemas.openxmlformats.org/officeDocument/2006/relationships/hyperlink" Target="http://paperpile.com/b/4GPqFd/gfHlZ" TargetMode="External"/><Relationship Id="rId19" Type="http://schemas.openxmlformats.org/officeDocument/2006/relationships/image" Target="media/image4.png"/><Relationship Id="rId14" Type="http://schemas.openxmlformats.org/officeDocument/2006/relationships/hyperlink" Target="https://paperpile.com/c/4GPqFd/PZJ4d+BGLo" TargetMode="External"/><Relationship Id="rId22" Type="http://schemas.openxmlformats.org/officeDocument/2006/relationships/image" Target="media/image7.png"/><Relationship Id="rId27" Type="http://schemas.openxmlformats.org/officeDocument/2006/relationships/hyperlink" Target="http://paperpile.com/b/4GPqFd/aNVx8" TargetMode="External"/><Relationship Id="rId30" Type="http://schemas.openxmlformats.org/officeDocument/2006/relationships/hyperlink" Target="http://paperpile.com/b/4GPqFd/ZwiV" TargetMode="External"/><Relationship Id="rId35" Type="http://schemas.openxmlformats.org/officeDocument/2006/relationships/hyperlink" Target="http://paperpile.com/b/4GPqFd/AfLA" TargetMode="External"/><Relationship Id="rId43" Type="http://schemas.openxmlformats.org/officeDocument/2006/relationships/hyperlink" Target="http://paperpile.com/b/4GPqFd/oWcN" TargetMode="External"/><Relationship Id="rId48" Type="http://schemas.openxmlformats.org/officeDocument/2006/relationships/hyperlink" Target="http://paperpile.com/b/4GPqFd/oWcN" TargetMode="External"/><Relationship Id="rId56" Type="http://schemas.openxmlformats.org/officeDocument/2006/relationships/hyperlink" Target="http://paperpile.com/b/4GPqFd/gfHlZ" TargetMode="External"/><Relationship Id="rId64" Type="http://schemas.openxmlformats.org/officeDocument/2006/relationships/hyperlink" Target="http://paperpile.com/b/4GPqFd/DAO1K" TargetMode="External"/><Relationship Id="rId69" Type="http://schemas.openxmlformats.org/officeDocument/2006/relationships/hyperlink" Target="http://paperpile.com/b/4GPqFd/PZJ4d" TargetMode="External"/><Relationship Id="rId8" Type="http://schemas.openxmlformats.org/officeDocument/2006/relationships/hyperlink" Target="https://paperpile.com/c/4GPqFd/oWcN" TargetMode="External"/><Relationship Id="rId51" Type="http://schemas.openxmlformats.org/officeDocument/2006/relationships/hyperlink" Target="http://paperpile.com/b/4GPqFd/X3zIb" TargetMode="External"/><Relationship Id="rId72" Type="http://schemas.openxmlformats.org/officeDocument/2006/relationships/hyperlink" Target="http://dx.doi.org/10.32614/cran.package.sparsepca" TargetMode="External"/><Relationship Id="rId3" Type="http://schemas.openxmlformats.org/officeDocument/2006/relationships/webSettings" Target="webSettings.xml"/><Relationship Id="rId12" Type="http://schemas.openxmlformats.org/officeDocument/2006/relationships/hyperlink" Target="https://paperpile.com/c/4GPqFd/DAO1K" TargetMode="External"/><Relationship Id="rId17" Type="http://schemas.openxmlformats.org/officeDocument/2006/relationships/image" Target="media/image3.png"/><Relationship Id="rId25" Type="http://schemas.openxmlformats.org/officeDocument/2006/relationships/image" Target="media/image10.gif"/><Relationship Id="rId33" Type="http://schemas.openxmlformats.org/officeDocument/2006/relationships/hyperlink" Target="http://paperpile.com/b/4GPqFd/ZwiV" TargetMode="External"/><Relationship Id="rId38" Type="http://schemas.openxmlformats.org/officeDocument/2006/relationships/hyperlink" Target="http://paperpile.com/b/4GPqFd/AfLA" TargetMode="External"/><Relationship Id="rId46" Type="http://schemas.openxmlformats.org/officeDocument/2006/relationships/hyperlink" Target="http://paperpile.com/b/4GPqFd/oWcN" TargetMode="External"/><Relationship Id="rId59" Type="http://schemas.openxmlformats.org/officeDocument/2006/relationships/hyperlink" Target="http://paperpile.com/b/4GPqFd/gfHlZ" TargetMode="External"/><Relationship Id="rId67" Type="http://schemas.openxmlformats.org/officeDocument/2006/relationships/hyperlink" Target="http://paperpile.com/b/4GPqFd/2uYMO" TargetMode="External"/><Relationship Id="rId20" Type="http://schemas.openxmlformats.org/officeDocument/2006/relationships/image" Target="media/image5.png"/><Relationship Id="rId41" Type="http://schemas.openxmlformats.org/officeDocument/2006/relationships/hyperlink" Target="http://paperpile.com/b/4GPqFd/AfLA" TargetMode="External"/><Relationship Id="rId54" Type="http://schemas.openxmlformats.org/officeDocument/2006/relationships/hyperlink" Target="http://dx.doi.org/10.1136/openhrt-2020-001461" TargetMode="External"/><Relationship Id="rId62" Type="http://schemas.openxmlformats.org/officeDocument/2006/relationships/hyperlink" Target="http://paperpile.com/b/4GPqFd/gfHlZ" TargetMode="External"/><Relationship Id="rId70" Type="http://schemas.openxmlformats.org/officeDocument/2006/relationships/hyperlink" Target="about:blank" TargetMode="Externa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paperpile.com/c/4GPqFd/ZwiV" TargetMode="External"/><Relationship Id="rId15" Type="http://schemas.openxmlformats.org/officeDocument/2006/relationships/image" Target="media/image1.png"/><Relationship Id="rId23" Type="http://schemas.openxmlformats.org/officeDocument/2006/relationships/image" Target="media/image8.png"/><Relationship Id="rId28" Type="http://schemas.openxmlformats.org/officeDocument/2006/relationships/hyperlink" Target="http://paperpile.com/b/4GPqFd/aNVx8" TargetMode="External"/><Relationship Id="rId36" Type="http://schemas.openxmlformats.org/officeDocument/2006/relationships/hyperlink" Target="http://paperpile.com/b/4GPqFd/AfLA" TargetMode="External"/><Relationship Id="rId49" Type="http://schemas.openxmlformats.org/officeDocument/2006/relationships/hyperlink" Target="http://paperpile.com/b/4GPqFd/X3zIb" TargetMode="External"/><Relationship Id="rId57" Type="http://schemas.openxmlformats.org/officeDocument/2006/relationships/hyperlink" Target="http://paperpile.com/b/4GPqFd/gfHlZ" TargetMode="External"/><Relationship Id="rId10" Type="http://schemas.openxmlformats.org/officeDocument/2006/relationships/hyperlink" Target="https://paperpile.com/c/4GPqFd/AfLA" TargetMode="External"/><Relationship Id="rId31" Type="http://schemas.openxmlformats.org/officeDocument/2006/relationships/hyperlink" Target="http://paperpile.com/b/4GPqFd/ZwiV" TargetMode="External"/><Relationship Id="rId44" Type="http://schemas.openxmlformats.org/officeDocument/2006/relationships/hyperlink" Target="http://paperpile.com/b/4GPqFd/oWcN" TargetMode="External"/><Relationship Id="rId52" Type="http://schemas.openxmlformats.org/officeDocument/2006/relationships/hyperlink" Target="http://paperpile.com/b/4GPqFd/X3zIb" TargetMode="External"/><Relationship Id="rId60" Type="http://schemas.openxmlformats.org/officeDocument/2006/relationships/hyperlink" Target="http://paperpile.com/b/4GPqFd/gfHlZ" TargetMode="External"/><Relationship Id="rId65" Type="http://schemas.openxmlformats.org/officeDocument/2006/relationships/hyperlink" Target="http://paperpile.com/b/4GPqFd/DAO1K" TargetMode="External"/><Relationship Id="rId73" Type="http://schemas.openxmlformats.org/officeDocument/2006/relationships/hyperlink" Target="http://paperpile.com/b/4GPqFd/BGLo" TargetMode="External"/><Relationship Id="rId4" Type="http://schemas.openxmlformats.org/officeDocument/2006/relationships/hyperlink" Target="http://www.ukbiobank.ac.uk" TargetMode="External"/><Relationship Id="rId9" Type="http://schemas.openxmlformats.org/officeDocument/2006/relationships/hyperlink" Target="https://paperpile.com/c/4GPqFd/X3zIb" TargetMode="External"/><Relationship Id="rId13" Type="http://schemas.openxmlformats.org/officeDocument/2006/relationships/hyperlink" Target="https://paperpile.com/c/4GPqFd/2uYMO" TargetMode="External"/><Relationship Id="rId18" Type="http://schemas.openxmlformats.org/officeDocument/2006/relationships/hyperlink" Target="https://paperpile.com/c/4GPqFd/gfHlZ" TargetMode="External"/><Relationship Id="rId39" Type="http://schemas.openxmlformats.org/officeDocument/2006/relationships/hyperlink" Target="http://paperpile.com/b/4GPqFd/AfLA" TargetMode="External"/><Relationship Id="rId34" Type="http://schemas.openxmlformats.org/officeDocument/2006/relationships/hyperlink" Target="http://paperpile.com/b/4GPqFd/ZwiV" TargetMode="External"/><Relationship Id="rId50" Type="http://schemas.openxmlformats.org/officeDocument/2006/relationships/hyperlink" Target="http://paperpile.com/b/4GPqFd/X3zIb" TargetMode="External"/><Relationship Id="rId55" Type="http://schemas.openxmlformats.org/officeDocument/2006/relationships/hyperlink" Target="http://paperpile.com/b/4GPqFd/X3zIb" TargetMode="External"/><Relationship Id="rId7" Type="http://schemas.openxmlformats.org/officeDocument/2006/relationships/hyperlink" Target="https://paperpile.com/c/4GPqFd/AfLA" TargetMode="External"/><Relationship Id="rId71" Type="http://schemas.openxmlformats.org/officeDocument/2006/relationships/hyperlink" Target="http://paperpile.com/b/4GPqFd/BGL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2996</Words>
  <Characters>17082</Characters>
  <Application>Microsoft Office Word</Application>
  <DocSecurity>0</DocSecurity>
  <Lines>142</Lines>
  <Paragraphs>40</Paragraphs>
  <ScaleCrop>false</ScaleCrop>
  <Company/>
  <LinksUpToDate>false</LinksUpToDate>
  <CharactersWithSpaces>20038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Marjola Thanaj</cp:lastModifiedBy>
  <cp:revision>4</cp:revision>
  <dcterms:created xsi:type="dcterms:W3CDTF">2025-02-11T19:09:00Z</dcterms:created>
  <dcterms:modified xsi:type="dcterms:W3CDTF">2025-02-12T09:34:00Z</dcterms:modified>
</cp:coreProperties>
</file>