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Supplementary information:</w:t>
      </w:r>
    </w:p>
    <w:p w:rsidR="00000000" w:rsidDel="00000000" w:rsidP="00000000" w:rsidRDefault="00000000" w:rsidRPr="00000000" w14:paraId="00000002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Fourier-inspired Automatic Cobb Angles Measurement for Adolescent Idiopathic Scoliosis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940300"/>
            <wp:effectExtent b="0" l="0" r="0" t="0"/>
            <wp:docPr id="212070827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b w:val="1"/>
          <w:rtl w:val="0"/>
        </w:rPr>
        <w:t xml:space="preserve">Supplementary Figure S1.</w:t>
      </w:r>
      <w:r w:rsidDel="00000000" w:rsidR="00000000" w:rsidRPr="00000000">
        <w:rPr>
          <w:rtl w:val="0"/>
        </w:rPr>
        <w:t xml:space="preserve"> Zero padding in the spatial domain before applying Fourier transform helps obtaining a higher resolution of spectrum. As visualized, a 256-dimensional unpad sequence is associated with a rougher spectrum. This behavior explains the better performance with the model with padding applied.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860800"/>
            <wp:effectExtent b="0" l="0" r="0" t="0"/>
            <wp:docPr id="212070828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b w:val="1"/>
          <w:rtl w:val="0"/>
        </w:rPr>
        <w:t xml:space="preserve">Supplementary Figure S2.</w:t>
      </w:r>
      <w:r w:rsidDel="00000000" w:rsidR="00000000" w:rsidRPr="00000000">
        <w:rPr>
          <w:rtl w:val="0"/>
        </w:rPr>
        <w:t xml:space="preserve"> The prototype Cobb angles measurement application, when working in conjunction with a hand-held X-ray device, may provide an ideal solution for scoliosis screening in resource-constrained environments.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0" distT="0" distL="0" distR="0">
            <wp:extent cx="5935980" cy="2720340"/>
            <wp:effectExtent b="0" l="0" r="0" t="0"/>
            <wp:docPr id="212070828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720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b w:val="1"/>
          <w:rtl w:val="0"/>
        </w:rPr>
        <w:t xml:space="preserve">Supplementary Figure S3.</w:t>
      </w:r>
      <w:r w:rsidDel="00000000" w:rsidR="00000000" w:rsidRPr="00000000">
        <w:rPr>
          <w:rtl w:val="0"/>
        </w:rPr>
        <w:t xml:space="preserve"> Sample radiographs from the MICCAI 2019 scoliosis dataset. The images show varied heights and widths, so data preprocessing is critical.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0" distT="0" distL="0" distR="0">
            <wp:extent cx="5935980" cy="5974080"/>
            <wp:effectExtent b="0" l="0" r="0" t="0"/>
            <wp:docPr id="212070828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5974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b w:val="1"/>
          <w:rtl w:val="0"/>
        </w:rPr>
        <w:t xml:space="preserve">Supplementary Figure S4.</w:t>
      </w:r>
      <w:r w:rsidDel="00000000" w:rsidR="00000000" w:rsidRPr="00000000">
        <w:rPr>
          <w:rtl w:val="0"/>
        </w:rPr>
        <w:t xml:space="preserve"> The distribution of Cobb angles. Every image is labeled with three Cobb angles. The distribution of the TL angles shows a high standard deviation.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0" distT="0" distL="0" distR="0">
            <wp:extent cx="5943600" cy="2446020"/>
            <wp:effectExtent b="0" l="0" r="0" t="0"/>
            <wp:docPr id="212070828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6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b w:val="1"/>
          <w:rtl w:val="0"/>
        </w:rPr>
        <w:t xml:space="preserve">Supplementary Figure S5.</w:t>
      </w:r>
      <w:r w:rsidDel="00000000" w:rsidR="00000000" w:rsidRPr="00000000">
        <w:rPr>
          <w:rtl w:val="0"/>
        </w:rPr>
        <w:t xml:space="preserve"> The U-NET generated the predicted segmentation mask as one of the three input channels to the spectrum prediction model. To keep the pipeline compact, the input radiograph is resized to a quarter of its width and height. In the output, the segmented image is reverted to the original dimension.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0" distT="0" distL="0" distR="0">
            <wp:extent cx="5913120" cy="3154680"/>
            <wp:effectExtent b="0" l="0" r="0" t="0"/>
            <wp:docPr id="212070828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154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b w:val="1"/>
          <w:rtl w:val="0"/>
        </w:rPr>
        <w:t xml:space="preserve">Supplementary Figure S6.</w:t>
      </w:r>
      <w:r w:rsidDel="00000000" w:rsidR="00000000" w:rsidRPr="00000000">
        <w:rPr>
          <w:rtl w:val="0"/>
        </w:rPr>
        <w:t xml:space="preserve"> The gradient channel emphasizes the bone edges while suppressing the rest. The gradient channel is a scaled pixel-wise addition of the LaPlacian of the radiograph and the Sobel-filtered image.</w:t>
      </w:r>
    </w:p>
    <w:sectPr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-US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0B284A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0B284A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0B284A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0B284A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0B284A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0B284A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0B284A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0B284A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0B284A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0B284A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0B284A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0B284A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0B284A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0B284A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0B284A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0B284A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0B284A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0B284A"/>
    <w:rPr>
      <w:rFonts w:cstheme="majorBidi" w:eastAsiaTheme="majorEastAsia"/>
      <w:color w:val="272727" w:themeColor="text1" w:themeTint="0000D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0B284A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B284A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0B284A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0B284A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0B284A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0B284A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0B284A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0B284A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0B284A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B284A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0B284A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2" Type="http://schemas.openxmlformats.org/officeDocument/2006/relationships/image" Target="media/image2.pn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6Bsfh460icwuSBctYTKE5k2h4Q==">CgMxLjA4AHIhMTZYOUpXT3ljdDBKVVI0bkx6OEViVzllY04zU2h4WFM0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2025-01-08T06:35:00Z</dcterms:created>
  <dc:creator>Zhong, Yishan</dc:creator>
</cp:coreProperties>
</file>