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F035D" w14:textId="5BED291D" w:rsidR="00666C3D" w:rsidRDefault="00666C3D" w:rsidP="00666C3D">
      <w:pPr>
        <w:spacing w:after="240"/>
        <w:jc w:val="both"/>
        <w:rPr>
          <w:b/>
          <w:bCs/>
        </w:rPr>
      </w:pPr>
      <w:r w:rsidRPr="0026290E">
        <w:rPr>
          <w:b/>
          <w:bCs/>
        </w:rPr>
        <w:t>Extended Data</w:t>
      </w:r>
      <w:r w:rsidR="00FC345E">
        <w:rPr>
          <w:b/>
          <w:bCs/>
        </w:rPr>
        <w:t xml:space="preserve"> and Supplementary Material </w:t>
      </w:r>
      <w:r w:rsidR="00731D50" w:rsidRPr="00AD6630">
        <w:t xml:space="preserve">for McShea &amp; </w:t>
      </w:r>
      <w:r w:rsidR="00731D50">
        <w:t>D</w:t>
      </w:r>
      <w:r w:rsidR="00731D50" w:rsidRPr="00AD6630">
        <w:t xml:space="preserve">e Anda et al., </w:t>
      </w:r>
      <w:r w:rsidR="00F43DB6" w:rsidRPr="00F43DB6">
        <w:t>Archaeal lineages related to eukaryotes encode functional diterpenoid cyclases</w:t>
      </w:r>
      <w:r w:rsidR="00731D50">
        <w:t>.</w:t>
      </w:r>
    </w:p>
    <w:p w14:paraId="40E0E99E" w14:textId="77777777" w:rsidR="00666C3D" w:rsidRDefault="00666C3D" w:rsidP="00666C3D">
      <w:pPr>
        <w:spacing w:after="240"/>
        <w:jc w:val="both"/>
        <w:rPr>
          <w:b/>
          <w:bCs/>
        </w:rPr>
      </w:pPr>
      <w:r>
        <w:rPr>
          <w:b/>
          <w:bCs/>
        </w:rPr>
        <w:t>Supplementary Text</w:t>
      </w:r>
    </w:p>
    <w:p w14:paraId="349CAD61" w14:textId="28976735" w:rsidR="00666C3D" w:rsidRDefault="004605A1" w:rsidP="00666C3D">
      <w:pPr>
        <w:spacing w:after="240"/>
        <w:jc w:val="both"/>
        <w:rPr>
          <w:b/>
          <w:bCs/>
        </w:rPr>
      </w:pPr>
      <w:r w:rsidRPr="004605A1">
        <w:rPr>
          <w:color w:val="000000"/>
        </w:rPr>
        <w:t xml:space="preserve">Both sterols and hopanoids are synthesized from the isoprenoid precursors isopentenyl diphosphate (IPP) and its isomer dimethylallyl diphosphate (DMAPP). These precursors are synthesized across the tree of life through either the mevalonate (MVA) or methylerthritol 4-phosphate (MEP) pathway and joined to form isoprenoid chains of various lengths. Sterol- and hopanoid-producing organisms produce 15-carbon (C15) isoprenoids, join these to form a C30 substrate, and then engage a lengthy pathway to produce the final membrane lipid.  Here, we explore the sterol or hopanoid biosynthesis capacity of Asgard archaea by searching isoprenoid pathways in 4,578 proteomes comprising 3,585 archaea (668 TACK, 644 DPANN, 1406 Euryarchaeota, and 867 Asgard), and 993 </w:t>
      </w:r>
      <w:r w:rsidR="00FD6229">
        <w:rPr>
          <w:color w:val="000000"/>
        </w:rPr>
        <w:t>e</w:t>
      </w:r>
      <w:r w:rsidRPr="00FD6229">
        <w:rPr>
          <w:color w:val="000000"/>
        </w:rPr>
        <w:t>ukaryotes (Supplementary Table 1). W</w:t>
      </w:r>
      <w:r w:rsidRPr="004605A1">
        <w:rPr>
          <w:color w:val="000000"/>
        </w:rPr>
        <w:t>e used curated hidden Markov models (HMM) implemented in MEBS v1.2</w:t>
      </w:r>
      <w:r w:rsidR="00A11F3C">
        <w:rPr>
          <w:color w:val="000000"/>
        </w:rPr>
        <w:fldChar w:fldCharType="begin"/>
      </w:r>
      <w:r w:rsidR="00A11F3C">
        <w:rPr>
          <w:color w:val="000000"/>
        </w:rPr>
        <w:instrText xml:space="preserve"> ADDIN ZOTERO_ITEM CSL_CITATION {"citationID":"aAkIRk7E","properties":{"formattedCitation":"\\super 1\\nosupersub{}","plainCitation":"1","noteIndex":0},"citationItems":[{"id":4698,"uris":["http://zotero.org/users/5161964/items/SA9PYN45"],"itemData":{"id":4698,"type":"article-journal","abstract":"The increasing number of metagenomic and genomic sequences has dramatically improved our understanding of microbial diversity, yet our ability to infer metabolic capabilities in such datasets remains challenging. We describe the Multigenomic Entropy Based Score pipeline (MEBS), a software platform designed to evaluate, compare, and infer complex metabolic pathways in large “omic” datasets, including entire biogeochemical cycles. MEBS is open source and available through https://github.com/eead-csic-compbio/metagenome_Pfam_score. To demonstrate its use, we modeled the sulfur cycle by exhaustively curating the molecular and ecological elements involved (compounds, genes, metabolic pathways, and microbial taxa). This information was reduced to a collection of 112 characteristic Pfam protein domains and a list of complete-sequenced sulfur genomes. Using the mathematical framework of relative entropy (H΄), we quantitatively measured the enrichment of these domains among sulfur genomes. The entropy of each domain was used both to build up a final score that indicates whether a (meta)genomic sample contains the metabolic machinery of interest and to propose marker domains in metagenomic sequences such as DsrC (PF04358). MEBS was benchmarked with a dataset of 2107 non-redundant microbial genomes from RefSeq and 935 metagenomes from MG-RAST. Its performance, reproducibility, and robustness were evaluated using several approaches, including random sampling, linear regression models, receiver operator characteristic plots, and the area under the curve metric (AUC). Our results support the broad applicability of this algorithm to accurately classify (AUC = 0.985) hard-to-culture genomes (e.g., Candidatus Desulforudis audaxviator), previously characterized ones, and metagenomic environments such as hydrothermal vents, or deep-sea sediment. Our benchmark indicates that an entropy-based score can capture the metabolic machinery of interest and can be used to efficiently classify large genomic and metagenomic datasets, including uncultivated/unexplored taxa.","container-title":"GigaScience","DOI":"10.1093/gigascience/gix096","ISSN":"2047-217X","issue":"11","journalAbbreviation":"GigaScience","page":"gix096","source":"Silverchair","title":"MEBS, a software platform to evaluate large (meta)genomic collections according to their metabolic machinery: unraveling the sulfur cycle","title-short":"MEBS, a software platform to evaluate large (meta)genomic collections according to their metabolic machinery","volume":"6","author":[{"family":"De Anda","given":"Valerie"},{"family":"Zapata-Peñasco","given":"Icoquih"},{"family":"Poot-Hernandez","given":"Augusto Cesar"},{"family":"Eguiarte","given":"Luis E"},{"family":"Contreras-Moreira","given":"Bruno"},{"family":"Souza","given":"Valeria"}],"issued":{"date-parts":[["2017",11,1]]}}}],"schema":"https://github.com/citation-style-language/schema/raw/master/csl-citation.json"} </w:instrText>
      </w:r>
      <w:r w:rsidR="00A11F3C">
        <w:rPr>
          <w:color w:val="000000"/>
        </w:rPr>
        <w:fldChar w:fldCharType="separate"/>
      </w:r>
      <w:r w:rsidR="00A11F3C" w:rsidRPr="00A11F3C">
        <w:rPr>
          <w:vertAlign w:val="superscript"/>
        </w:rPr>
        <w:t>1</w:t>
      </w:r>
      <w:r w:rsidR="00A11F3C">
        <w:rPr>
          <w:color w:val="000000"/>
        </w:rPr>
        <w:fldChar w:fldCharType="end"/>
      </w:r>
      <w:r w:rsidRPr="004605A1">
        <w:rPr>
          <w:color w:val="000000"/>
          <w:vertAlign w:val="superscript"/>
        </w:rPr>
        <w:t xml:space="preserve"> </w:t>
      </w:r>
      <w:r w:rsidRPr="004605A1">
        <w:rPr>
          <w:color w:val="000000"/>
        </w:rPr>
        <w:t>to establish the presence/absence of sterol biosynthesis Pfams as well as Interproscan v5.61- 93.0-64 and BLAST searches of public databases. We first focused on the synthesis of isoprenoid building blocks IPP and DMAPP, via MVA and MEP pathways (</w:t>
      </w:r>
      <w:r w:rsidR="00F05851">
        <w:rPr>
          <w:color w:val="000000"/>
        </w:rPr>
        <w:t>Supplementary Table 2)</w:t>
      </w:r>
      <w:r w:rsidRPr="004605A1">
        <w:rPr>
          <w:color w:val="000000"/>
        </w:rPr>
        <w:t>. IPP and DMAPP are generated through the MEP pathway in most bacteria, and through the MVA pathway in eukaryotes and archaea</w:t>
      </w:r>
      <w:r w:rsidR="001C4603">
        <w:rPr>
          <w:color w:val="000000"/>
        </w:rPr>
        <w:fldChar w:fldCharType="begin"/>
      </w:r>
      <w:r w:rsidR="001C4603">
        <w:rPr>
          <w:color w:val="000000"/>
        </w:rPr>
        <w:instrText xml:space="preserve"> ADDIN ZOTERO_ITEM CSL_CITATION {"citationID":"QDnge9qk","properties":{"formattedCitation":"\\super 2,3\\nosupersub{}","plainCitation":"2,3","noteIndex":0},"citationItems":[{"id":964,"uris":["http://zotero.org/users/5161964/items/LPF3KXTS"],"itemData":{"id":964,"type":"article-journal","abstract":"Isoprenoids are a very diverse family of organic compounds widespread in the three domains of life. Although they are produced from the condensation of the same precursors in all organisms (isopentenyl pyrophosphate and dimethylallyl diphosphate), the evolutionary origin of their biosynthesis remains controversial. Two independent nonhomologous metabolic pathways are known: the mevalonate (MVA) pathway in eukaryotes and archaea and the methylerythritol phosphate (MEP) pathway in bacteria and several photosynthetic eukaryotes. The MVA pathway is also found in a few bacteria, what has been explained in previous works by recent acquisition by horizontal gene transfer (HGT) from eukaryotic or archaeal donors. To reconsider the question of the evolutionary origin of the MVA pathway, we have studied the origin and the evolution of the enzymes of this pathway using phylogenomic analyses upon a taxon-rich sequence database. On the one hand, our results confirm the conservation in archaea of an MVA pathway partially different from eukaryotes. This implies that each domain of life possesses a characteristic major isoprenoid biosynthesis pathway: the classical MVA pathway in eukaryotes, a modified MVA pathway in archaea, and the MEP pathway in bacteria. On the other hand, despite the identification of several HGT events, our analyses support that the MVA pathway was ancestral not only in archaea and eukaryotes but also in bacteria, in contradiction with previous claims that the presence of this pathway in bacteria was due to HGT from other domains. Therefore, the MVA pathway is likely an ancestral metabolic route in all the three domains of life, and hence, it was probably present in the last common ancestor of all organisms (the cenancestor). These findings open the possibility that the cenancestor had membranes containing isoprenoids.","container-title":"Molecular Biology and Evolution","DOI":"10.1093/molbev/msq177","ISSN":"0737-4038","issue":"1","journalAbbreviation":"Molecular Biology and Evolution","page":"87-99","source":"Silverchair","title":"Origins and Early Evolution of the Mevalonate Pathway of Isoprenoid Biosynthesis in the Three Domains of Life","volume":"28","author":[{"family":"Lombard","given":"Jonathan"},{"family":"Moreira","given":"David"}],"issued":{"date-parts":[["2011",1,1]]}}},{"id":5059,"uris":["http://zotero.org/users/5161964/items/5Z83IICC"],"itemData":{"id":5059,"type":"article-journal","abstract":"Isoprenoids and their derivatives represent the largest group of organic compounds in nature and are distributed universally in the three domains of life. Isoprenoids are biosynthesized from isoprenyl diphosphate units, generated by two distinctive biosynthetic pathways: mevalonate pathway and methylerthritol 4-phosphate pathway. Archaea and eukaryotes exclusively have the former pathway, while most bacteria have the latter. Some bacteria, however, are known to possess the mevalonate pathway genes. Understanding the evolutionary history of these two isoprenoid biosynthesis pathways in each domain of life is critical since isoprenoids are so interweaved in the architecture of life that they would have had indispensable roles in the early evolution of life. Our study provides a detailed phylogenetic analysis of enzymes involved in the mevalonate pathway and sheds new light on its evolutionary history. The results suggest that a potential mevalonate pathway is present in the recently discovered superphylum Candidate Phyla Radiation (CPR), and further suggest a strong evolutionary relationship exists between archaea and CPR. Interestingly, CPR harbors the characteristics of both the bacterial-type and archaeal-type mevalonate pathways and may retain signatures regarding the ancestral isoprenoid biosynthesis pathway in the last universal common ancestor. Our study supports the ancient origin of the mevalonate pathway in the three domains of life as previously inferred, but concludes that the evolution of the mevalonate pathway was more complex.","container-title":"Molecular Biology and Evolution","DOI":"10.1093/molbev/msy120","ISSN":"0737-4038","issue":"9","journalAbbreviation":"Molecular Biology and Evolution","page":"2185-2197","source":"Silverchair","title":"On the Origin of Isoprenoid Biosynthesis","volume":"35","author":[{"family":"Hoshino","given":"Yosuke"},{"family":"Gaucher","given":"Eric A"}],"issued":{"date-parts":[["2018",9,1]]}}}],"schema":"https://github.com/citation-style-language/schema/raw/master/csl-citation.json"} </w:instrText>
      </w:r>
      <w:r w:rsidR="001C4603">
        <w:rPr>
          <w:color w:val="000000"/>
        </w:rPr>
        <w:fldChar w:fldCharType="separate"/>
      </w:r>
      <w:r w:rsidR="001C4603" w:rsidRPr="001C4603">
        <w:rPr>
          <w:vertAlign w:val="superscript"/>
        </w:rPr>
        <w:t>2,3</w:t>
      </w:r>
      <w:r w:rsidR="001C4603">
        <w:rPr>
          <w:color w:val="000000"/>
        </w:rPr>
        <w:fldChar w:fldCharType="end"/>
      </w:r>
      <w:r w:rsidR="001C4603">
        <w:rPr>
          <w:color w:val="000000"/>
        </w:rPr>
        <w:t>.</w:t>
      </w:r>
      <w:r w:rsidRPr="004605A1">
        <w:rPr>
          <w:color w:val="000000"/>
        </w:rPr>
        <w:t xml:space="preserve"> In archaea, isoprenoids from the MVA pathway are ether-linked to glycerol to form bulk membrane lipids known as glycerol dialkyl glycerol tetraethers (GDGTs)</w:t>
      </w:r>
      <w:r w:rsidR="00CD2EDE">
        <w:rPr>
          <w:color w:val="000000"/>
        </w:rPr>
        <w:fldChar w:fldCharType="begin"/>
      </w:r>
      <w:r w:rsidR="00CD2EDE">
        <w:rPr>
          <w:color w:val="000000"/>
        </w:rPr>
        <w:instrText xml:space="preserve"> ADDIN ZOTERO_ITEM CSL_CITATION {"citationID":"99z6SMem","properties":{"formattedCitation":"\\super 4\\nosupersub{}","plainCitation":"4","noteIndex":0},"citationItems":[{"id":5055,"uris":["http://zotero.org/users/5161964/items/CZJ4DQFG"],"itemData":{"id":5055,"type":"article-journal","abstract":"Isoprenoids make up a remarkably diverse class of more than 25000 biomolecules that include familiar compounds such as cholesterol, chlorophyll, vitamin A, ubiquinone, and natural rubber. The two essential building blocks of all isoprenoids, isopentenyl pyrophosphate (IPP) and dimethylallyl pyrophosphate (DMAPP), are ubiquitous in the three domains of life. In most eukaryotes and archaea, IPP and DMAPP are generated through the mevalonate pathway. We have identified two novel enzymes, mevalonate-3-kinase and mevalonate-3-phosphate-5-kinase from Thermoplasma acidophilum, which act sequentially in a putative alternate mevalonate pathway. We propose that a yet unidentified ATP-independent decarboxylase acts upon mevalonate 3,5-bisphosphate, yielding isopentenyl phosphate, which is subsequently phosphorylated by the known isopentenyl phosphate kinase from T. acidophilum to generate the universal isoprenoid precursor, IPP.","container-title":"Biochemistry","DOI":"10.1021/bi500566q","ISSN":"0006-2960","issue":"25","journalAbbreviation":"Biochemistry","note":"publisher: American Chemical Society","page":"4161-4168","source":"ACS Publications","title":"Evidence of a Novel Mevalonate Pathway in Archaea","volume":"53","author":[{"family":"Vinokur","given":"Jeffrey M."},{"family":"Korman","given":"Tyler P."},{"family":"Cao","given":"Zheng"},{"family":"Bowie","given":"James U."}],"issued":{"date-parts":[["2014",7,1]]}}}],"schema":"https://github.com/citation-style-language/schema/raw/master/csl-citation.json"} </w:instrText>
      </w:r>
      <w:r w:rsidR="00CD2EDE">
        <w:rPr>
          <w:color w:val="000000"/>
        </w:rPr>
        <w:fldChar w:fldCharType="separate"/>
      </w:r>
      <w:r w:rsidR="00CD2EDE" w:rsidRPr="00CD2EDE">
        <w:rPr>
          <w:vertAlign w:val="superscript"/>
        </w:rPr>
        <w:t>4</w:t>
      </w:r>
      <w:r w:rsidR="00CD2EDE">
        <w:rPr>
          <w:color w:val="000000"/>
        </w:rPr>
        <w:fldChar w:fldCharType="end"/>
      </w:r>
      <w:r w:rsidRPr="004605A1">
        <w:rPr>
          <w:color w:val="000000"/>
        </w:rPr>
        <w:t>. Lombard</w:t>
      </w:r>
      <w:r w:rsidR="00CD2EDE">
        <w:rPr>
          <w:color w:val="000000"/>
        </w:rPr>
        <w:t xml:space="preserve"> and Moreira</w:t>
      </w:r>
      <w:r w:rsidR="00CD2EDE">
        <w:rPr>
          <w:color w:val="000000"/>
        </w:rPr>
        <w:fldChar w:fldCharType="begin"/>
      </w:r>
      <w:r w:rsidR="00CD2EDE">
        <w:rPr>
          <w:color w:val="000000"/>
        </w:rPr>
        <w:instrText xml:space="preserve"> ADDIN ZOTERO_ITEM CSL_CITATION {"citationID":"Ylb4x097","properties":{"formattedCitation":"\\super 2\\nosupersub{}","plainCitation":"2","noteIndex":0},"citationItems":[{"id":964,"uris":["http://zotero.org/users/5161964/items/LPF3KXTS"],"itemData":{"id":964,"type":"article-journal","abstract":"Isoprenoids are a very diverse family of organic compounds widespread in the three domains of life. Although they are produced from the condensation of the same precursors in all organisms (isopentenyl pyrophosphate and dimethylallyl diphosphate), the evolutionary origin of their biosynthesis remains controversial. Two independent nonhomologous metabolic pathways are known: the mevalonate (MVA) pathway in eukaryotes and archaea and the methylerythritol phosphate (MEP) pathway in bacteria and several photosynthetic eukaryotes. The MVA pathway is also found in a few bacteria, what has been explained in previous works by recent acquisition by horizontal gene transfer (HGT) from eukaryotic or archaeal donors. To reconsider the question of the evolutionary origin of the MVA pathway, we have studied the origin and the evolution of the enzymes of this pathway using phylogenomic analyses upon a taxon-rich sequence database. On the one hand, our results confirm the conservation in archaea of an MVA pathway partially different from eukaryotes. This implies that each domain of life possesses a characteristic major isoprenoid biosynthesis pathway: the classical MVA pathway in eukaryotes, a modified MVA pathway in archaea, and the MEP pathway in bacteria. On the other hand, despite the identification of several HGT events, our analyses support that the MVA pathway was ancestral not only in archaea and eukaryotes but also in bacteria, in contradiction with previous claims that the presence of this pathway in bacteria was due to HGT from other domains. Therefore, the MVA pathway is likely an ancestral metabolic route in all the three domains of life, and hence, it was probably present in the last common ancestor of all organisms (the cenancestor). These findings open the possibility that the cenancestor had membranes containing isoprenoids.","container-title":"Molecular Biology and Evolution","DOI":"10.1093/molbev/msq177","ISSN":"0737-4038","issue":"1","journalAbbreviation":"Molecular Biology and Evolution","page":"87-99","source":"Silverchair","title":"Origins and Early Evolution of the Mevalonate Pathway of Isoprenoid Biosynthesis in the Three Domains of Life","volume":"28","author":[{"family":"Lombard","given":"Jonathan"},{"family":"Moreira","given":"David"}],"issued":{"date-parts":[["2011",1,1]]}}}],"schema":"https://github.com/citation-style-language/schema/raw/master/csl-citation.json"} </w:instrText>
      </w:r>
      <w:r w:rsidR="00CD2EDE">
        <w:rPr>
          <w:color w:val="000000"/>
        </w:rPr>
        <w:fldChar w:fldCharType="separate"/>
      </w:r>
      <w:r w:rsidR="00CD2EDE" w:rsidRPr="00CD2EDE">
        <w:rPr>
          <w:vertAlign w:val="superscript"/>
        </w:rPr>
        <w:t>2</w:t>
      </w:r>
      <w:r w:rsidR="00CD2EDE">
        <w:rPr>
          <w:color w:val="000000"/>
        </w:rPr>
        <w:fldChar w:fldCharType="end"/>
      </w:r>
      <w:r w:rsidRPr="004605A1">
        <w:rPr>
          <w:color w:val="000000"/>
        </w:rPr>
        <w:t xml:space="preserve"> first suggested that the MVA was inherited from the last universal common ancestor (LUCA) and was later replaced by the MEP pathway in bacteria. Yet, it was recently proposed that MVA genes in eukaryotes were derived from myxobacteria</w:t>
      </w:r>
      <w:r w:rsidR="00C3322B">
        <w:rPr>
          <w:color w:val="000000"/>
        </w:rPr>
        <w:fldChar w:fldCharType="begin"/>
      </w:r>
      <w:r w:rsidR="00C3322B">
        <w:rPr>
          <w:color w:val="000000"/>
        </w:rPr>
        <w:instrText xml:space="preserve"> ADDIN ZOTERO_ITEM CSL_CITATION {"citationID":"m9xyYeI2","properties":{"formattedCitation":"\\super 5\\nosupersub{}","plainCitation":"5","noteIndex":0},"citationItems":[{"id":968,"uris":["http://zotero.org/users/5161964/items/KW4CTS6L"],"itemData":{"id":968,"type":"article-journal","container-title":"Proceedings of the National Academy of Sciences","DOI":"10.1073/pnas.2101276118","issue":"25","note":"publisher: Proceedings of the National Academy of Sciences","page":"e2101276118","source":"pnas.org (Atypon)","title":"Evolution of bacterial steroid biosynthesis and its impact on eukaryogenesis","volume":"118","author":[{"family":"Hoshino","given":"Yosuke"},{"family":"Gaucher","given":"Eric A."}],"issued":{"date-parts":[["2021",6,22]]}}}],"schema":"https://github.com/citation-style-language/schema/raw/master/csl-citation.json"} </w:instrText>
      </w:r>
      <w:r w:rsidR="00C3322B">
        <w:rPr>
          <w:color w:val="000000"/>
        </w:rPr>
        <w:fldChar w:fldCharType="separate"/>
      </w:r>
      <w:r w:rsidR="00C3322B" w:rsidRPr="00C3322B">
        <w:rPr>
          <w:vertAlign w:val="superscript"/>
        </w:rPr>
        <w:t>5</w:t>
      </w:r>
      <w:r w:rsidR="00C3322B">
        <w:rPr>
          <w:color w:val="000000"/>
        </w:rPr>
        <w:fldChar w:fldCharType="end"/>
      </w:r>
      <w:r w:rsidRPr="004605A1">
        <w:rPr>
          <w:color w:val="000000"/>
        </w:rPr>
        <w:t>, contrary to the previous inference that the eukaryotic MVA pathway was inherited vertically from LUCA</w:t>
      </w:r>
      <w:r w:rsidR="00FD6CAA">
        <w:rPr>
          <w:color w:val="000000"/>
        </w:rPr>
        <w:fldChar w:fldCharType="begin"/>
      </w:r>
      <w:r w:rsidR="00FD6CAA">
        <w:rPr>
          <w:color w:val="000000"/>
        </w:rPr>
        <w:instrText xml:space="preserve"> ADDIN ZOTERO_ITEM CSL_CITATION {"citationID":"7vX6mXB8","properties":{"formattedCitation":"\\super 3\\nosupersub{}","plainCitation":"3","noteIndex":0},"citationItems":[{"id":5059,"uris":["http://zotero.org/users/5161964/items/5Z83IICC"],"itemData":{"id":5059,"type":"article-journal","abstract":"Isoprenoids and their derivatives represent the largest group of organic compounds in nature and are distributed universally in the three domains of life. Isoprenoids are biosynthesized from isoprenyl diphosphate units, generated by two distinctive biosynthetic pathways: mevalonate pathway and methylerthritol 4-phosphate pathway. Archaea and eukaryotes exclusively have the former pathway, while most bacteria have the latter. Some bacteria, however, are known to possess the mevalonate pathway genes. Understanding the evolutionary history of these two isoprenoid biosynthesis pathways in each domain of life is critical since isoprenoids are so interweaved in the architecture of life that they would have had indispensable roles in the early evolution of life. Our study provides a detailed phylogenetic analysis of enzymes involved in the mevalonate pathway and sheds new light on its evolutionary history. The results suggest that a potential mevalonate pathway is present in the recently discovered superphylum Candidate Phyla Radiation (CPR), and further suggest a strong evolutionary relationship exists between archaea and CPR. Interestingly, CPR harbors the characteristics of both the bacterial-type and archaeal-type mevalonate pathways and may retain signatures regarding the ancestral isoprenoid biosynthesis pathway in the last universal common ancestor. Our study supports the ancient origin of the mevalonate pathway in the three domains of life as previously inferred, but concludes that the evolution of the mevalonate pathway was more complex.","container-title":"Molecular Biology and Evolution","DOI":"10.1093/molbev/msy120","ISSN":"0737-4038","issue":"9","journalAbbreviation":"Molecular Biology and Evolution","page":"2185-2197","source":"Silverchair","title":"On the Origin of Isoprenoid Biosynthesis","volume":"35","author":[{"family":"Hoshino","given":"Yosuke"},{"family":"Gaucher","given":"Eric A"}],"issued":{"date-parts":[["2018",9,1]]}}}],"schema":"https://github.com/citation-style-language/schema/raw/master/csl-citation.json"} </w:instrText>
      </w:r>
      <w:r w:rsidR="00FD6CAA">
        <w:rPr>
          <w:color w:val="000000"/>
        </w:rPr>
        <w:fldChar w:fldCharType="separate"/>
      </w:r>
      <w:r w:rsidR="00FD6CAA" w:rsidRPr="00FD6CAA">
        <w:rPr>
          <w:vertAlign w:val="superscript"/>
        </w:rPr>
        <w:t>3</w:t>
      </w:r>
      <w:r w:rsidR="00FD6CAA">
        <w:rPr>
          <w:color w:val="000000"/>
        </w:rPr>
        <w:fldChar w:fldCharType="end"/>
      </w:r>
      <w:r w:rsidRPr="004605A1">
        <w:rPr>
          <w:color w:val="000000"/>
        </w:rPr>
        <w:t>.  Rather than focusing on individual protein phylogenies from the MVA or MEP pathway, we evaluated the phylogenomic distribution of homologous protein families across a comprehensive genomic dataset of archaea and eukaryotes. The MVA pathway is widespread in Archaea and eukaryotes, except Huberarchaeota (DPANN) where none of the isoprenoid/sterol biosynthesis pathways seem to be present (</w:t>
      </w:r>
      <w:r w:rsidR="00F05851">
        <w:rPr>
          <w:color w:val="000000"/>
        </w:rPr>
        <w:t>Extended Data Fig. 1</w:t>
      </w:r>
      <w:r w:rsidRPr="004605A1">
        <w:rPr>
          <w:color w:val="000000"/>
        </w:rPr>
        <w:t>). Huberarchaeaota have reduced genomes with genes for biosynthesis of cofactors and amino acids being rare, and obvious gaps in core metabolic pathways</w:t>
      </w:r>
      <w:r w:rsidR="00FD6CAA">
        <w:rPr>
          <w:color w:val="000000"/>
        </w:rPr>
        <w:fldChar w:fldCharType="begin"/>
      </w:r>
      <w:r w:rsidR="00FD6CAA">
        <w:rPr>
          <w:color w:val="000000"/>
        </w:rPr>
        <w:instrText xml:space="preserve"> ADDIN ZOTERO_ITEM CSL_CITATION {"citationID":"2tUfCDsO","properties":{"formattedCitation":"\\super 6\\nosupersub{}","plainCitation":"6","noteIndex":0},"citationItems":[{"id":5057,"uris":["http://zotero.org/users/5161964/items/8EGDJ5RY"],"itemData":{"id":5057,"type":"article-journal","abstract":"DPANN is known as highly diverse, globally widespread, and mostly ectosymbiotic archaeal superphylum. However, this group of archaea was overlooked for a long time, and there were limited in-depth studies reported. In this investigation, 41 metagenome-assembled genomes (MAGs) belonging to the DPANN superphylum were recovered (18 MAGs had average nucleotide identity [ANI] values of &lt;95% and a percentage of conserved proteins [POCP] of &gt;50%, while 14 MAGs showed a POCP of &lt;50%), which were analyzed comparatively with 515 other published DPANN genomes. Mismatches to known 16S rRNA gene primers were identified among 16S rRNA genes of DPANN archaea. Numbers of gene families lost (mostly related to energy and amino acid metabolism) were over three times greater than those gained in the evolution of DPANN archaea. Lateral gene transfer (LGT; </w:instrText>
      </w:r>
      <w:r w:rsidR="00FD6CAA">
        <w:rPr>
          <w:rFonts w:ascii="Cambria Math" w:hAnsi="Cambria Math" w:cs="Cambria Math"/>
          <w:color w:val="000000"/>
        </w:rPr>
        <w:instrText>∼</w:instrText>
      </w:r>
      <w:r w:rsidR="00FD6CAA">
        <w:rPr>
          <w:color w:val="000000"/>
        </w:rPr>
        <w:instrText xml:space="preserve">45.5% was cross-domain) had facilitated niche adaption of the DPANN archaea, ensuring a delicate equilibrium of streamlined genomes with efficient niche-adaptive strategies. For instance, LGT-derived cytochrome bd ubiquinol oxidase and arginine deiminase in the genomes of “Candidatus Micrarchaeota” could help them better adapt to aerobic acidic mine drainage habitats. In addition, most DPANN archaea acquired enzymes for biosynthesis of extracellular polymeric substances (EPS) and transketolase/transaldolase for the pentose phosphate pathway from Bacteria.\nIMPORTANCE The domain Archaea is a key research model for gaining insights into the origin and evolution of life, as well as the relevant biogeochemical processes. The discovery of nanosized DPANN archaea has overthrown many aspects of microbiology. However, the DPANN superphylum still contains a vast genetic novelty and diversity that need to be explored. Comprehensively comparative genomic analysis on the DPANN superphylum was performed in this study, with an attempt to illuminate its metabolic potential, ecological distribution and evolutionary history. Many interphylum differences within the DPANN superphylum were found. For example, Altiarchaeota had the biggest genome among DPANN phyla, possessing many pathways missing in other phyla, such as formaldehyde assimilation and the Wood-Ljungdahl pathway. In addition, LGT acted as an important force to provide DPANN archaeal genetic flexibility that permitted the occupation of diverse niches. This study has advanced our understanding of the diversity and genome evolution of archaea.","container-title":"mSystems","DOI":"10.1128/msystems.00602-21","issue":"4","note":"publisher: American Society for Microbiology","page":"10.1128/msystems.00602-21","source":"journals.asm.org (Atypon)","title":"Comparative Genomics Provides Insights into the Genetic Diversity and Evolution of the DPANN Superphylum","volume":"6","author":[{"family":"Li","given":"Liangzhi"},{"family":"Liu","given":"Zhenghua"},{"family":"Zhou","given":"Zhicheng"},{"family":"Zhang","given":"Min"},{"family":"Meng","given":"Delong"},{"family":"Liu","given":"Xueduan"},{"family":"Huang","given":"Ye"},{"family":"Li","given":"Xiutong"},{"family":"Jiang","given":"Zhen"},{"family":"Zhong","given":"Shuiping"},{"family":"Drewniak","given":"Lukasz"},{"family":"Yang","given":"Zhendong"},{"family":"Li","given":"Qian"},{"family":"Liu","given":"Yongjun"},{"family":"Nan","given":"Xiaolong"},{"family":"Jiang","given":"Biguang"},{"family":"Jiang","given":"Chengying"},{"family":"Yin","given":"Huaqun"}],"issued":{"date-parts":[["2021",7,13]]}}}],"schema":"https://github.com/citation-style-language/schema/raw/master/csl-citation.json"} </w:instrText>
      </w:r>
      <w:r w:rsidR="00FD6CAA">
        <w:rPr>
          <w:color w:val="000000"/>
        </w:rPr>
        <w:fldChar w:fldCharType="separate"/>
      </w:r>
      <w:r w:rsidR="00FD6CAA" w:rsidRPr="00FD6CAA">
        <w:rPr>
          <w:vertAlign w:val="superscript"/>
        </w:rPr>
        <w:t>6</w:t>
      </w:r>
      <w:r w:rsidR="00FD6CAA">
        <w:rPr>
          <w:color w:val="000000"/>
        </w:rPr>
        <w:fldChar w:fldCharType="end"/>
      </w:r>
      <w:r w:rsidRPr="004605A1">
        <w:rPr>
          <w:color w:val="000000"/>
        </w:rPr>
        <w:t>. The ubiquity of the MVA pathway in the entire archaeal domain is in agreement with previous studies suggesting the presence of this type of pathway in the archaeal common ancestor. Interestingly, we identified phosphomevalonate kinase (PMVK) – a key enzyme in the classical eukaryotic MVA pathway – in Asgard genomes (Heimdall-, Loki-, Hod- and Sif-). This is consistent with recent analysis using protein structure prediction and sensitive sequence searches to find many new eukaryotic signature proteins, including PMVK, in Asgard archaea</w:t>
      </w:r>
      <w:r w:rsidR="00F05851">
        <w:rPr>
          <w:color w:val="000000"/>
        </w:rPr>
        <w:fldChar w:fldCharType="begin"/>
      </w:r>
      <w:r w:rsidR="00F05851">
        <w:rPr>
          <w:color w:val="000000"/>
        </w:rPr>
        <w:instrText xml:space="preserve"> ADDIN ZOTERO_ITEM CSL_CITATION {"citationID":"ReZbsdPw","properties":{"formattedCitation":"\\super 7\\nosupersub{}","plainCitation":"7","noteIndex":0},"citationItems":[{"id":4791,"uris":["http://zotero.org/users/5161964/items/E847K749"],"itemData":{"id":4791,"type":"article","abstract":"Asgard archaea played a key role in the origin of the eukaryotic cell. While previous studies found that Asgard genomes encode diverse eukaryotic signature proteins (ESPs), representing homologs of proteins that play important roles in the complex organization of eukaryotic cells, the cellular characteristics and complexity of the Asgard archaeal ancestor of eukaryotes remain unclear. Here, we used de novo protein structure modeling and sensitive sequence similarity detection algorithms within an expanded Asgard archaeal genomic dataset to build a structural catalogue of the Asgard archaeal pangenome and identify 908 new ‘isomorphic’ ESPs (iESPs), representing clusters of protein structures most similar to eukaryotic proteins and that likely underwent extensive sequence divergence. While most previously identified ESPs were involved in cellular processes and signaling, iESPs are enriched in information storage and processing functions, with several being potentially implicated in facilitating cellular complexity. By expanding the complement of eukaryotic proteins in Asgard archaea, this study indicates that the archaeal ancestor of eukaryotes was more complex than previously assumed.","DOI":"10.1101/2024.07.03.601958","language":"en","license":"© 2024, Posted by Cold Spring Harbor Laboratory. This pre-print is available under a Creative Commons License (Attribution-NonCommercial 4.0 International), CC BY-NC 4.0, as described at http://creativecommons.org/licenses/by-nc/4.0/","note":"page: 2024.07.03.601958\nsection: New Results","publisher":"bioRxiv","source":"bioRxiv","title":"Structure-based inference of eukaryotic complexity in Asgard archaea","URL":"https://www.biorxiv.org/content/10.1101/2024.07.03.601958v1","author":[{"family":"Köstlbacher","given":"Stephan"},{"family":"Hooff","given":"Jolien J. E.","dropping-particle":"van"},{"family":"Panagiotou","given":"Kassiani"},{"family":"Tamarit","given":"Daniel"},{"family":"Anda","given":"Valerie De"},{"family":"Appler","given":"Kathryn E."},{"family":"Baker","given":"Brett J."},{"family":"Ettema","given":"Thijs J. G."}],"accessed":{"date-parts":[["2024",9,12]]},"issued":{"date-parts":[["2024",7,5]]}}}],"schema":"https://github.com/citation-style-language/schema/raw/master/csl-citation.json"} </w:instrText>
      </w:r>
      <w:r w:rsidR="00F05851">
        <w:rPr>
          <w:color w:val="000000"/>
        </w:rPr>
        <w:fldChar w:fldCharType="separate"/>
      </w:r>
      <w:r w:rsidR="00F05851" w:rsidRPr="00F05851">
        <w:rPr>
          <w:vertAlign w:val="superscript"/>
        </w:rPr>
        <w:t>7</w:t>
      </w:r>
      <w:r w:rsidR="00F05851">
        <w:rPr>
          <w:color w:val="000000"/>
        </w:rPr>
        <w:fldChar w:fldCharType="end"/>
      </w:r>
      <w:r w:rsidRPr="004605A1">
        <w:rPr>
          <w:color w:val="000000"/>
        </w:rPr>
        <w:t xml:space="preserve">. We also confirmed the presence of PMVK in DPANN genomes from </w:t>
      </w:r>
      <w:r w:rsidRPr="004605A1">
        <w:rPr>
          <w:i/>
          <w:iCs/>
          <w:color w:val="000000"/>
        </w:rPr>
        <w:t>Candidatus</w:t>
      </w:r>
      <w:r w:rsidRPr="004605A1">
        <w:rPr>
          <w:color w:val="000000"/>
        </w:rPr>
        <w:t xml:space="preserve"> Woesarchaeota and Microarchaeota </w:t>
      </w:r>
      <w:r w:rsidR="00F05851">
        <w:rPr>
          <w:color w:val="000000"/>
        </w:rPr>
        <w:t xml:space="preserve">(Extended Data Fig. 1) </w:t>
      </w:r>
      <w:r w:rsidRPr="004605A1">
        <w:rPr>
          <w:color w:val="000000"/>
        </w:rPr>
        <w:t>as was previously described by Hoshino</w:t>
      </w:r>
      <w:r w:rsidR="00830EBD">
        <w:rPr>
          <w:color w:val="000000"/>
        </w:rPr>
        <w:t xml:space="preserve"> and Gaucher</w:t>
      </w:r>
      <w:r w:rsidR="00830EBD">
        <w:rPr>
          <w:color w:val="000000"/>
        </w:rPr>
        <w:fldChar w:fldCharType="begin"/>
      </w:r>
      <w:r w:rsidR="00830EBD">
        <w:rPr>
          <w:color w:val="000000"/>
        </w:rPr>
        <w:instrText xml:space="preserve"> ADDIN ZOTERO_ITEM CSL_CITATION {"citationID":"NOV9I5Aq","properties":{"formattedCitation":"\\super 3\\nosupersub{}","plainCitation":"3","noteIndex":0},"citationItems":[{"id":5059,"uris":["http://zotero.org/users/5161964/items/5Z83IICC"],"itemData":{"id":5059,"type":"article-journal","abstract":"Isoprenoids and their derivatives represent the largest group of organic compounds in nature and are distributed universally in the three domains of life. Isoprenoids are biosynthesized from isoprenyl diphosphate units, generated by two distinctive biosynthetic pathways: mevalonate pathway and methylerthritol 4-phosphate pathway. Archaea and eukaryotes exclusively have the former pathway, while most bacteria have the latter. Some bacteria, however, are known to possess the mevalonate pathway genes. Understanding the evolutionary history of these two isoprenoid biosynthesis pathways in each domain of life is critical since isoprenoids are so interweaved in the architecture of life that they would have had indispensable roles in the early evolution of life. Our study provides a detailed phylogenetic analysis of enzymes involved in the mevalonate pathway and sheds new light on its evolutionary history. The results suggest that a potential mevalonate pathway is present in the recently discovered superphylum Candidate Phyla Radiation (CPR), and further suggest a strong evolutionary relationship exists between archaea and CPR. Interestingly, CPR harbors the characteristics of both the bacterial-type and archaeal-type mevalonate pathways and may retain signatures regarding the ancestral isoprenoid biosynthesis pathway in the last universal common ancestor. Our study supports the ancient origin of the mevalonate pathway in the three domains of life as previously inferred, but concludes that the evolution of the mevalonate pathway was more complex.","container-title":"Molecular Biology and Evolution","DOI":"10.1093/molbev/msy120","ISSN":"0737-4038","issue":"9","journalAbbreviation":"Molecular Biology and Evolution","page":"2185-2197","source":"Silverchair","title":"On the Origin of Isoprenoid Biosynthesis","volume":"35","author":[{"family":"Hoshino","given":"Yosuke"},{"family":"Gaucher","given":"Eric A"}],"issued":{"date-parts":[["2018",9,1]]}}}],"schema":"https://github.com/citation-style-language/schema/raw/master/csl-citation.json"} </w:instrText>
      </w:r>
      <w:r w:rsidR="00830EBD">
        <w:rPr>
          <w:color w:val="000000"/>
        </w:rPr>
        <w:fldChar w:fldCharType="separate"/>
      </w:r>
      <w:r w:rsidR="00830EBD" w:rsidRPr="00830EBD">
        <w:rPr>
          <w:vertAlign w:val="superscript"/>
        </w:rPr>
        <w:t>3</w:t>
      </w:r>
      <w:r w:rsidR="00830EBD">
        <w:rPr>
          <w:color w:val="000000"/>
        </w:rPr>
        <w:fldChar w:fldCharType="end"/>
      </w:r>
      <w:r w:rsidRPr="004605A1">
        <w:rPr>
          <w:color w:val="000000"/>
        </w:rPr>
        <w:t>. The presence of PMVK in Microarchaeota was attributed to a horizontal gene transfer event (HGT) to Microarchaeota during the early evolution of eukaryotes. Yet the presence of this enzyme in Asgard genomes could indicate this enzyme could have been present before the eukaryogenesis event.</w:t>
      </w:r>
    </w:p>
    <w:p w14:paraId="53F795A9" w14:textId="43B46BFC" w:rsidR="00184833" w:rsidRPr="0026290E" w:rsidRDefault="00184833" w:rsidP="00666C3D">
      <w:pPr>
        <w:spacing w:after="240"/>
        <w:jc w:val="both"/>
        <w:rPr>
          <w:b/>
          <w:bCs/>
        </w:rPr>
      </w:pPr>
      <w:r>
        <w:rPr>
          <w:b/>
          <w:bCs/>
          <w:noProof/>
          <w14:ligatures w14:val="standardContextual"/>
        </w:rPr>
        <w:lastRenderedPageBreak/>
        <w:drawing>
          <wp:inline distT="0" distB="0" distL="0" distR="0" wp14:anchorId="7B9F8B5E" wp14:editId="48A9C61A">
            <wp:extent cx="5943600" cy="3974465"/>
            <wp:effectExtent l="0" t="0" r="0" b="6985"/>
            <wp:docPr id="576133659" name="Graphic 1"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33659" name="Graphic 1" descr="P4#yIS1"/>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974465"/>
                    </a:xfrm>
                    <a:prstGeom prst="rect">
                      <a:avLst/>
                    </a:prstGeom>
                  </pic:spPr>
                </pic:pic>
              </a:graphicData>
            </a:graphic>
          </wp:inline>
        </w:drawing>
      </w:r>
    </w:p>
    <w:p w14:paraId="2C7DF737" w14:textId="655A4F6D" w:rsidR="00DA5B58" w:rsidRDefault="006E3E31" w:rsidP="00666C3D">
      <w:pPr>
        <w:pStyle w:val="NormalWeb"/>
        <w:spacing w:before="0" w:beforeAutospacing="0" w:after="240" w:afterAutospacing="0"/>
        <w:jc w:val="both"/>
        <w:rPr>
          <w:b/>
          <w:bCs/>
          <w:color w:val="000000"/>
        </w:rPr>
      </w:pPr>
      <w:r>
        <w:rPr>
          <w:b/>
          <w:bCs/>
        </w:rPr>
        <w:t>Extended Data</w:t>
      </w:r>
      <w:r w:rsidR="009719DC" w:rsidRPr="009719DC">
        <w:rPr>
          <w:b/>
          <w:bCs/>
        </w:rPr>
        <w:t xml:space="preserve"> Figure 1: </w:t>
      </w:r>
      <w:r w:rsidR="009719DC" w:rsidRPr="009719DC">
        <w:t>Overview of protein families and sterol biosynthesis gene</w:t>
      </w:r>
      <w:r w:rsidR="009719DC">
        <w:t xml:space="preserve"> homologs</w:t>
      </w:r>
      <w:r w:rsidR="009719DC" w:rsidRPr="009719DC">
        <w:t xml:space="preserve"> in archaea and </w:t>
      </w:r>
      <w:r w:rsidR="009719DC">
        <w:t>e</w:t>
      </w:r>
      <w:r w:rsidR="009719DC" w:rsidRPr="009719DC">
        <w:t xml:space="preserve">ukaryotes. a) </w:t>
      </w:r>
      <w:r w:rsidR="004A031E">
        <w:t xml:space="preserve">Distribution of sterol biosynthesis gene-containing Pfams </w:t>
      </w:r>
      <w:r w:rsidR="009719DC" w:rsidRPr="009719DC">
        <w:t>in the most up-to-date Asgard</w:t>
      </w:r>
      <w:r w:rsidR="004A031E">
        <w:t>a</w:t>
      </w:r>
      <w:r w:rsidR="009719DC" w:rsidRPr="009719DC">
        <w:t>rchae</w:t>
      </w:r>
      <w:r w:rsidR="004A031E">
        <w:t xml:space="preserve">ota </w:t>
      </w:r>
      <w:r w:rsidR="009719DC" w:rsidRPr="009719DC">
        <w:t>dataset (867 genomes</w:t>
      </w:r>
      <w:r w:rsidR="004A031E">
        <w:t>)</w:t>
      </w:r>
      <w:r w:rsidR="004A031E">
        <w:fldChar w:fldCharType="begin"/>
      </w:r>
      <w:r w:rsidR="004A031E">
        <w:instrText xml:space="preserve"> ADDIN ZOTERO_ITEM CSL_CITATION {"citationID":"3eIEFh85","properties":{"formattedCitation":"\\super 8\\nosupersub{}","plainCitation":"8","noteIndex":0},"citationItems":[{"id":4799,"uris":["http://zotero.org/users/5161964/items/SJZPAY4N"],"itemData":{"id":4799,"type":"article","abstract":"Asgard archaea were pivotal in the origin of complex cellular life. Hodarchaeales (Asgardarchaeota class Heimdallarchaeia) were recently shown to be the closest relatives of eukaryotes. However, limited sampling of these archaea constrains our understanding of their ecology and evolution1–3, including their anticipated role in eukaryogenesis. Here, we nearly double the number of Asgardarchaeota metagenome-assembled genomes (MAGs) to 869, including 136 new Heimdallarchaeia (49 Hodarchaeales) and several novel lineages. Examining global distribution revealed Hodarcheales are primarily found in coastal marine sediments. Detailed analysis of their metabolic capabilities revealed guilds of Heimdallarchaeia are distinct from other Asgardarchaeota. These archaea encode hallmarks of aerobic eukaryotes, including electron transport chain complexes (III and IV), biosynthesis of heme, and response to reactive oxygen species (ROS). The predicted structural architecture of Heimdallarchaeia membrane-bound hydrogenases includes additional Complex-I-like subunits potentially increasing the proton motive force and ATP synthesis. Heimdallarchaeia genomes encode CoxD, which regulates the electron transport chain (ETC) in eukaryotes. Thus, key hallmarks for aerobic respiration may have been present in the Asgard-eukaryotic ancestor. Moreover, we found that Heimdallarchaeia is present in a variety of oxic marine environments. This expanded diversity reveals these Archaea likely conferred energetic advantages during early stages of eukaryogenesis, fueling cellular complexity.","DOI":"10.1101/2024.07.04.601786","language":"en","license":"© 2024, Posted by Cold Spring Harbor Laboratory. The copyright holder for this pre-print is the author. All rights reserved. The material may not be redistributed, re-used or adapted without the author's permission.","note":"page: 2024.07.04.601786\nsection: New Results","publisher":"bioRxiv","source":"bioRxiv","title":"Oxygen metabolism in descendants of the archaeal-eukaryotic ancestor","URL":"https://www.biorxiv.org/content/10.1101/2024.07.04.601786v1","author":[{"family":"Appler","given":"Kathryn E."},{"family":"Lingford","given":"James P."},{"family":"Gong","given":"Xianzhe"},{"family":"Panagiotou","given":"Kassiani"},{"family":"Leão","given":"Pedro"},{"family":"Langwig","given":"Marguerite"},{"family":"Greening","given":"Chris"},{"family":"Ettema","given":"Thijs J. G."},{"family":"Anda","given":"Valerie De"},{"family":"Baker","given":"Brett J."}],"accessed":{"date-parts":[["2024",9,12]]},"issued":{"date-parts":[["2024",7,4]]}}}],"schema":"https://github.com/citation-style-language/schema/raw/master/csl-citation.json"} </w:instrText>
      </w:r>
      <w:r w:rsidR="004A031E">
        <w:fldChar w:fldCharType="separate"/>
      </w:r>
      <w:r w:rsidR="004A031E" w:rsidRPr="004A031E">
        <w:rPr>
          <w:vertAlign w:val="superscript"/>
        </w:rPr>
        <w:t>8</w:t>
      </w:r>
      <w:r w:rsidR="004A031E">
        <w:fldChar w:fldCharType="end"/>
      </w:r>
      <w:r w:rsidR="009719DC" w:rsidRPr="009719DC">
        <w:t xml:space="preserve">, compared with </w:t>
      </w:r>
      <w:r w:rsidR="009719DC" w:rsidRPr="009719DC">
        <w:rPr>
          <w:rFonts w:ascii="Cambria Math" w:hAnsi="Cambria Math" w:cs="Cambria Math"/>
        </w:rPr>
        <w:t>∼</w:t>
      </w:r>
      <w:r w:rsidR="009719DC" w:rsidRPr="009719DC">
        <w:t>4,000 publicly available archaeal genomes (668 TACK, 1,406 Euryarchaeota, 644 DPANN) and 993 eukaryotic genomes</w:t>
      </w:r>
      <w:r w:rsidR="00DF7702">
        <w:fldChar w:fldCharType="begin"/>
      </w:r>
      <w:r w:rsidR="00DF7702">
        <w:instrText xml:space="preserve"> ADDIN ZOTERO_ITEM CSL_CITATION {"citationID":"E9MnBbma","properties":{"formattedCitation":"\\super 9\\nosupersub{}","plainCitation":"9","noteIndex":0},"citationItems":[{"id":4094,"uris":["http://zotero.org/users/5161964/items/DQUNTT4Y"],"itemData":{"id":4094,"type":"article-journal","container-title":"Peer Community Journal","DOI":"10.24072/pcjournal.173","ISSN":"2804-3871","language":"en","source":"peercommunityjournal.org","title":"EukProt: A database of genome-scale predicted proteins across the diversity of eukaryotes","title-short":"EukProt","URL":"https://peercommunityjournal.org/articles/10.24072/pcjournal.173/","volume":"2","author":[{"family":"Richter","given":"Daniel J."},{"family":"Berney","given":"Cédric"},{"family":"Strassert","given":"Jürgen F. H."},{"family":"Poh","given":"Yu-Ping"},{"family":"Herman","given":"Emily K."},{"family":"Muñoz-Gómez","given":"Sergio A."},{"family":"Wideman","given":"Jeremy G."},{"family":"Burki","given":"Fabien"},{"family":"Vargas","given":"Colomban","non-dropping-particle":"de"}],"accessed":{"date-parts":[["2024",2,29]]},"issued":{"date-parts":[["2022"]]}}}],"schema":"https://github.com/citation-style-language/schema/raw/master/csl-citation.json"} </w:instrText>
      </w:r>
      <w:r w:rsidR="00DF7702">
        <w:fldChar w:fldCharType="separate"/>
      </w:r>
      <w:r w:rsidR="00DF7702" w:rsidRPr="00DF7702">
        <w:rPr>
          <w:vertAlign w:val="superscript"/>
        </w:rPr>
        <w:t>9</w:t>
      </w:r>
      <w:r w:rsidR="00DF7702">
        <w:fldChar w:fldCharType="end"/>
      </w:r>
      <w:r w:rsidR="009719DC" w:rsidRPr="009719DC">
        <w:t>. Sterol biosynthesis genes shown include: (1) isoprenoid lipid synthesis by polyprenyl synthase (PPS; PF00348), (2) squalene synthesis by squalene synthase (SQS or HpnCD; PF00494), (3) squalene epoxidation by either squalene epoxidase (SMO or SQE; PF08491) or alternative squalene epoxidase (altSMO; PF04116), and (4) triterpenoid cyclization by oxidosqualene cyclase (OSC; PF13249 and PF13243). Phosphomevalonate kinase (PF04275), which is part of the mevalonate pathway in eukaryotes, is also included due to its restricted distribution in Asgard</w:t>
      </w:r>
      <w:r w:rsidR="00D26D3C">
        <w:t>archaeota</w:t>
      </w:r>
      <w:r w:rsidR="009719DC" w:rsidRPr="009719DC">
        <w:t xml:space="preserve">. See Supplementary Text for additional details. (b) Schematic overview of </w:t>
      </w:r>
      <w:r w:rsidR="008055CE">
        <w:t xml:space="preserve">the biosynthesis pathway for </w:t>
      </w:r>
      <w:r w:rsidR="009719DC" w:rsidRPr="009719DC">
        <w:t>simpl</w:t>
      </w:r>
      <w:r w:rsidR="00D26D3C">
        <w:t>e</w:t>
      </w:r>
      <w:r w:rsidR="009719DC" w:rsidRPr="009719DC">
        <w:t xml:space="preserve"> sterol</w:t>
      </w:r>
      <w:r w:rsidR="008055CE">
        <w:t>s</w:t>
      </w:r>
      <w:r w:rsidR="009719DC" w:rsidRPr="009719DC">
        <w:t xml:space="preserve">. Each step is labeled with the </w:t>
      </w:r>
      <w:r w:rsidR="008055CE">
        <w:t xml:space="preserve">Pfam to which the relevant enzyme belongs </w:t>
      </w:r>
      <w:r w:rsidR="009719DC" w:rsidRPr="009719DC">
        <w:t>(in bold). The total number of distant homologs identified by homology in Archaea (red) and in Asgard</w:t>
      </w:r>
      <w:r w:rsidR="008055CE">
        <w:t>a</w:t>
      </w:r>
      <w:r w:rsidR="009719DC" w:rsidRPr="009719DC">
        <w:t>rchae</w:t>
      </w:r>
      <w:r w:rsidR="008055CE">
        <w:t>ota</w:t>
      </w:r>
      <w:r w:rsidR="009719DC" w:rsidRPr="009719DC">
        <w:t xml:space="preserve"> (purple) is shown, while purple bold text indicates the number of sequences </w:t>
      </w:r>
      <w:r w:rsidR="00D34597">
        <w:t xml:space="preserve">likely involved in sterol biosynthesis </w:t>
      </w:r>
      <w:r w:rsidR="009719DC" w:rsidRPr="009719DC">
        <w:t xml:space="preserve">by phylogenetic analyses (see </w:t>
      </w:r>
      <w:r w:rsidR="00D34597">
        <w:t xml:space="preserve">Extended Data Figs. </w:t>
      </w:r>
      <w:r w:rsidR="009719DC" w:rsidRPr="009719DC">
        <w:t>2–5).</w:t>
      </w:r>
    </w:p>
    <w:p w14:paraId="27CC677F" w14:textId="343F249E" w:rsidR="00631735" w:rsidRDefault="00631735" w:rsidP="00666C3D">
      <w:pPr>
        <w:pStyle w:val="NormalWeb"/>
        <w:spacing w:before="0" w:beforeAutospacing="0" w:after="240" w:afterAutospacing="0"/>
        <w:jc w:val="both"/>
        <w:rPr>
          <w:b/>
          <w:bCs/>
          <w:color w:val="000000"/>
        </w:rPr>
      </w:pPr>
      <w:r>
        <w:rPr>
          <w:b/>
          <w:bCs/>
          <w:noProof/>
          <w:color w:val="000000"/>
          <w14:ligatures w14:val="standardContextual"/>
        </w:rPr>
        <w:lastRenderedPageBreak/>
        <w:drawing>
          <wp:inline distT="0" distB="0" distL="0" distR="0" wp14:anchorId="756C7E16" wp14:editId="498EBD5B">
            <wp:extent cx="5943600" cy="4953000"/>
            <wp:effectExtent l="0" t="0" r="0" b="0"/>
            <wp:docPr id="67637147" name="Graphic 2" descr="P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147" name="Graphic 2" descr="P6#yIS1"/>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4953000"/>
                    </a:xfrm>
                    <a:prstGeom prst="rect">
                      <a:avLst/>
                    </a:prstGeom>
                  </pic:spPr>
                </pic:pic>
              </a:graphicData>
            </a:graphic>
          </wp:inline>
        </w:drawing>
      </w:r>
    </w:p>
    <w:p w14:paraId="67B0957A" w14:textId="0F3BB167" w:rsidR="0074431F" w:rsidRDefault="006E3E31" w:rsidP="00666C3D">
      <w:pPr>
        <w:pStyle w:val="NormalWeb"/>
        <w:spacing w:before="0" w:beforeAutospacing="0" w:after="240" w:afterAutospacing="0"/>
        <w:jc w:val="both"/>
        <w:rPr>
          <w:b/>
          <w:bCs/>
          <w:color w:val="000000"/>
        </w:rPr>
      </w:pPr>
      <w:r>
        <w:rPr>
          <w:b/>
          <w:bCs/>
        </w:rPr>
        <w:t>Extended Data</w:t>
      </w:r>
      <w:r w:rsidR="007C226D" w:rsidRPr="007C226D">
        <w:rPr>
          <w:b/>
          <w:bCs/>
          <w:color w:val="000000"/>
        </w:rPr>
        <w:t xml:space="preserve"> Figure 2: </w:t>
      </w:r>
      <w:r w:rsidR="007C226D" w:rsidRPr="00A61C5A">
        <w:rPr>
          <w:color w:val="000000"/>
        </w:rPr>
        <w:t>Position of Asgard homologs within the polyprenyl synthetase (PPS) protein family. To detect the presence of polyprenyl synthetase we used the hidden Markov model PF00348. We then obtained 955 manually curated and experimentally verified (PPS) IPR008949 from UniProtKB/Swiss-Prot (accessed May 2024). Next, we searched for PPS in the JGI IMG and NCBI databases. Queries were performed using BLAST with an expected threshold of 0.05 and a word size of 5 for NCBI, and an e-value cutoff of 1e-5 for JGI, resulting in 302 bacterial sequences. A filter for only sequences &gt;200 amino acids in length resulted in a total of 4,489 homologs of PPS sequences from: 1,492 Asgard, 821 Eukaryotes, 413 Bacteria, 1,758 Archaea, and 5 viral sequences. These were aligned with MAFFT v7.490 with a gap open penalty of 1.53, offset value of 0.123, and the BLOSUM62 exchangeability matrix. The alignment was masked (&gt; 50% gaps removed) in Geneious prime. The phylogeny was estimated with IQ-TREE v2 with the ultrafast bootstrapping option -bb 1000 and UFBoot tree optimization (-bnni), Model LG+R10 was selected using the Bayesian Information Criterion (BIC). Tree was visualized and annotated in iTOLv6 9.1. CXX labels on figure indicate number of carbons in the isoprenoid chain synthesized by characterized enzymes in that clade: Farnesyl C15, Geranylgeranyl C20, Hexaprenyl C30, Heptaprenyl C35, Octaprenyl C40. Online version of the tree can be accessed here:</w:t>
      </w:r>
      <w:hyperlink r:id="rId11" w:history="1">
        <w:r w:rsidR="007C226D" w:rsidRPr="00A61C5A">
          <w:rPr>
            <w:rStyle w:val="Hyperlink"/>
          </w:rPr>
          <w:t xml:space="preserve"> https://itol.embl.de/tree/12822717208301724079747#</w:t>
        </w:r>
      </w:hyperlink>
    </w:p>
    <w:p w14:paraId="4F30C5FA" w14:textId="7CCD367F" w:rsidR="00666C3D" w:rsidRDefault="00666C3D" w:rsidP="00666C3D">
      <w:pPr>
        <w:pStyle w:val="NormalWeb"/>
        <w:spacing w:before="0" w:beforeAutospacing="0" w:after="240" w:afterAutospacing="0"/>
        <w:jc w:val="both"/>
        <w:rPr>
          <w:color w:val="222222"/>
          <w:shd w:val="clear" w:color="auto" w:fill="FFFFFF"/>
        </w:rPr>
      </w:pPr>
      <w:r>
        <w:rPr>
          <w:noProof/>
          <w:color w:val="222222"/>
          <w:shd w:val="clear" w:color="auto" w:fill="FFFFFF"/>
          <w:lang w:val="en-AU" w:eastAsia="en-AU"/>
          <w14:ligatures w14:val="standardContextual"/>
        </w:rPr>
        <w:lastRenderedPageBreak/>
        <w:drawing>
          <wp:inline distT="0" distB="0" distL="0" distR="0" wp14:anchorId="1E7E6127" wp14:editId="2F4C830A">
            <wp:extent cx="6038337" cy="5228129"/>
            <wp:effectExtent l="0" t="0" r="0" b="0"/>
            <wp:docPr id="529904577" name="Picture 3" descr="P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04577" name="Picture 3" descr="P8#yIS1"/>
                    <pic:cNvPicPr/>
                  </pic:nvPicPr>
                  <pic:blipFill>
                    <a:blip r:embed="rId12">
                      <a:extLst>
                        <a:ext uri="{96DAC541-7B7A-43D3-8B79-37D633B846F1}">
                          <asvg:svgBlip xmlns:asvg="http://schemas.microsoft.com/office/drawing/2016/SVG/main" r:embed="rId13"/>
                        </a:ext>
                      </a:extLst>
                    </a:blip>
                    <a:stretch>
                      <a:fillRect/>
                    </a:stretch>
                  </pic:blipFill>
                  <pic:spPr>
                    <a:xfrm>
                      <a:off x="0" y="0"/>
                      <a:ext cx="6038337" cy="5228129"/>
                    </a:xfrm>
                    <a:prstGeom prst="rect">
                      <a:avLst/>
                    </a:prstGeom>
                  </pic:spPr>
                </pic:pic>
              </a:graphicData>
            </a:graphic>
          </wp:inline>
        </w:drawing>
      </w:r>
    </w:p>
    <w:p w14:paraId="1D27EA47" w14:textId="7B131B04" w:rsidR="00666C3D" w:rsidRPr="004945E0" w:rsidRDefault="0058086C" w:rsidP="00666C3D">
      <w:pPr>
        <w:spacing w:after="240"/>
        <w:jc w:val="both"/>
        <w:rPr>
          <w:color w:val="000000"/>
          <w:shd w:val="clear" w:color="auto" w:fill="FFFFFF"/>
        </w:rPr>
      </w:pPr>
      <w:r>
        <w:rPr>
          <w:b/>
          <w:bCs/>
        </w:rPr>
        <w:t>Extended Data</w:t>
      </w:r>
      <w:r w:rsidR="00A218B4" w:rsidRPr="00A218B4">
        <w:rPr>
          <w:b/>
          <w:bCs/>
        </w:rPr>
        <w:t xml:space="preserve"> Figure 3:</w:t>
      </w:r>
      <w:r w:rsidR="00A218B4">
        <w:rPr>
          <w:b/>
          <w:bCs/>
        </w:rPr>
        <w:t xml:space="preserve"> </w:t>
      </w:r>
      <w:r w:rsidR="00A218B4" w:rsidRPr="00A218B4">
        <w:t xml:space="preserve">Position of Asgard homologs within the squalene/phytoene synthase protein family. The Pfam domain PF00494 was used to detect squalene synthase (SQS, EC 2.5.1.21) and phytoene synthase (PSY, EC 2.5.1.32), as these enzymes shared three well-conserved regions involved in substrate binding and catalysis. First, we obtained 102 manually curated and experimentally tested squalene/phytoene synthase sequences from UniProtKB/Swiss-Prot (reviewed option). Searching the JGI IMG and NCBI databases by BLAST resulted in a total of 1,141 SQS/PSY sequences from 86 Asgard, 865 Bacteria, 9 DPANN, 20 Euryarchaea, 4 TACK, and 157 Eukaryotes. BLAST, alignment, masking, model selection, and IQ-TREE versions and parameters are the same as for </w:t>
      </w:r>
      <w:r w:rsidR="00553407">
        <w:t>Extended Data</w:t>
      </w:r>
      <w:r w:rsidR="00A218B4" w:rsidRPr="00A218B4">
        <w:t xml:space="preserve"> Fig. 2. Tree was estimated under the evolutionary model LG+F+R10, and can be accessed online here:</w:t>
      </w:r>
      <w:hyperlink r:id="rId14" w:history="1">
        <w:r w:rsidR="00A218B4" w:rsidRPr="00A218B4">
          <w:rPr>
            <w:rStyle w:val="Hyperlink"/>
          </w:rPr>
          <w:t xml:space="preserve"> https://itol.embl.de/tree/12822717178281723831461</w:t>
        </w:r>
      </w:hyperlink>
      <w:r w:rsidR="00666C3D">
        <w:rPr>
          <w:color w:val="222222"/>
          <w:shd w:val="clear" w:color="auto" w:fill="FFFFFF"/>
        </w:rPr>
        <w:t xml:space="preserve"> </w:t>
      </w:r>
    </w:p>
    <w:p w14:paraId="1F537332" w14:textId="77777777" w:rsidR="00666C3D" w:rsidRDefault="00666C3D" w:rsidP="00666C3D">
      <w:pPr>
        <w:spacing w:after="240"/>
        <w:rPr>
          <w:b/>
          <w:bCs/>
        </w:rPr>
      </w:pPr>
      <w:r>
        <w:rPr>
          <w:b/>
          <w:bCs/>
          <w:noProof/>
          <w:lang w:val="en-AU" w:eastAsia="en-AU"/>
          <w14:ligatures w14:val="standardContextual"/>
        </w:rPr>
        <w:lastRenderedPageBreak/>
        <w:drawing>
          <wp:inline distT="0" distB="0" distL="0" distR="0" wp14:anchorId="501EAAD2" wp14:editId="373A71FA">
            <wp:extent cx="5943600" cy="6208212"/>
            <wp:effectExtent l="0" t="0" r="0" b="0"/>
            <wp:docPr id="1132725030" name="Picture 1" descr="P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25030" name="Picture 1" descr="P10#yIS1"/>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6208212"/>
                    </a:xfrm>
                    <a:prstGeom prst="rect">
                      <a:avLst/>
                    </a:prstGeom>
                  </pic:spPr>
                </pic:pic>
              </a:graphicData>
            </a:graphic>
          </wp:inline>
        </w:drawing>
      </w:r>
    </w:p>
    <w:p w14:paraId="23B350D7" w14:textId="274CDF96" w:rsidR="006D67C8" w:rsidRDefault="00E56F85" w:rsidP="00666C3D">
      <w:pPr>
        <w:spacing w:after="240"/>
        <w:jc w:val="both"/>
        <w:rPr>
          <w:b/>
          <w:bCs/>
        </w:rPr>
      </w:pPr>
      <w:r>
        <w:rPr>
          <w:b/>
          <w:bCs/>
        </w:rPr>
        <w:t>Extended Data</w:t>
      </w:r>
      <w:r w:rsidR="00781ED5" w:rsidRPr="00781ED5">
        <w:rPr>
          <w:b/>
          <w:bCs/>
        </w:rPr>
        <w:t xml:space="preserve"> Figure 4: </w:t>
      </w:r>
      <w:r w:rsidR="00781ED5" w:rsidRPr="00626C55">
        <w:t xml:space="preserve">Position of Asgard homologs within the squalene epoxidase (SMO) protein family. MEBS v1.2 was used to search for hits to the Pfam HMM PF08491 in our curated eukaryotic and archaeal genomes, and the phylogeny was estimated with these sequences as well as 35 reviewed sequences from UniProtKB/Swiss-Prot, and BLAST results from NCBI and JGI IMG. This resulted in a total of 510 homologs of squalene epoxidase in the eukaryotic genomes, and 77 and 57 homologs from JGI and NCBI respectively. From these, 123 were bacterial sequences (purple clades) and 40 eukaryotic. From the curated archaeal genomes, a total of 32 Asgard, 1 DPANN, 11 Euryarchaea, and 5 TACK are included in the tree. The phylogeny was estimated for a total of 728 squalene epoxidase homologs under the model LG+R10. BLAST, alignment, masking, model selection, and IQ-TREE versions and parameters are the same as for </w:t>
      </w:r>
      <w:r w:rsidR="00557107">
        <w:lastRenderedPageBreak/>
        <w:t>Extended Data</w:t>
      </w:r>
      <w:r w:rsidR="00781ED5" w:rsidRPr="00626C55">
        <w:t xml:space="preserve"> Fig. 2. Online version of the tree can be accessed here:</w:t>
      </w:r>
      <w:hyperlink r:id="rId17" w:history="1">
        <w:r w:rsidR="00781ED5" w:rsidRPr="00626C55">
          <w:rPr>
            <w:rStyle w:val="Hyperlink"/>
          </w:rPr>
          <w:t xml:space="preserve"> https://itol.embl.de/tree/9911493178160411725370573</w:t>
        </w:r>
      </w:hyperlink>
      <w:r w:rsidR="0096170A">
        <w:rPr>
          <w:b/>
          <w:bCs/>
          <w:noProof/>
          <w14:ligatures w14:val="standardContextual"/>
        </w:rPr>
        <w:drawing>
          <wp:inline distT="0" distB="0" distL="0" distR="0" wp14:anchorId="6B484D88" wp14:editId="1C1E0F7D">
            <wp:extent cx="5006975" cy="8229600"/>
            <wp:effectExtent l="0" t="0" r="0" b="0"/>
            <wp:docPr id="602019348" name="Graphic 3" descr="P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19348" name="Graphic 3" descr="P11#yIS1"/>
                    <pic:cNvPicPr/>
                  </pic:nvPicPr>
                  <pic:blipFill>
                    <a:blip r:embed="rId18">
                      <a:extLst>
                        <a:ext uri="{96DAC541-7B7A-43D3-8B79-37D633B846F1}">
                          <asvg:svgBlip xmlns:asvg="http://schemas.microsoft.com/office/drawing/2016/SVG/main" r:embed="rId19"/>
                        </a:ext>
                      </a:extLst>
                    </a:blip>
                    <a:stretch>
                      <a:fillRect/>
                    </a:stretch>
                  </pic:blipFill>
                  <pic:spPr>
                    <a:xfrm>
                      <a:off x="0" y="0"/>
                      <a:ext cx="5006975" cy="8229600"/>
                    </a:xfrm>
                    <a:prstGeom prst="rect">
                      <a:avLst/>
                    </a:prstGeom>
                  </pic:spPr>
                </pic:pic>
              </a:graphicData>
            </a:graphic>
          </wp:inline>
        </w:drawing>
      </w:r>
      <w:r w:rsidR="006D67C8" w:rsidRPr="006D67C8">
        <w:rPr>
          <w:b/>
          <w:bCs/>
        </w:rPr>
        <w:t xml:space="preserve"> </w:t>
      </w:r>
    </w:p>
    <w:p w14:paraId="75D3B337" w14:textId="1326CD5A" w:rsidR="00666C3D" w:rsidRDefault="006D67C8" w:rsidP="00666C3D">
      <w:pPr>
        <w:spacing w:after="240"/>
        <w:jc w:val="both"/>
      </w:pPr>
      <w:r>
        <w:rPr>
          <w:b/>
          <w:bCs/>
        </w:rPr>
        <w:lastRenderedPageBreak/>
        <w:t>Extended Data</w:t>
      </w:r>
      <w:r w:rsidRPr="00597226">
        <w:rPr>
          <w:b/>
          <w:bCs/>
        </w:rPr>
        <w:t xml:space="preserve"> </w:t>
      </w:r>
      <w:r w:rsidR="00597226" w:rsidRPr="00597226">
        <w:rPr>
          <w:b/>
          <w:bCs/>
        </w:rPr>
        <w:t>Figure 5: </w:t>
      </w:r>
      <w:r w:rsidR="00597226" w:rsidRPr="00597226">
        <w:t xml:space="preserve"> Position of Asgard homologs within the alternative squalene epoxidase (AltEpox) protein family. MEBS v1.2 was used to search for hits to the Pfam HMM PF08491 in our curated genomic database (including 43 hits from archaea and 7 from Asgard) . The phylogeny was estimated with these sequences as well as 162 reviewed sequences from UniProtKB/Swiss-Prot, and BLAST results from NCBI and JGI IMG.BLAST. The alignment, masking, and IQ-TREE versions and parameters are the same as for </w:t>
      </w:r>
      <w:r w:rsidR="00557107">
        <w:t>Extended Data</w:t>
      </w:r>
      <w:r w:rsidR="00597226" w:rsidRPr="00597226">
        <w:t xml:space="preserve"> Fig. 2. Tree was estimated under the evolutionary model  PMB+R7, and can be accessed online here:</w:t>
      </w:r>
      <w:hyperlink r:id="rId20" w:history="1">
        <w:r w:rsidR="00597226" w:rsidRPr="00597226">
          <w:rPr>
            <w:rStyle w:val="Hyperlink"/>
          </w:rPr>
          <w:t xml:space="preserve"> </w:t>
        </w:r>
      </w:hyperlink>
      <w:hyperlink r:id="rId21" w:history="1">
        <w:r w:rsidR="00597226" w:rsidRPr="00597226">
          <w:rPr>
            <w:rStyle w:val="Hyperlink"/>
          </w:rPr>
          <w:t>https://itol.embl.de/tree/9911493178160821727642336</w:t>
        </w:r>
      </w:hyperlink>
    </w:p>
    <w:p w14:paraId="558F481B" w14:textId="313C10E5" w:rsidR="00666C3D" w:rsidRDefault="00666C3D" w:rsidP="00666C3D">
      <w:pPr>
        <w:pStyle w:val="NormalWeb"/>
        <w:spacing w:before="0" w:beforeAutospacing="0" w:after="240" w:afterAutospacing="0"/>
        <w:jc w:val="both"/>
      </w:pPr>
      <w:r w:rsidRPr="00E56F94">
        <w:rPr>
          <w:rFonts w:asciiTheme="majorHAnsi" w:hAnsiTheme="majorHAnsi"/>
          <w:b/>
          <w:bCs/>
          <w:noProof/>
          <w:lang w:val="en-AU" w:eastAsia="en-AU"/>
        </w:rPr>
        <w:drawing>
          <wp:inline distT="0" distB="0" distL="0" distR="0" wp14:anchorId="6E211C5A" wp14:editId="07498948">
            <wp:extent cx="5943600" cy="2318077"/>
            <wp:effectExtent l="0" t="0" r="0" b="6350"/>
            <wp:docPr id="2088341318" name="Graphic 3" descr="P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41318" name="Graphic 3" descr="P13#yIS1"/>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2318077"/>
                    </a:xfrm>
                    <a:prstGeom prst="rect">
                      <a:avLst/>
                    </a:prstGeom>
                  </pic:spPr>
                </pic:pic>
              </a:graphicData>
            </a:graphic>
          </wp:inline>
        </w:drawing>
      </w:r>
      <w:r w:rsidR="006D67C8" w:rsidRPr="006D67C8">
        <w:rPr>
          <w:b/>
          <w:bCs/>
        </w:rPr>
        <w:t xml:space="preserve"> </w:t>
      </w:r>
      <w:r w:rsidR="006D67C8">
        <w:rPr>
          <w:b/>
          <w:bCs/>
        </w:rPr>
        <w:t>Extended Data</w:t>
      </w:r>
      <w:r w:rsidRPr="0026290E">
        <w:rPr>
          <w:b/>
          <w:bCs/>
        </w:rPr>
        <w:t xml:space="preserve"> Fig</w:t>
      </w:r>
      <w:r>
        <w:rPr>
          <w:b/>
          <w:bCs/>
        </w:rPr>
        <w:t>ure</w:t>
      </w:r>
      <w:r w:rsidRPr="0026290E">
        <w:rPr>
          <w:b/>
          <w:bCs/>
        </w:rPr>
        <w:t xml:space="preserve"> </w:t>
      </w:r>
      <w:r>
        <w:rPr>
          <w:b/>
          <w:bCs/>
        </w:rPr>
        <w:t>6</w:t>
      </w:r>
      <w:r w:rsidRPr="0026290E">
        <w:rPr>
          <w:b/>
          <w:bCs/>
        </w:rPr>
        <w:t>:</w:t>
      </w:r>
      <w:r w:rsidRPr="0026290E">
        <w:t xml:space="preserve"> Asgard diterpenoid cyclases have the terpenoid cyclase active site motif. Alignment estimated with MAFFT-DASH</w:t>
      </w:r>
      <w:r>
        <w:fldChar w:fldCharType="begin"/>
      </w:r>
      <w:r w:rsidR="00DF7702">
        <w:instrText xml:space="preserve"> ADDIN ZOTERO_ITEM CSL_CITATION {"citationID":"2VQ0EIK6","properties":{"formattedCitation":"\\super 10\\nosupersub{}","plainCitation":"10","noteIndex":0},"citationItems":[{"id":100,"uris":["http://zotero.org/users/5161964/items/5DHRPA7J"],"itemData":{"id":100,"type":"article-journal","abstract":"Here, we describe a web server that integrates structural alignments with the MAFFT multiple sequence alignment (MSA) tool. For this purpose, we have prepared a web-based Database of Aligned Structural Homologs (DASH), which provides structural alignments at the domain and chain levels for all proteins in the Protein Data Bank (PDB), and can be queried interactively or by a simple REST-like API. MAFFT-DASH integration can be invoked with a single flag on either the web (https://mafft.cbrc.jp/alignment/server/) or command-line versions of MAFFT. In our benchmarks using 878 cases from the BAliBase, HomFam, OXFam, Mattbench and SISYPHUS datasets, MAFFT-DASH showed 10–20% improvement over standard MAFFT for MSA problems with weak similarity, in terms of Sum-of-Pairs (SP), a measure of how well a program succeeds at aligning input sequences in comparison to a reference alignment. When MAFFT alignments were supplemented with homologous sequences, further improvement was observed. Potential applications of DASH beyond MSA enrichment include functional annotation through detection of remote homology and assembly of template libraries for homology modeling.","container-title":"Nucleic Acids Research","DOI":"10.1093/nar/gkz342","ISSN":"0305-1048","issue":"W1","journalAbbreviation":"Nucleic Acids Research","page":"W5-W10","source":"Silverchair","title":"MAFFT-DASH: integrated protein sequence and structural alignment","title-short":"MAFFT-DASH","volume":"47","author":[{"family":"Rozewicki","given":"John"},{"family":"Li","given":"Songling"},{"family":"Amada","given":"Karlou Mar"},{"family":"Standley","given":"Daron M"},{"family":"Katoh","given":"Kazutaka"}],"issued":{"date-parts":[["2019",7,2]]}}}],"schema":"https://github.com/citation-style-language/schema/raw/master/csl-citation.json"} </w:instrText>
      </w:r>
      <w:r>
        <w:fldChar w:fldCharType="separate"/>
      </w:r>
      <w:r w:rsidR="00DF7702" w:rsidRPr="00DF7702">
        <w:rPr>
          <w:vertAlign w:val="superscript"/>
        </w:rPr>
        <w:t>10</w:t>
      </w:r>
      <w:r>
        <w:fldChar w:fldCharType="end"/>
      </w:r>
      <w:r w:rsidRPr="0026290E">
        <w:t>.</w:t>
      </w:r>
    </w:p>
    <w:p w14:paraId="74CE08D9" w14:textId="77777777" w:rsidR="00666C3D" w:rsidRPr="0026290E" w:rsidRDefault="00666C3D" w:rsidP="00666C3D">
      <w:pPr>
        <w:spacing w:after="240"/>
        <w:jc w:val="both"/>
      </w:pPr>
      <w:r w:rsidRPr="002A031F">
        <w:rPr>
          <w:noProof/>
          <w:lang w:val="en-AU" w:eastAsia="en-AU"/>
        </w:rPr>
        <w:lastRenderedPageBreak/>
        <w:drawing>
          <wp:inline distT="0" distB="0" distL="0" distR="0" wp14:anchorId="2B2447E1" wp14:editId="29E64979">
            <wp:extent cx="4549400" cy="4231640"/>
            <wp:effectExtent l="0" t="0" r="0" b="0"/>
            <wp:docPr id="1108462435" name="Graphic 4" descr="P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62435" name="Graphic 4" descr="P14#yIS1"/>
                    <pic:cNvPicPr/>
                  </pic:nvPicPr>
                  <pic:blipFill>
                    <a:blip r:embed="rId24">
                      <a:extLst>
                        <a:ext uri="{96DAC541-7B7A-43D3-8B79-37D633B846F1}">
                          <asvg:svgBlip xmlns:asvg="http://schemas.microsoft.com/office/drawing/2016/SVG/main" r:embed="rId25"/>
                        </a:ext>
                      </a:extLst>
                    </a:blip>
                    <a:stretch>
                      <a:fillRect/>
                    </a:stretch>
                  </pic:blipFill>
                  <pic:spPr>
                    <a:xfrm>
                      <a:off x="0" y="0"/>
                      <a:ext cx="4549400" cy="4231640"/>
                    </a:xfrm>
                    <a:prstGeom prst="rect">
                      <a:avLst/>
                    </a:prstGeom>
                  </pic:spPr>
                </pic:pic>
              </a:graphicData>
            </a:graphic>
          </wp:inline>
        </w:drawing>
      </w:r>
    </w:p>
    <w:p w14:paraId="1F367341" w14:textId="1BAB95F0" w:rsidR="00666C3D" w:rsidRDefault="006D67C8" w:rsidP="00666C3D">
      <w:pPr>
        <w:spacing w:after="240"/>
        <w:jc w:val="both"/>
      </w:pPr>
      <w:r>
        <w:rPr>
          <w:b/>
          <w:bCs/>
        </w:rPr>
        <w:t>Extended Data</w:t>
      </w:r>
      <w:r w:rsidR="00666C3D" w:rsidRPr="0026290E">
        <w:rPr>
          <w:b/>
          <w:bCs/>
        </w:rPr>
        <w:t xml:space="preserve"> Fig</w:t>
      </w:r>
      <w:r w:rsidR="00666C3D">
        <w:rPr>
          <w:b/>
          <w:bCs/>
        </w:rPr>
        <w:t>ure</w:t>
      </w:r>
      <w:r w:rsidR="00666C3D" w:rsidRPr="0026290E">
        <w:rPr>
          <w:b/>
          <w:bCs/>
        </w:rPr>
        <w:t xml:space="preserve"> </w:t>
      </w:r>
      <w:r w:rsidR="00666C3D">
        <w:rPr>
          <w:b/>
          <w:bCs/>
        </w:rPr>
        <w:t>7</w:t>
      </w:r>
      <w:r w:rsidR="00666C3D" w:rsidRPr="0026290E">
        <w:rPr>
          <w:b/>
          <w:bCs/>
        </w:rPr>
        <w:t xml:space="preserve">: </w:t>
      </w:r>
      <w:r w:rsidR="00666C3D" w:rsidRPr="0026290E">
        <w:t xml:space="preserve">Asgard cyclases </w:t>
      </w:r>
      <w:r w:rsidR="00666C3D">
        <w:t xml:space="preserve">and positive control from </w:t>
      </w:r>
      <w:r w:rsidR="00666C3D">
        <w:rPr>
          <w:i/>
          <w:iCs/>
        </w:rPr>
        <w:t xml:space="preserve">M. tuberculosis </w:t>
      </w:r>
      <w:r w:rsidR="00666C3D" w:rsidRPr="0026290E">
        <w:t>were partially purified by affinity chromatography.</w:t>
      </w:r>
    </w:p>
    <w:p w14:paraId="06F0595C" w14:textId="77777777" w:rsidR="00666C3D" w:rsidRDefault="00666C3D" w:rsidP="00666C3D">
      <w:pPr>
        <w:spacing w:after="240"/>
        <w:jc w:val="both"/>
      </w:pPr>
      <w:r>
        <w:rPr>
          <w:rFonts w:asciiTheme="majorHAnsi" w:hAnsiTheme="majorHAnsi"/>
          <w:b/>
          <w:bCs/>
          <w:noProof/>
          <w:sz w:val="20"/>
          <w:szCs w:val="20"/>
          <w:lang w:val="en-AU" w:eastAsia="en-AU"/>
          <w14:ligatures w14:val="standardContextual"/>
        </w:rPr>
        <w:lastRenderedPageBreak/>
        <w:drawing>
          <wp:inline distT="0" distB="0" distL="0" distR="0" wp14:anchorId="029D6C6B" wp14:editId="6C5506F5">
            <wp:extent cx="5486400" cy="4358027"/>
            <wp:effectExtent l="0" t="0" r="0" b="4445"/>
            <wp:docPr id="1483204827" name="Graphic 1" descr="P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04827" name="Graphic 1" descr="P16#yIS1"/>
                    <pic:cNvPicPr/>
                  </pic:nvPicPr>
                  <pic:blipFill>
                    <a:blip r:embed="rId26">
                      <a:extLst>
                        <a:ext uri="{96DAC541-7B7A-43D3-8B79-37D633B846F1}">
                          <asvg:svgBlip xmlns:asvg="http://schemas.microsoft.com/office/drawing/2016/SVG/main" r:embed="rId27"/>
                        </a:ext>
                      </a:extLst>
                    </a:blip>
                    <a:stretch>
                      <a:fillRect/>
                    </a:stretch>
                  </pic:blipFill>
                  <pic:spPr>
                    <a:xfrm>
                      <a:off x="0" y="0"/>
                      <a:ext cx="5486400" cy="4358027"/>
                    </a:xfrm>
                    <a:prstGeom prst="rect">
                      <a:avLst/>
                    </a:prstGeom>
                  </pic:spPr>
                </pic:pic>
              </a:graphicData>
            </a:graphic>
          </wp:inline>
        </w:drawing>
      </w:r>
    </w:p>
    <w:p w14:paraId="4DA0E29B" w14:textId="40916E6F" w:rsidR="00666C3D" w:rsidRDefault="006D67C8" w:rsidP="00666C3D">
      <w:pPr>
        <w:spacing w:after="240"/>
        <w:jc w:val="both"/>
      </w:pPr>
      <w:r>
        <w:rPr>
          <w:b/>
          <w:bCs/>
        </w:rPr>
        <w:t>Extended Data</w:t>
      </w:r>
      <w:r w:rsidR="00666C3D" w:rsidRPr="00B6310E">
        <w:rPr>
          <w:b/>
          <w:bCs/>
        </w:rPr>
        <w:t xml:space="preserve"> Figure 8:</w:t>
      </w:r>
      <w:r w:rsidR="00666C3D" w:rsidRPr="005D145B">
        <w:t xml:space="preserve"> Mass spectrum of peak at 21.35 minutes, identified by comparison to published spectra as </w:t>
      </w:r>
      <w:r w:rsidR="00666C3D">
        <w:t xml:space="preserve">the trimethylsilyl derivative of </w:t>
      </w:r>
      <w:r w:rsidR="00666C3D" w:rsidRPr="005D145B">
        <w:t>2, halimadienol.</w:t>
      </w:r>
    </w:p>
    <w:p w14:paraId="30223963" w14:textId="77777777" w:rsidR="00666C3D" w:rsidRDefault="00666C3D" w:rsidP="00666C3D">
      <w:pPr>
        <w:spacing w:after="240"/>
        <w:jc w:val="both"/>
      </w:pPr>
    </w:p>
    <w:p w14:paraId="2C006614" w14:textId="489CA2AD" w:rsidR="00666C3D" w:rsidRPr="00641C13" w:rsidRDefault="006D67C8" w:rsidP="00666C3D">
      <w:pPr>
        <w:spacing w:after="240" w:line="360" w:lineRule="auto"/>
      </w:pPr>
      <w:r>
        <w:rPr>
          <w:b/>
          <w:bCs/>
        </w:rPr>
        <w:t>Extended Data</w:t>
      </w:r>
      <w:r w:rsidR="00666C3D">
        <w:rPr>
          <w:b/>
          <w:bCs/>
        </w:rPr>
        <w:t xml:space="preserve"> </w:t>
      </w:r>
      <w:r w:rsidR="00666C3D" w:rsidRPr="00641C13">
        <w:rPr>
          <w:b/>
          <w:bCs/>
        </w:rPr>
        <w:t>Table 1:</w:t>
      </w:r>
      <w:r w:rsidR="00666C3D" w:rsidRPr="00641C13">
        <w:t xml:space="preserve"> Asgard cyclases tested for GGPP cyclization in this study.</w:t>
      </w:r>
    </w:p>
    <w:tbl>
      <w:tblPr>
        <w:tblStyle w:val="TableGrid"/>
        <w:tblW w:w="9355" w:type="dxa"/>
        <w:tblLayout w:type="fixed"/>
        <w:tblCellMar>
          <w:top w:w="72" w:type="dxa"/>
          <w:bottom w:w="72" w:type="dxa"/>
        </w:tblCellMar>
        <w:tblLook w:val="04A0" w:firstRow="1" w:lastRow="0" w:firstColumn="1" w:lastColumn="0" w:noHBand="0" w:noVBand="1"/>
      </w:tblPr>
      <w:tblGrid>
        <w:gridCol w:w="1816"/>
        <w:gridCol w:w="1440"/>
        <w:gridCol w:w="2139"/>
        <w:gridCol w:w="2340"/>
        <w:gridCol w:w="1620"/>
      </w:tblGrid>
      <w:tr w:rsidR="00666C3D" w:rsidRPr="00E56F94" w14:paraId="7D2B030F" w14:textId="77777777" w:rsidTr="00C22CAF">
        <w:trPr>
          <w:trHeight w:val="445"/>
        </w:trPr>
        <w:tc>
          <w:tcPr>
            <w:tcW w:w="1816" w:type="dxa"/>
            <w:vAlign w:val="center"/>
          </w:tcPr>
          <w:p w14:paraId="2658E250" w14:textId="77777777" w:rsidR="00666C3D" w:rsidRPr="00641C13" w:rsidRDefault="00666C3D" w:rsidP="00C22CAF">
            <w:pPr>
              <w:spacing w:after="240"/>
              <w:rPr>
                <w:rFonts w:ascii="Arial" w:hAnsi="Arial" w:cs="Arial"/>
                <w:b/>
                <w:bCs/>
                <w:sz w:val="16"/>
                <w:szCs w:val="16"/>
              </w:rPr>
            </w:pPr>
            <w:r w:rsidRPr="00641C13">
              <w:rPr>
                <w:rFonts w:ascii="Arial" w:hAnsi="Arial" w:cs="Arial"/>
                <w:b/>
                <w:bCs/>
                <w:sz w:val="16"/>
                <w:szCs w:val="16"/>
              </w:rPr>
              <w:t>Short name</w:t>
            </w:r>
          </w:p>
        </w:tc>
        <w:tc>
          <w:tcPr>
            <w:tcW w:w="1440" w:type="dxa"/>
            <w:vAlign w:val="center"/>
          </w:tcPr>
          <w:p w14:paraId="3AEED0C2" w14:textId="77777777" w:rsidR="00666C3D" w:rsidRPr="00641C13" w:rsidRDefault="00666C3D" w:rsidP="00C22CAF">
            <w:pPr>
              <w:spacing w:after="240"/>
              <w:rPr>
                <w:rFonts w:ascii="Arial" w:hAnsi="Arial" w:cs="Arial"/>
                <w:b/>
                <w:bCs/>
                <w:sz w:val="16"/>
                <w:szCs w:val="16"/>
              </w:rPr>
            </w:pPr>
            <w:r w:rsidRPr="00641C13">
              <w:rPr>
                <w:rFonts w:ascii="Arial" w:hAnsi="Arial" w:cs="Arial"/>
                <w:b/>
                <w:bCs/>
                <w:sz w:val="16"/>
                <w:szCs w:val="16"/>
              </w:rPr>
              <w:t>Taxon</w:t>
            </w:r>
          </w:p>
        </w:tc>
        <w:tc>
          <w:tcPr>
            <w:tcW w:w="2139" w:type="dxa"/>
            <w:vAlign w:val="center"/>
          </w:tcPr>
          <w:p w14:paraId="76CB7711" w14:textId="77777777" w:rsidR="00666C3D" w:rsidRPr="00641C13" w:rsidRDefault="00666C3D" w:rsidP="00C22CAF">
            <w:pPr>
              <w:spacing w:after="240"/>
              <w:rPr>
                <w:rFonts w:ascii="Arial" w:hAnsi="Arial" w:cs="Arial"/>
                <w:b/>
                <w:bCs/>
                <w:sz w:val="16"/>
                <w:szCs w:val="16"/>
              </w:rPr>
            </w:pPr>
            <w:r w:rsidRPr="00641C13">
              <w:rPr>
                <w:rFonts w:ascii="Arial" w:hAnsi="Arial" w:cs="Arial"/>
                <w:b/>
                <w:bCs/>
                <w:sz w:val="16"/>
                <w:szCs w:val="16"/>
              </w:rPr>
              <w:t>Assembly</w:t>
            </w:r>
          </w:p>
        </w:tc>
        <w:tc>
          <w:tcPr>
            <w:tcW w:w="2340" w:type="dxa"/>
            <w:vAlign w:val="center"/>
          </w:tcPr>
          <w:p w14:paraId="76A3CA26" w14:textId="77777777" w:rsidR="00666C3D" w:rsidRPr="00641C13" w:rsidRDefault="00666C3D" w:rsidP="00C22CAF">
            <w:pPr>
              <w:spacing w:after="240"/>
              <w:rPr>
                <w:rFonts w:ascii="Arial" w:hAnsi="Arial" w:cs="Arial"/>
                <w:b/>
                <w:bCs/>
                <w:sz w:val="16"/>
                <w:szCs w:val="16"/>
              </w:rPr>
            </w:pPr>
            <w:r w:rsidRPr="00641C13">
              <w:rPr>
                <w:rFonts w:ascii="Arial" w:hAnsi="Arial" w:cs="Arial"/>
                <w:b/>
                <w:bCs/>
                <w:sz w:val="16"/>
                <w:szCs w:val="16"/>
              </w:rPr>
              <w:t>Gene</w:t>
            </w:r>
          </w:p>
        </w:tc>
        <w:tc>
          <w:tcPr>
            <w:tcW w:w="1620" w:type="dxa"/>
            <w:vAlign w:val="center"/>
          </w:tcPr>
          <w:p w14:paraId="048F0121" w14:textId="77777777" w:rsidR="00666C3D" w:rsidRPr="00641C13" w:rsidRDefault="00666C3D" w:rsidP="00C22CAF">
            <w:pPr>
              <w:spacing w:after="240"/>
              <w:rPr>
                <w:rFonts w:ascii="Arial" w:hAnsi="Arial" w:cs="Arial"/>
                <w:b/>
                <w:bCs/>
                <w:sz w:val="16"/>
                <w:szCs w:val="16"/>
              </w:rPr>
            </w:pPr>
            <w:r w:rsidRPr="00641C13">
              <w:rPr>
                <w:rFonts w:ascii="Arial" w:hAnsi="Arial" w:cs="Arial"/>
                <w:b/>
                <w:bCs/>
                <w:sz w:val="16"/>
                <w:szCs w:val="16"/>
              </w:rPr>
              <w:t>Product identified</w:t>
            </w:r>
          </w:p>
        </w:tc>
      </w:tr>
      <w:tr w:rsidR="00666C3D" w:rsidRPr="00E56F94" w14:paraId="4A545FEF" w14:textId="77777777" w:rsidTr="00C22CAF">
        <w:trPr>
          <w:trHeight w:val="300"/>
        </w:trPr>
        <w:tc>
          <w:tcPr>
            <w:tcW w:w="1816" w:type="dxa"/>
            <w:vAlign w:val="center"/>
          </w:tcPr>
          <w:p w14:paraId="76215FDD"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 xml:space="preserve">Kariarchaeaceae LC2 </w:t>
            </w:r>
          </w:p>
        </w:tc>
        <w:tc>
          <w:tcPr>
            <w:tcW w:w="1440" w:type="dxa"/>
            <w:vAlign w:val="center"/>
          </w:tcPr>
          <w:p w14:paraId="7967A694" w14:textId="77777777" w:rsidR="00666C3D" w:rsidRPr="00641C13" w:rsidRDefault="00666C3D" w:rsidP="00C22CAF">
            <w:pPr>
              <w:spacing w:after="240"/>
              <w:rPr>
                <w:rFonts w:ascii="Arial" w:hAnsi="Arial" w:cs="Arial"/>
                <w:sz w:val="16"/>
                <w:szCs w:val="16"/>
              </w:rPr>
            </w:pPr>
            <w:r w:rsidRPr="00641C13">
              <w:rPr>
                <w:rFonts w:ascii="Arial" w:hAnsi="Arial" w:cs="Arial"/>
                <w:i/>
                <w:iCs/>
                <w:sz w:val="16"/>
                <w:szCs w:val="16"/>
              </w:rPr>
              <w:t>Candidatus</w:t>
            </w:r>
            <w:r w:rsidRPr="00641C13">
              <w:rPr>
                <w:rFonts w:ascii="Arial" w:hAnsi="Arial" w:cs="Arial"/>
                <w:sz w:val="16"/>
                <w:szCs w:val="16"/>
              </w:rPr>
              <w:t xml:space="preserve"> Kariarchaeaceae</w:t>
            </w:r>
          </w:p>
        </w:tc>
        <w:tc>
          <w:tcPr>
            <w:tcW w:w="2139" w:type="dxa"/>
            <w:vAlign w:val="center"/>
          </w:tcPr>
          <w:p w14:paraId="186E815E"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GCA_001940725_1_ASM194072v1</w:t>
            </w:r>
          </w:p>
        </w:tc>
        <w:tc>
          <w:tcPr>
            <w:tcW w:w="2340" w:type="dxa"/>
            <w:vAlign w:val="center"/>
          </w:tcPr>
          <w:p w14:paraId="6265A187"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Heimdall.LC2_MDVR01000113.1_113_14</w:t>
            </w:r>
          </w:p>
        </w:tc>
        <w:tc>
          <w:tcPr>
            <w:tcW w:w="1620" w:type="dxa"/>
            <w:vAlign w:val="center"/>
          </w:tcPr>
          <w:p w14:paraId="6FF2A297"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Halimadienyl pyrophosphate</w:t>
            </w:r>
            <w:r>
              <w:rPr>
                <w:rFonts w:ascii="Arial" w:hAnsi="Arial" w:cs="Arial"/>
                <w:sz w:val="16"/>
                <w:szCs w:val="16"/>
              </w:rPr>
              <w:t xml:space="preserve"> (2’)</w:t>
            </w:r>
          </w:p>
        </w:tc>
      </w:tr>
      <w:tr w:rsidR="00666C3D" w:rsidRPr="00E56F94" w14:paraId="31E8C7B4" w14:textId="77777777" w:rsidTr="00C22CAF">
        <w:trPr>
          <w:trHeight w:val="300"/>
        </w:trPr>
        <w:tc>
          <w:tcPr>
            <w:tcW w:w="1816" w:type="dxa"/>
            <w:vAlign w:val="center"/>
          </w:tcPr>
          <w:p w14:paraId="21F12F04"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Hodarchaeales S146 (1 of 2)</w:t>
            </w:r>
          </w:p>
        </w:tc>
        <w:tc>
          <w:tcPr>
            <w:tcW w:w="1440" w:type="dxa"/>
            <w:vAlign w:val="center"/>
          </w:tcPr>
          <w:p w14:paraId="3CA5621A" w14:textId="77777777" w:rsidR="00666C3D" w:rsidRPr="00641C13" w:rsidRDefault="00666C3D" w:rsidP="00C22CAF">
            <w:pPr>
              <w:spacing w:after="240"/>
              <w:rPr>
                <w:rFonts w:ascii="Arial" w:hAnsi="Arial" w:cs="Arial"/>
                <w:sz w:val="16"/>
                <w:szCs w:val="16"/>
              </w:rPr>
            </w:pPr>
            <w:r w:rsidRPr="00641C13">
              <w:rPr>
                <w:rFonts w:ascii="Arial" w:hAnsi="Arial" w:cs="Arial"/>
                <w:i/>
                <w:iCs/>
                <w:sz w:val="16"/>
                <w:szCs w:val="16"/>
              </w:rPr>
              <w:t>Candidatus</w:t>
            </w:r>
            <w:r w:rsidRPr="00641C13">
              <w:rPr>
                <w:rFonts w:ascii="Arial" w:hAnsi="Arial" w:cs="Arial"/>
                <w:sz w:val="16"/>
                <w:szCs w:val="16"/>
              </w:rPr>
              <w:t xml:space="preserve"> Hodarchaeales</w:t>
            </w:r>
          </w:p>
        </w:tc>
        <w:tc>
          <w:tcPr>
            <w:tcW w:w="2139" w:type="dxa"/>
            <w:vAlign w:val="center"/>
          </w:tcPr>
          <w:p w14:paraId="2FB15B62"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GCA_015520535_1_ASM1552053v11</w:t>
            </w:r>
          </w:p>
        </w:tc>
        <w:tc>
          <w:tcPr>
            <w:tcW w:w="2340" w:type="dxa"/>
            <w:vAlign w:val="center"/>
          </w:tcPr>
          <w:p w14:paraId="420B9392"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WAPZ01000551.1_551_1</w:t>
            </w:r>
          </w:p>
        </w:tc>
        <w:tc>
          <w:tcPr>
            <w:tcW w:w="1620" w:type="dxa"/>
            <w:vAlign w:val="center"/>
          </w:tcPr>
          <w:p w14:paraId="51292121"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Halimadienyl pyrophosphate</w:t>
            </w:r>
            <w:r>
              <w:rPr>
                <w:rFonts w:ascii="Arial" w:hAnsi="Arial" w:cs="Arial"/>
                <w:sz w:val="16"/>
                <w:szCs w:val="16"/>
              </w:rPr>
              <w:t xml:space="preserve"> (2’)</w:t>
            </w:r>
          </w:p>
        </w:tc>
      </w:tr>
      <w:tr w:rsidR="00666C3D" w:rsidRPr="00E56F94" w14:paraId="3EA7A2A2" w14:textId="77777777" w:rsidTr="00C22CAF">
        <w:trPr>
          <w:trHeight w:val="300"/>
        </w:trPr>
        <w:tc>
          <w:tcPr>
            <w:tcW w:w="1816" w:type="dxa"/>
            <w:vAlign w:val="center"/>
          </w:tcPr>
          <w:p w14:paraId="4A4220A1"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Hodarchaeales S146 (2 of 2)</w:t>
            </w:r>
          </w:p>
        </w:tc>
        <w:tc>
          <w:tcPr>
            <w:tcW w:w="1440" w:type="dxa"/>
            <w:vAlign w:val="center"/>
          </w:tcPr>
          <w:p w14:paraId="65EA8AF7" w14:textId="77777777" w:rsidR="00666C3D" w:rsidRPr="00641C13" w:rsidRDefault="00666C3D" w:rsidP="00C22CAF">
            <w:pPr>
              <w:spacing w:after="240"/>
              <w:rPr>
                <w:rFonts w:ascii="Arial" w:hAnsi="Arial" w:cs="Arial"/>
                <w:sz w:val="16"/>
                <w:szCs w:val="16"/>
              </w:rPr>
            </w:pPr>
            <w:r w:rsidRPr="00641C13">
              <w:rPr>
                <w:rFonts w:ascii="Arial" w:hAnsi="Arial" w:cs="Arial"/>
                <w:i/>
                <w:iCs/>
                <w:sz w:val="16"/>
                <w:szCs w:val="16"/>
              </w:rPr>
              <w:t>Candidatus</w:t>
            </w:r>
            <w:r w:rsidRPr="00641C13">
              <w:rPr>
                <w:rFonts w:ascii="Arial" w:hAnsi="Arial" w:cs="Arial"/>
                <w:sz w:val="16"/>
                <w:szCs w:val="16"/>
              </w:rPr>
              <w:t xml:space="preserve"> Hodarchaeales</w:t>
            </w:r>
          </w:p>
        </w:tc>
        <w:tc>
          <w:tcPr>
            <w:tcW w:w="2139" w:type="dxa"/>
            <w:vAlign w:val="center"/>
          </w:tcPr>
          <w:p w14:paraId="71E214B2"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GCA_015520535_1_ASM1552053v1</w:t>
            </w:r>
          </w:p>
        </w:tc>
        <w:tc>
          <w:tcPr>
            <w:tcW w:w="2340" w:type="dxa"/>
            <w:vAlign w:val="center"/>
          </w:tcPr>
          <w:p w14:paraId="0940F13F"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WAPZ01000470.1_470_2</w:t>
            </w:r>
          </w:p>
        </w:tc>
        <w:tc>
          <w:tcPr>
            <w:tcW w:w="1620" w:type="dxa"/>
            <w:vAlign w:val="center"/>
          </w:tcPr>
          <w:p w14:paraId="1B73A5AD"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None</w:t>
            </w:r>
          </w:p>
        </w:tc>
      </w:tr>
      <w:tr w:rsidR="00666C3D" w:rsidRPr="00E56F94" w14:paraId="241C0D08" w14:textId="77777777" w:rsidTr="00C22CAF">
        <w:trPr>
          <w:trHeight w:val="300"/>
        </w:trPr>
        <w:tc>
          <w:tcPr>
            <w:tcW w:w="1816" w:type="dxa"/>
            <w:vAlign w:val="center"/>
          </w:tcPr>
          <w:p w14:paraId="4016F0F3"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Lokiarchaeales CR_4</w:t>
            </w:r>
          </w:p>
        </w:tc>
        <w:tc>
          <w:tcPr>
            <w:tcW w:w="1440" w:type="dxa"/>
            <w:vAlign w:val="center"/>
          </w:tcPr>
          <w:p w14:paraId="4B267AC9" w14:textId="77777777" w:rsidR="00666C3D" w:rsidRPr="00641C13" w:rsidRDefault="00666C3D" w:rsidP="00C22CAF">
            <w:pPr>
              <w:spacing w:after="240"/>
              <w:rPr>
                <w:rFonts w:ascii="Arial" w:hAnsi="Arial" w:cs="Arial"/>
                <w:sz w:val="16"/>
                <w:szCs w:val="16"/>
              </w:rPr>
            </w:pPr>
            <w:r w:rsidRPr="00641C13">
              <w:rPr>
                <w:rFonts w:ascii="Arial" w:hAnsi="Arial" w:cs="Arial"/>
                <w:i/>
                <w:iCs/>
                <w:sz w:val="16"/>
                <w:szCs w:val="16"/>
              </w:rPr>
              <w:t>Candidatus</w:t>
            </w:r>
            <w:r w:rsidRPr="00641C13">
              <w:rPr>
                <w:rFonts w:ascii="Arial" w:hAnsi="Arial" w:cs="Arial"/>
                <w:sz w:val="16"/>
                <w:szCs w:val="16"/>
              </w:rPr>
              <w:t xml:space="preserve"> Lokiarchaeales</w:t>
            </w:r>
          </w:p>
        </w:tc>
        <w:tc>
          <w:tcPr>
            <w:tcW w:w="2139" w:type="dxa"/>
            <w:vAlign w:val="center"/>
          </w:tcPr>
          <w:p w14:paraId="1E414910"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GCA_001940655_1_ASM194065v1</w:t>
            </w:r>
          </w:p>
        </w:tc>
        <w:tc>
          <w:tcPr>
            <w:tcW w:w="2340" w:type="dxa"/>
            <w:vAlign w:val="center"/>
          </w:tcPr>
          <w:p w14:paraId="499CAEB3"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MBAA01000202.1_172_3</w:t>
            </w:r>
          </w:p>
        </w:tc>
        <w:tc>
          <w:tcPr>
            <w:tcW w:w="1620" w:type="dxa"/>
            <w:vAlign w:val="center"/>
          </w:tcPr>
          <w:p w14:paraId="1AE6D23C" w14:textId="77777777" w:rsidR="00666C3D" w:rsidRPr="00641C13" w:rsidRDefault="00666C3D" w:rsidP="00C22CAF">
            <w:pPr>
              <w:spacing w:after="240"/>
              <w:rPr>
                <w:rFonts w:ascii="Arial" w:hAnsi="Arial" w:cs="Arial"/>
                <w:sz w:val="16"/>
                <w:szCs w:val="16"/>
              </w:rPr>
            </w:pPr>
            <w:r w:rsidRPr="00641C13">
              <w:rPr>
                <w:rFonts w:ascii="Arial" w:hAnsi="Arial" w:cs="Arial"/>
                <w:sz w:val="16"/>
                <w:szCs w:val="16"/>
              </w:rPr>
              <w:t>None</w:t>
            </w:r>
          </w:p>
        </w:tc>
      </w:tr>
    </w:tbl>
    <w:p w14:paraId="632CBF73" w14:textId="2AFB8E7F" w:rsidR="00666C3D" w:rsidRPr="002A39FC" w:rsidRDefault="006D67C8" w:rsidP="00666C3D">
      <w:pPr>
        <w:spacing w:after="240" w:line="360" w:lineRule="auto"/>
      </w:pPr>
      <w:r>
        <w:rPr>
          <w:b/>
          <w:bCs/>
        </w:rPr>
        <w:lastRenderedPageBreak/>
        <w:t>Extended Data</w:t>
      </w:r>
      <w:r w:rsidR="00666C3D">
        <w:rPr>
          <w:b/>
          <w:bCs/>
        </w:rPr>
        <w:t xml:space="preserve"> Table 2</w:t>
      </w:r>
      <w:r w:rsidR="00666C3D" w:rsidRPr="002A39FC">
        <w:rPr>
          <w:b/>
          <w:bCs/>
        </w:rPr>
        <w:t>:</w:t>
      </w:r>
      <w:r w:rsidR="00666C3D" w:rsidRPr="002A39FC">
        <w:t xml:space="preserve"> Plasmids used in this study.</w:t>
      </w:r>
    </w:p>
    <w:tbl>
      <w:tblPr>
        <w:tblStyle w:val="TableGrid"/>
        <w:tblW w:w="9355" w:type="dxa"/>
        <w:tblCellMar>
          <w:top w:w="72" w:type="dxa"/>
          <w:bottom w:w="72" w:type="dxa"/>
        </w:tblCellMar>
        <w:tblLook w:val="04A0" w:firstRow="1" w:lastRow="0" w:firstColumn="1" w:lastColumn="0" w:noHBand="0" w:noVBand="1"/>
      </w:tblPr>
      <w:tblGrid>
        <w:gridCol w:w="2245"/>
        <w:gridCol w:w="5490"/>
        <w:gridCol w:w="1620"/>
      </w:tblGrid>
      <w:tr w:rsidR="00666C3D" w:rsidRPr="00E56F94" w14:paraId="6E0AEDA2" w14:textId="77777777" w:rsidTr="00C22CAF">
        <w:trPr>
          <w:trHeight w:val="445"/>
        </w:trPr>
        <w:tc>
          <w:tcPr>
            <w:tcW w:w="2245" w:type="dxa"/>
            <w:vAlign w:val="center"/>
          </w:tcPr>
          <w:p w14:paraId="46B98CEC" w14:textId="77777777" w:rsidR="00666C3D" w:rsidRPr="002A39FC" w:rsidRDefault="00666C3D" w:rsidP="00BC47EE">
            <w:pPr>
              <w:rPr>
                <w:rFonts w:ascii="Arial" w:hAnsi="Arial" w:cs="Arial"/>
                <w:b/>
                <w:bCs/>
                <w:sz w:val="20"/>
                <w:szCs w:val="20"/>
              </w:rPr>
            </w:pPr>
            <w:r w:rsidRPr="002A39FC">
              <w:rPr>
                <w:rFonts w:ascii="Arial" w:hAnsi="Arial" w:cs="Arial"/>
                <w:b/>
                <w:bCs/>
                <w:sz w:val="20"/>
                <w:szCs w:val="20"/>
              </w:rPr>
              <w:t>Plasmid</w:t>
            </w:r>
          </w:p>
        </w:tc>
        <w:tc>
          <w:tcPr>
            <w:tcW w:w="5490" w:type="dxa"/>
            <w:vAlign w:val="center"/>
          </w:tcPr>
          <w:p w14:paraId="57601406" w14:textId="77777777" w:rsidR="00666C3D" w:rsidRPr="002A39FC" w:rsidRDefault="00666C3D" w:rsidP="00BC47EE">
            <w:pPr>
              <w:rPr>
                <w:rFonts w:ascii="Arial" w:hAnsi="Arial" w:cs="Arial"/>
                <w:b/>
                <w:bCs/>
                <w:sz w:val="20"/>
                <w:szCs w:val="20"/>
              </w:rPr>
            </w:pPr>
            <w:r w:rsidRPr="002A39FC">
              <w:rPr>
                <w:rFonts w:ascii="Arial" w:hAnsi="Arial" w:cs="Arial"/>
                <w:b/>
                <w:bCs/>
                <w:sz w:val="20"/>
                <w:szCs w:val="20"/>
              </w:rPr>
              <w:t>Description</w:t>
            </w:r>
          </w:p>
        </w:tc>
        <w:tc>
          <w:tcPr>
            <w:tcW w:w="1620" w:type="dxa"/>
            <w:vAlign w:val="center"/>
          </w:tcPr>
          <w:p w14:paraId="1BECFF4D" w14:textId="77777777" w:rsidR="00666C3D" w:rsidRPr="002A39FC" w:rsidRDefault="00666C3D" w:rsidP="00BC47EE">
            <w:pPr>
              <w:rPr>
                <w:rFonts w:ascii="Arial" w:hAnsi="Arial" w:cs="Arial"/>
                <w:b/>
                <w:bCs/>
                <w:sz w:val="20"/>
                <w:szCs w:val="20"/>
              </w:rPr>
            </w:pPr>
            <w:r w:rsidRPr="002A39FC">
              <w:rPr>
                <w:rFonts w:ascii="Arial" w:hAnsi="Arial" w:cs="Arial"/>
                <w:b/>
                <w:bCs/>
                <w:sz w:val="20"/>
                <w:szCs w:val="20"/>
              </w:rPr>
              <w:t>Source</w:t>
            </w:r>
          </w:p>
        </w:tc>
      </w:tr>
      <w:tr w:rsidR="00666C3D" w:rsidRPr="00E56F94" w14:paraId="5284B64F" w14:textId="77777777" w:rsidTr="00C22CAF">
        <w:trPr>
          <w:trHeight w:val="300"/>
        </w:trPr>
        <w:tc>
          <w:tcPr>
            <w:tcW w:w="2245" w:type="dxa"/>
            <w:vAlign w:val="center"/>
          </w:tcPr>
          <w:p w14:paraId="344B56B0" w14:textId="77777777" w:rsidR="00666C3D" w:rsidRPr="002A39FC" w:rsidRDefault="00666C3D" w:rsidP="00BC47EE">
            <w:pPr>
              <w:rPr>
                <w:rFonts w:ascii="Arial" w:hAnsi="Arial" w:cs="Arial"/>
                <w:sz w:val="20"/>
                <w:szCs w:val="20"/>
              </w:rPr>
            </w:pPr>
            <w:r w:rsidRPr="002A39FC">
              <w:rPr>
                <w:rFonts w:ascii="Arial" w:hAnsi="Arial" w:cs="Arial"/>
                <w:sz w:val="20"/>
                <w:szCs w:val="20"/>
              </w:rPr>
              <w:t xml:space="preserve">pET-28a(+) </w:t>
            </w:r>
          </w:p>
        </w:tc>
        <w:tc>
          <w:tcPr>
            <w:tcW w:w="5490" w:type="dxa"/>
            <w:vAlign w:val="center"/>
          </w:tcPr>
          <w:p w14:paraId="49497B13" w14:textId="77777777" w:rsidR="00666C3D" w:rsidRPr="002A39FC" w:rsidRDefault="00666C3D" w:rsidP="00BC47EE">
            <w:pPr>
              <w:rPr>
                <w:rFonts w:ascii="Arial" w:hAnsi="Arial" w:cs="Arial"/>
                <w:sz w:val="20"/>
                <w:szCs w:val="20"/>
              </w:rPr>
            </w:pPr>
            <w:r w:rsidRPr="002A39FC">
              <w:rPr>
                <w:rFonts w:ascii="Arial" w:hAnsi="Arial" w:cs="Arial"/>
                <w:sz w:val="20"/>
                <w:szCs w:val="20"/>
              </w:rPr>
              <w:t>pET derivative with ColE1/pMB1/pBR322/pUC ori, Kan</w:t>
            </w:r>
            <w:r w:rsidRPr="002A39FC">
              <w:rPr>
                <w:rFonts w:ascii="Arial" w:hAnsi="Arial" w:cs="Arial"/>
                <w:sz w:val="20"/>
                <w:szCs w:val="20"/>
                <w:vertAlign w:val="superscript"/>
              </w:rPr>
              <w:t>R</w:t>
            </w:r>
            <w:r w:rsidRPr="002A39FC">
              <w:rPr>
                <w:rFonts w:ascii="Arial" w:hAnsi="Arial" w:cs="Arial"/>
                <w:sz w:val="20"/>
                <w:szCs w:val="20"/>
              </w:rPr>
              <w:t>, N-terminal 6x His tag. All cyclases were cloned into this plasmid.</w:t>
            </w:r>
          </w:p>
        </w:tc>
        <w:tc>
          <w:tcPr>
            <w:tcW w:w="1620" w:type="dxa"/>
            <w:vAlign w:val="center"/>
          </w:tcPr>
          <w:p w14:paraId="23035947" w14:textId="77777777" w:rsidR="00666C3D" w:rsidRPr="002A39FC" w:rsidRDefault="00666C3D" w:rsidP="00BC47EE">
            <w:pPr>
              <w:rPr>
                <w:rFonts w:ascii="Arial" w:hAnsi="Arial" w:cs="Arial"/>
                <w:sz w:val="20"/>
                <w:szCs w:val="20"/>
              </w:rPr>
            </w:pPr>
            <w:r w:rsidRPr="002A39FC">
              <w:rPr>
                <w:rFonts w:ascii="Arial" w:hAnsi="Arial" w:cs="Arial"/>
                <w:sz w:val="20"/>
                <w:szCs w:val="20"/>
              </w:rPr>
              <w:t>Twist Bioscience</w:t>
            </w:r>
          </w:p>
        </w:tc>
      </w:tr>
      <w:tr w:rsidR="00666C3D" w:rsidRPr="00E56F94" w14:paraId="321F2259" w14:textId="77777777" w:rsidTr="00C22CAF">
        <w:trPr>
          <w:trHeight w:val="300"/>
        </w:trPr>
        <w:tc>
          <w:tcPr>
            <w:tcW w:w="2245" w:type="dxa"/>
            <w:vAlign w:val="center"/>
          </w:tcPr>
          <w:p w14:paraId="4852D369" w14:textId="77777777" w:rsidR="00666C3D" w:rsidRPr="002A39FC" w:rsidRDefault="00666C3D" w:rsidP="00BC47EE">
            <w:pPr>
              <w:rPr>
                <w:rFonts w:ascii="Arial" w:hAnsi="Arial" w:cs="Arial"/>
                <w:sz w:val="20"/>
                <w:szCs w:val="20"/>
              </w:rPr>
            </w:pPr>
            <w:r w:rsidRPr="002A39FC">
              <w:rPr>
                <w:rFonts w:ascii="Arial" w:hAnsi="Arial" w:cs="Arial"/>
                <w:sz w:val="20"/>
                <w:szCs w:val="20"/>
              </w:rPr>
              <w:t xml:space="preserve">pACYC-GroEL/ES-TF </w:t>
            </w:r>
          </w:p>
          <w:p w14:paraId="2C852D66" w14:textId="77777777" w:rsidR="00666C3D" w:rsidRPr="002A39FC" w:rsidRDefault="00666C3D" w:rsidP="00BC47EE">
            <w:pPr>
              <w:rPr>
                <w:rFonts w:ascii="Arial" w:hAnsi="Arial" w:cs="Arial"/>
                <w:sz w:val="20"/>
                <w:szCs w:val="20"/>
              </w:rPr>
            </w:pPr>
            <w:r w:rsidRPr="002A39FC">
              <w:rPr>
                <w:rFonts w:ascii="Arial" w:hAnsi="Arial" w:cs="Arial"/>
                <w:sz w:val="20"/>
                <w:szCs w:val="20"/>
              </w:rPr>
              <w:t>(pPVW7383)</w:t>
            </w:r>
          </w:p>
        </w:tc>
        <w:tc>
          <w:tcPr>
            <w:tcW w:w="5490" w:type="dxa"/>
            <w:vAlign w:val="center"/>
          </w:tcPr>
          <w:p w14:paraId="0C2B7C1F" w14:textId="77777777" w:rsidR="00666C3D" w:rsidRPr="002A39FC" w:rsidRDefault="00666C3D" w:rsidP="00BC47EE">
            <w:pPr>
              <w:rPr>
                <w:rFonts w:ascii="Arial" w:hAnsi="Arial" w:cs="Arial"/>
                <w:sz w:val="20"/>
                <w:szCs w:val="20"/>
              </w:rPr>
            </w:pPr>
            <w:r w:rsidRPr="002A39FC">
              <w:rPr>
                <w:rFonts w:ascii="Arial" w:hAnsi="Arial" w:cs="Arial"/>
                <w:sz w:val="20"/>
                <w:szCs w:val="20"/>
              </w:rPr>
              <w:t>pACYC-Duet1 derivative with p15A ori, Cam</w:t>
            </w:r>
            <w:r w:rsidRPr="002A39FC">
              <w:rPr>
                <w:rFonts w:ascii="Arial" w:hAnsi="Arial" w:cs="Arial"/>
                <w:sz w:val="20"/>
                <w:szCs w:val="20"/>
                <w:vertAlign w:val="superscript"/>
              </w:rPr>
              <w:t>R</w:t>
            </w:r>
            <w:r w:rsidRPr="002A39FC">
              <w:rPr>
                <w:rFonts w:ascii="Arial" w:hAnsi="Arial" w:cs="Arial"/>
                <w:sz w:val="20"/>
                <w:szCs w:val="20"/>
              </w:rPr>
              <w:t>. Addgene #83923. Expresses GroEL/ES and trigger factor.</w:t>
            </w:r>
          </w:p>
        </w:tc>
        <w:tc>
          <w:tcPr>
            <w:tcW w:w="1620" w:type="dxa"/>
            <w:vAlign w:val="center"/>
          </w:tcPr>
          <w:p w14:paraId="7B457179" w14:textId="428C8EB1" w:rsidR="00666C3D" w:rsidRPr="002A39FC" w:rsidRDefault="00666C3D" w:rsidP="00BC47EE">
            <w:pPr>
              <w:rPr>
                <w:rFonts w:ascii="Arial" w:hAnsi="Arial" w:cs="Arial"/>
                <w:sz w:val="20"/>
                <w:szCs w:val="20"/>
              </w:rPr>
            </w:pPr>
            <w:r w:rsidRPr="002A39FC">
              <w:rPr>
                <w:rFonts w:ascii="Arial" w:hAnsi="Arial" w:cs="Arial"/>
                <w:sz w:val="20"/>
                <w:szCs w:val="20"/>
              </w:rPr>
              <w:fldChar w:fldCharType="begin"/>
            </w:r>
            <w:r w:rsidR="00DF7702">
              <w:rPr>
                <w:rFonts w:ascii="Arial" w:hAnsi="Arial" w:cs="Arial"/>
                <w:sz w:val="20"/>
                <w:szCs w:val="20"/>
              </w:rPr>
              <w:instrText xml:space="preserve"> ADDIN ZOTERO_ITEM CSL_CITATION {"citationID":"aVTiiyHg","properties":{"formattedCitation":"\\super 11\\nosupersub{}","plainCitation":"11","noteIndex":0},"citationItems":[{"id":3672,"uris":["http://zotero.org/users/5161964/items/MGIA4YME"],"itemData":{"id":3672,"type":"article-journal","abstract":"Genetically engineered variants of human lysozyme represent promising leads in the battle against drug-resistant bacterial pathogens, but early stage development and testing of novel lysozyme variants is constrained by the lack of a robust, scalable and facile expression system. While wild type human lysozyme is reportedly produced at 50–80kg per hectare of land in recombinant rice, this plant-based system is not readily scaled down to bench top production, and it is therefore not suitable for development and characterization of novel lysozyme variants. Here, we describe a novel and efficient expression system capable of producing folded, soluble and functional human lysozyme in Escherichia coli cells. To achieve this goal, we simultaneously co-express multiple protein folding chaperones as well as harness the lysozyme inhibitory protein, Ivy. Our strategy exploits E. coli's ease of culture, short doubling time, and facile genetics to yield upwards of 30mg/l of soluble lysozyme in a bioreactor system, a 3000-fold improvement over prior efforts in E. coli. Additionally, molecular interactions between lysozyme and a his-tagged Ivy allows for one-step purification by IMAC, yielding as much as 21mg/l of purified enzyme. We anticipate that our expression and purification platform will facilitate further development of engineered lysozymes having utility in disease treatment and other practical applications.","container-title":"Journal of Biotechnology","DOI":"10.1016/j.jbiotec.2012.11.007","ISSN":"0168-1656","issue":"1","journalAbbreviation":"Journal of Biotechnology","page":"1-8","source":"ScienceDirect","title":"Engineering Escherichia coli for soluble expression and single step purification of active human lysozyme","volume":"164","author":[{"family":"Lamppa","given":"John W."},{"family":"Tanyos","given":"Sam A."},{"family":"Griswold","given":"Karl E."}],"issued":{"date-parts":[["2013",3,10]]}}}],"schema":"https://github.com/citation-style-language/schema/raw/master/csl-citation.json"} </w:instrText>
            </w:r>
            <w:r w:rsidRPr="002A39FC">
              <w:rPr>
                <w:rFonts w:ascii="Arial" w:hAnsi="Arial" w:cs="Arial"/>
                <w:sz w:val="20"/>
                <w:szCs w:val="20"/>
              </w:rPr>
              <w:fldChar w:fldCharType="separate"/>
            </w:r>
            <w:r w:rsidR="00DF7702" w:rsidRPr="00DF7702">
              <w:rPr>
                <w:rFonts w:ascii="Arial" w:hAnsi="Arial" w:cs="Arial"/>
                <w:sz w:val="20"/>
                <w:vertAlign w:val="superscript"/>
              </w:rPr>
              <w:t>11</w:t>
            </w:r>
            <w:r w:rsidRPr="002A39FC">
              <w:rPr>
                <w:rFonts w:ascii="Arial" w:hAnsi="Arial" w:cs="Arial"/>
                <w:sz w:val="20"/>
                <w:szCs w:val="20"/>
              </w:rPr>
              <w:fldChar w:fldCharType="end"/>
            </w:r>
            <w:r w:rsidRPr="002A39FC">
              <w:rPr>
                <w:rFonts w:ascii="Arial" w:hAnsi="Arial" w:cs="Arial"/>
                <w:sz w:val="20"/>
                <w:szCs w:val="20"/>
              </w:rPr>
              <w:t xml:space="preserve"> </w:t>
            </w:r>
          </w:p>
        </w:tc>
      </w:tr>
    </w:tbl>
    <w:p w14:paraId="6F757FAE" w14:textId="77777777" w:rsidR="00666C3D" w:rsidRDefault="00666C3D" w:rsidP="00666C3D">
      <w:pPr>
        <w:spacing w:after="240" w:line="360" w:lineRule="auto"/>
        <w:rPr>
          <w:b/>
          <w:bCs/>
        </w:rPr>
      </w:pPr>
    </w:p>
    <w:p w14:paraId="09B01DC4" w14:textId="697474E1" w:rsidR="00666C3D" w:rsidRPr="002A39FC" w:rsidRDefault="006D67C8" w:rsidP="00666C3D">
      <w:pPr>
        <w:spacing w:after="240" w:line="360" w:lineRule="auto"/>
      </w:pPr>
      <w:r>
        <w:rPr>
          <w:b/>
          <w:bCs/>
        </w:rPr>
        <w:t>Extended Data</w:t>
      </w:r>
      <w:r w:rsidR="00666C3D">
        <w:rPr>
          <w:b/>
          <w:bCs/>
        </w:rPr>
        <w:t xml:space="preserve"> Table </w:t>
      </w:r>
      <w:r>
        <w:rPr>
          <w:b/>
          <w:bCs/>
        </w:rPr>
        <w:t>3</w:t>
      </w:r>
      <w:r w:rsidR="00666C3D" w:rsidRPr="002A39FC">
        <w:rPr>
          <w:b/>
          <w:bCs/>
        </w:rPr>
        <w:t>:</w:t>
      </w:r>
      <w:r w:rsidR="00666C3D" w:rsidRPr="002A39FC">
        <w:t xml:space="preserve"> </w:t>
      </w:r>
      <w:r w:rsidR="00666C3D">
        <w:t>Strains constructed</w:t>
      </w:r>
      <w:r w:rsidR="00666C3D" w:rsidRPr="002A39FC">
        <w:t xml:space="preserve"> in this study.</w:t>
      </w:r>
    </w:p>
    <w:tbl>
      <w:tblPr>
        <w:tblStyle w:val="TableGrid"/>
        <w:tblW w:w="9355" w:type="dxa"/>
        <w:tblLayout w:type="fixed"/>
        <w:tblCellMar>
          <w:top w:w="72" w:type="dxa"/>
          <w:bottom w:w="72" w:type="dxa"/>
        </w:tblCellMar>
        <w:tblLook w:val="04A0" w:firstRow="1" w:lastRow="0" w:firstColumn="1" w:lastColumn="0" w:noHBand="0" w:noVBand="1"/>
      </w:tblPr>
      <w:tblGrid>
        <w:gridCol w:w="1525"/>
        <w:gridCol w:w="7830"/>
      </w:tblGrid>
      <w:tr w:rsidR="00666C3D" w:rsidRPr="00641C13" w14:paraId="21F8DCBE" w14:textId="77777777" w:rsidTr="00C22CAF">
        <w:trPr>
          <w:trHeight w:val="445"/>
        </w:trPr>
        <w:tc>
          <w:tcPr>
            <w:tcW w:w="1525" w:type="dxa"/>
            <w:vAlign w:val="center"/>
          </w:tcPr>
          <w:p w14:paraId="44729CE1" w14:textId="77777777" w:rsidR="00666C3D" w:rsidRPr="0034528C" w:rsidRDefault="00666C3D" w:rsidP="00BC47EE">
            <w:pPr>
              <w:rPr>
                <w:rFonts w:ascii="Arial" w:hAnsi="Arial" w:cs="Arial"/>
                <w:b/>
                <w:bCs/>
                <w:sz w:val="20"/>
                <w:szCs w:val="20"/>
              </w:rPr>
            </w:pPr>
            <w:r w:rsidRPr="0034528C">
              <w:rPr>
                <w:rFonts w:ascii="Arial" w:hAnsi="Arial" w:cs="Arial"/>
                <w:b/>
                <w:bCs/>
                <w:sz w:val="20"/>
                <w:szCs w:val="20"/>
              </w:rPr>
              <w:t>Expression strain</w:t>
            </w:r>
          </w:p>
        </w:tc>
        <w:tc>
          <w:tcPr>
            <w:tcW w:w="7830" w:type="dxa"/>
            <w:vAlign w:val="center"/>
          </w:tcPr>
          <w:p w14:paraId="7BF931CF" w14:textId="77777777" w:rsidR="00666C3D" w:rsidRPr="0034528C" w:rsidRDefault="00666C3D" w:rsidP="00BC47EE">
            <w:pPr>
              <w:rPr>
                <w:rFonts w:ascii="Arial" w:hAnsi="Arial" w:cs="Arial"/>
                <w:b/>
                <w:bCs/>
                <w:sz w:val="20"/>
                <w:szCs w:val="20"/>
              </w:rPr>
            </w:pPr>
            <w:r w:rsidRPr="0034528C">
              <w:rPr>
                <w:rFonts w:ascii="Arial" w:hAnsi="Arial" w:cs="Arial"/>
                <w:b/>
                <w:bCs/>
                <w:sz w:val="20"/>
                <w:szCs w:val="20"/>
              </w:rPr>
              <w:t>Plasmids</w:t>
            </w:r>
          </w:p>
        </w:tc>
      </w:tr>
      <w:tr w:rsidR="00666C3D" w:rsidRPr="00641C13" w14:paraId="58B8757C" w14:textId="77777777" w:rsidTr="00C22CAF">
        <w:trPr>
          <w:trHeight w:val="300"/>
        </w:trPr>
        <w:tc>
          <w:tcPr>
            <w:tcW w:w="1525" w:type="dxa"/>
            <w:vAlign w:val="center"/>
          </w:tcPr>
          <w:p w14:paraId="63393951" w14:textId="77777777" w:rsidR="00666C3D" w:rsidRPr="0034528C" w:rsidRDefault="00666C3D" w:rsidP="00BC47EE">
            <w:pPr>
              <w:rPr>
                <w:rFonts w:ascii="Arial" w:hAnsi="Arial" w:cs="Arial"/>
                <w:sz w:val="20"/>
                <w:szCs w:val="20"/>
              </w:rPr>
            </w:pPr>
            <w:r>
              <w:rPr>
                <w:rFonts w:ascii="Arial" w:hAnsi="Arial" w:cs="Arial"/>
                <w:sz w:val="20"/>
                <w:szCs w:val="20"/>
              </w:rPr>
              <w:t>HM138</w:t>
            </w:r>
          </w:p>
        </w:tc>
        <w:tc>
          <w:tcPr>
            <w:tcW w:w="7830" w:type="dxa"/>
            <w:vAlign w:val="center"/>
          </w:tcPr>
          <w:p w14:paraId="2558BF87" w14:textId="77777777" w:rsidR="00666C3D" w:rsidRPr="0034528C" w:rsidRDefault="00666C3D" w:rsidP="00BC47EE">
            <w:pPr>
              <w:rPr>
                <w:rFonts w:ascii="Arial" w:hAnsi="Arial" w:cs="Arial"/>
                <w:sz w:val="20"/>
                <w:szCs w:val="20"/>
              </w:rPr>
            </w:pPr>
            <w:r w:rsidRPr="0034528C">
              <w:rPr>
                <w:rFonts w:ascii="Arial" w:hAnsi="Arial" w:cs="Arial"/>
                <w:sz w:val="20"/>
                <w:szCs w:val="20"/>
              </w:rPr>
              <w:t>pACYC (pPVW7383), pET-</w:t>
            </w:r>
            <w:r>
              <w:rPr>
                <w:rFonts w:ascii="Arial" w:hAnsi="Arial" w:cs="Arial"/>
                <w:sz w:val="20"/>
                <w:szCs w:val="20"/>
              </w:rPr>
              <w:t>Mycobacterium_tuberculosis_Rv3377c</w:t>
            </w:r>
            <w:r w:rsidRPr="0034528C">
              <w:rPr>
                <w:rFonts w:ascii="Arial" w:hAnsi="Arial" w:cs="Arial"/>
                <w:sz w:val="20"/>
                <w:szCs w:val="20"/>
              </w:rPr>
              <w:t xml:space="preserve"> (pHM</w:t>
            </w:r>
            <w:r>
              <w:rPr>
                <w:rFonts w:ascii="Arial" w:hAnsi="Arial" w:cs="Arial"/>
                <w:sz w:val="20"/>
                <w:szCs w:val="20"/>
              </w:rPr>
              <w:t>115</w:t>
            </w:r>
            <w:r w:rsidRPr="0034528C">
              <w:rPr>
                <w:rFonts w:ascii="Arial" w:hAnsi="Arial" w:cs="Arial"/>
                <w:sz w:val="20"/>
                <w:szCs w:val="20"/>
              </w:rPr>
              <w:t>)</w:t>
            </w:r>
          </w:p>
        </w:tc>
      </w:tr>
      <w:tr w:rsidR="00666C3D" w:rsidRPr="00641C13" w14:paraId="2D2C1C87" w14:textId="77777777" w:rsidTr="00C22CAF">
        <w:trPr>
          <w:trHeight w:val="300"/>
        </w:trPr>
        <w:tc>
          <w:tcPr>
            <w:tcW w:w="1525" w:type="dxa"/>
            <w:vAlign w:val="center"/>
          </w:tcPr>
          <w:p w14:paraId="377FEEEA" w14:textId="77777777" w:rsidR="00666C3D" w:rsidRPr="0034528C" w:rsidRDefault="00666C3D" w:rsidP="00BC47EE">
            <w:pPr>
              <w:rPr>
                <w:rFonts w:ascii="Arial" w:hAnsi="Arial" w:cs="Arial"/>
                <w:sz w:val="20"/>
                <w:szCs w:val="20"/>
              </w:rPr>
            </w:pPr>
            <w:r w:rsidRPr="0034528C">
              <w:rPr>
                <w:rFonts w:ascii="Arial" w:hAnsi="Arial" w:cs="Arial"/>
                <w:sz w:val="20"/>
                <w:szCs w:val="20"/>
              </w:rPr>
              <w:t>HM141</w:t>
            </w:r>
          </w:p>
        </w:tc>
        <w:tc>
          <w:tcPr>
            <w:tcW w:w="7830" w:type="dxa"/>
            <w:vAlign w:val="center"/>
          </w:tcPr>
          <w:p w14:paraId="41FD4AD1" w14:textId="77777777" w:rsidR="00666C3D" w:rsidRPr="0034528C" w:rsidRDefault="00666C3D" w:rsidP="00BC47EE">
            <w:pPr>
              <w:rPr>
                <w:rFonts w:ascii="Arial" w:hAnsi="Arial" w:cs="Arial"/>
                <w:sz w:val="20"/>
                <w:szCs w:val="20"/>
              </w:rPr>
            </w:pPr>
            <w:r w:rsidRPr="0034528C">
              <w:rPr>
                <w:rFonts w:ascii="Arial" w:hAnsi="Arial" w:cs="Arial"/>
                <w:sz w:val="20"/>
                <w:szCs w:val="20"/>
              </w:rPr>
              <w:t>pACYC (pPVW7383), pET-Kariarchaeaceae</w:t>
            </w:r>
            <w:r>
              <w:rPr>
                <w:rFonts w:ascii="Arial" w:hAnsi="Arial" w:cs="Arial"/>
                <w:sz w:val="20"/>
                <w:szCs w:val="20"/>
              </w:rPr>
              <w:t>_</w:t>
            </w:r>
            <w:r w:rsidRPr="0034528C">
              <w:rPr>
                <w:rFonts w:ascii="Arial" w:hAnsi="Arial" w:cs="Arial"/>
                <w:sz w:val="20"/>
                <w:szCs w:val="20"/>
              </w:rPr>
              <w:t>LC2 (pHM</w:t>
            </w:r>
            <w:r>
              <w:rPr>
                <w:rFonts w:ascii="Arial" w:hAnsi="Arial" w:cs="Arial"/>
                <w:sz w:val="20"/>
                <w:szCs w:val="20"/>
              </w:rPr>
              <w:t>118</w:t>
            </w:r>
            <w:r w:rsidRPr="0034528C">
              <w:rPr>
                <w:rFonts w:ascii="Arial" w:hAnsi="Arial" w:cs="Arial"/>
                <w:sz w:val="20"/>
                <w:szCs w:val="20"/>
              </w:rPr>
              <w:t>)</w:t>
            </w:r>
          </w:p>
        </w:tc>
      </w:tr>
      <w:tr w:rsidR="00666C3D" w:rsidRPr="00641C13" w14:paraId="35105860" w14:textId="77777777" w:rsidTr="00C22CAF">
        <w:trPr>
          <w:trHeight w:val="300"/>
        </w:trPr>
        <w:tc>
          <w:tcPr>
            <w:tcW w:w="1525" w:type="dxa"/>
            <w:vAlign w:val="center"/>
          </w:tcPr>
          <w:p w14:paraId="104F3067" w14:textId="77777777" w:rsidR="00666C3D" w:rsidRPr="0034528C" w:rsidRDefault="00666C3D" w:rsidP="00BC47EE">
            <w:pPr>
              <w:rPr>
                <w:rFonts w:ascii="Arial" w:hAnsi="Arial" w:cs="Arial"/>
                <w:sz w:val="20"/>
                <w:szCs w:val="20"/>
              </w:rPr>
            </w:pPr>
            <w:r w:rsidRPr="0034528C">
              <w:rPr>
                <w:rFonts w:ascii="Arial" w:hAnsi="Arial" w:cs="Arial"/>
                <w:sz w:val="20"/>
                <w:szCs w:val="20"/>
              </w:rPr>
              <w:t>HM144</w:t>
            </w:r>
          </w:p>
        </w:tc>
        <w:tc>
          <w:tcPr>
            <w:tcW w:w="7830" w:type="dxa"/>
            <w:vAlign w:val="center"/>
          </w:tcPr>
          <w:p w14:paraId="49008C3A" w14:textId="77777777" w:rsidR="00666C3D" w:rsidRPr="0034528C" w:rsidRDefault="00666C3D" w:rsidP="00BC47EE">
            <w:pPr>
              <w:rPr>
                <w:rFonts w:ascii="Arial" w:hAnsi="Arial" w:cs="Arial"/>
                <w:sz w:val="20"/>
                <w:szCs w:val="20"/>
              </w:rPr>
            </w:pPr>
            <w:r w:rsidRPr="0034528C">
              <w:rPr>
                <w:rFonts w:ascii="Arial" w:hAnsi="Arial" w:cs="Arial"/>
                <w:sz w:val="20"/>
                <w:szCs w:val="20"/>
              </w:rPr>
              <w:t>pACYC (pPVW7383), pET-Hodarchaeales</w:t>
            </w:r>
            <w:r>
              <w:rPr>
                <w:rFonts w:ascii="Arial" w:hAnsi="Arial" w:cs="Arial"/>
                <w:sz w:val="20"/>
                <w:szCs w:val="20"/>
              </w:rPr>
              <w:t>_</w:t>
            </w:r>
            <w:r w:rsidRPr="0034528C">
              <w:rPr>
                <w:rFonts w:ascii="Arial" w:hAnsi="Arial" w:cs="Arial"/>
                <w:sz w:val="20"/>
                <w:szCs w:val="20"/>
              </w:rPr>
              <w:t>S146</w:t>
            </w:r>
            <w:r>
              <w:rPr>
                <w:rFonts w:ascii="Arial" w:hAnsi="Arial" w:cs="Arial"/>
                <w:sz w:val="20"/>
                <w:szCs w:val="20"/>
              </w:rPr>
              <w:t>_</w:t>
            </w:r>
            <w:r w:rsidRPr="0034528C">
              <w:rPr>
                <w:rFonts w:ascii="Arial" w:hAnsi="Arial" w:cs="Arial"/>
                <w:sz w:val="20"/>
                <w:szCs w:val="20"/>
              </w:rPr>
              <w:t>(1 of 2) (pHM</w:t>
            </w:r>
            <w:r>
              <w:rPr>
                <w:rFonts w:ascii="Arial" w:hAnsi="Arial" w:cs="Arial"/>
                <w:sz w:val="20"/>
                <w:szCs w:val="20"/>
              </w:rPr>
              <w:t>134</w:t>
            </w:r>
            <w:r w:rsidRPr="0034528C">
              <w:rPr>
                <w:rFonts w:ascii="Arial" w:hAnsi="Arial" w:cs="Arial"/>
                <w:sz w:val="20"/>
                <w:szCs w:val="20"/>
              </w:rPr>
              <w:t>)</w:t>
            </w:r>
          </w:p>
        </w:tc>
      </w:tr>
      <w:tr w:rsidR="00666C3D" w:rsidRPr="00641C13" w14:paraId="6E1B7ED0" w14:textId="77777777" w:rsidTr="00C22CAF">
        <w:trPr>
          <w:trHeight w:val="300"/>
        </w:trPr>
        <w:tc>
          <w:tcPr>
            <w:tcW w:w="1525" w:type="dxa"/>
            <w:vAlign w:val="center"/>
          </w:tcPr>
          <w:p w14:paraId="4F1B2368" w14:textId="77777777" w:rsidR="00666C3D" w:rsidRPr="0034528C" w:rsidRDefault="00666C3D" w:rsidP="00BC47EE">
            <w:pPr>
              <w:rPr>
                <w:rFonts w:ascii="Arial" w:hAnsi="Arial" w:cs="Arial"/>
                <w:sz w:val="20"/>
                <w:szCs w:val="20"/>
              </w:rPr>
            </w:pPr>
            <w:r w:rsidRPr="0034528C">
              <w:rPr>
                <w:rFonts w:ascii="Arial" w:hAnsi="Arial" w:cs="Arial"/>
                <w:sz w:val="20"/>
                <w:szCs w:val="20"/>
              </w:rPr>
              <w:t>HM145</w:t>
            </w:r>
          </w:p>
        </w:tc>
        <w:tc>
          <w:tcPr>
            <w:tcW w:w="7830" w:type="dxa"/>
            <w:vAlign w:val="center"/>
          </w:tcPr>
          <w:p w14:paraId="5F2A2006" w14:textId="77777777" w:rsidR="00666C3D" w:rsidRPr="0034528C" w:rsidRDefault="00666C3D" w:rsidP="00BC47EE">
            <w:pPr>
              <w:rPr>
                <w:rFonts w:ascii="Arial" w:hAnsi="Arial" w:cs="Arial"/>
                <w:sz w:val="20"/>
                <w:szCs w:val="20"/>
              </w:rPr>
            </w:pPr>
            <w:r w:rsidRPr="0034528C">
              <w:rPr>
                <w:rFonts w:ascii="Arial" w:hAnsi="Arial" w:cs="Arial"/>
                <w:sz w:val="20"/>
                <w:szCs w:val="20"/>
              </w:rPr>
              <w:t>pACYC (pPVW7383), pET-Hodarchaeales</w:t>
            </w:r>
            <w:r>
              <w:rPr>
                <w:rFonts w:ascii="Arial" w:hAnsi="Arial" w:cs="Arial"/>
                <w:sz w:val="20"/>
                <w:szCs w:val="20"/>
              </w:rPr>
              <w:t>_</w:t>
            </w:r>
            <w:r w:rsidRPr="0034528C">
              <w:rPr>
                <w:rFonts w:ascii="Arial" w:hAnsi="Arial" w:cs="Arial"/>
                <w:sz w:val="20"/>
                <w:szCs w:val="20"/>
              </w:rPr>
              <w:t>S146</w:t>
            </w:r>
            <w:r>
              <w:rPr>
                <w:rFonts w:ascii="Arial" w:hAnsi="Arial" w:cs="Arial"/>
                <w:sz w:val="20"/>
                <w:szCs w:val="20"/>
              </w:rPr>
              <w:t>_</w:t>
            </w:r>
            <w:r w:rsidRPr="0034528C">
              <w:rPr>
                <w:rFonts w:ascii="Arial" w:hAnsi="Arial" w:cs="Arial"/>
                <w:sz w:val="20"/>
                <w:szCs w:val="20"/>
              </w:rPr>
              <w:t>(2 of 2) (pHM</w:t>
            </w:r>
            <w:r>
              <w:rPr>
                <w:rFonts w:ascii="Arial" w:hAnsi="Arial" w:cs="Arial"/>
                <w:sz w:val="20"/>
                <w:szCs w:val="20"/>
              </w:rPr>
              <w:t>135</w:t>
            </w:r>
            <w:r w:rsidRPr="0034528C">
              <w:rPr>
                <w:rFonts w:ascii="Arial" w:hAnsi="Arial" w:cs="Arial"/>
                <w:sz w:val="20"/>
                <w:szCs w:val="20"/>
              </w:rPr>
              <w:t>)</w:t>
            </w:r>
          </w:p>
        </w:tc>
      </w:tr>
      <w:tr w:rsidR="00666C3D" w:rsidRPr="00641C13" w14:paraId="0B60A6E9" w14:textId="77777777" w:rsidTr="00C22CAF">
        <w:trPr>
          <w:trHeight w:val="300"/>
        </w:trPr>
        <w:tc>
          <w:tcPr>
            <w:tcW w:w="1525" w:type="dxa"/>
            <w:vAlign w:val="center"/>
          </w:tcPr>
          <w:p w14:paraId="2FDCDC56" w14:textId="77777777" w:rsidR="00666C3D" w:rsidRPr="0034528C" w:rsidRDefault="00666C3D" w:rsidP="00BC47EE">
            <w:pPr>
              <w:rPr>
                <w:rFonts w:ascii="Arial" w:hAnsi="Arial" w:cs="Arial"/>
                <w:sz w:val="20"/>
                <w:szCs w:val="20"/>
              </w:rPr>
            </w:pPr>
            <w:r w:rsidRPr="0034528C">
              <w:rPr>
                <w:rFonts w:ascii="Arial" w:hAnsi="Arial" w:cs="Arial"/>
                <w:sz w:val="20"/>
                <w:szCs w:val="20"/>
              </w:rPr>
              <w:t>HM147</w:t>
            </w:r>
          </w:p>
        </w:tc>
        <w:tc>
          <w:tcPr>
            <w:tcW w:w="7830" w:type="dxa"/>
            <w:vAlign w:val="center"/>
          </w:tcPr>
          <w:p w14:paraId="46FDA2F0" w14:textId="77777777" w:rsidR="00666C3D" w:rsidRPr="0034528C" w:rsidRDefault="00666C3D" w:rsidP="00BC47EE">
            <w:pPr>
              <w:rPr>
                <w:rFonts w:ascii="Arial" w:hAnsi="Arial" w:cs="Arial"/>
                <w:sz w:val="20"/>
                <w:szCs w:val="20"/>
              </w:rPr>
            </w:pPr>
            <w:r w:rsidRPr="0034528C">
              <w:rPr>
                <w:rFonts w:ascii="Arial" w:hAnsi="Arial" w:cs="Arial"/>
                <w:sz w:val="20"/>
                <w:szCs w:val="20"/>
              </w:rPr>
              <w:t>pACYC (pPVW7383), pET-Lokiarchaeales</w:t>
            </w:r>
            <w:r>
              <w:rPr>
                <w:rFonts w:ascii="Arial" w:hAnsi="Arial" w:cs="Arial"/>
                <w:sz w:val="20"/>
                <w:szCs w:val="20"/>
              </w:rPr>
              <w:t>_</w:t>
            </w:r>
            <w:r w:rsidRPr="0034528C">
              <w:rPr>
                <w:rFonts w:ascii="Arial" w:hAnsi="Arial" w:cs="Arial"/>
                <w:sz w:val="20"/>
                <w:szCs w:val="20"/>
              </w:rPr>
              <w:t>CR_4 (pHM</w:t>
            </w:r>
            <w:r>
              <w:rPr>
                <w:rFonts w:ascii="Arial" w:hAnsi="Arial" w:cs="Arial"/>
                <w:sz w:val="20"/>
                <w:szCs w:val="20"/>
              </w:rPr>
              <w:t>119</w:t>
            </w:r>
            <w:r w:rsidRPr="0034528C">
              <w:rPr>
                <w:rFonts w:ascii="Arial" w:hAnsi="Arial" w:cs="Arial"/>
                <w:sz w:val="20"/>
                <w:szCs w:val="20"/>
              </w:rPr>
              <w:t>)</w:t>
            </w:r>
          </w:p>
        </w:tc>
      </w:tr>
    </w:tbl>
    <w:p w14:paraId="1F7DC72E" w14:textId="77777777" w:rsidR="00087106" w:rsidRPr="0026290E" w:rsidRDefault="00087106" w:rsidP="00666C3D">
      <w:pPr>
        <w:spacing w:after="240"/>
      </w:pPr>
    </w:p>
    <w:p w14:paraId="300B96FC" w14:textId="4FA608E2" w:rsidR="00666C3D" w:rsidRDefault="001176FA">
      <w:pPr>
        <w:rPr>
          <w:b/>
          <w:bCs/>
        </w:rPr>
      </w:pPr>
      <w:r>
        <w:rPr>
          <w:b/>
          <w:bCs/>
        </w:rPr>
        <w:t xml:space="preserve">Supplementary </w:t>
      </w:r>
      <w:r w:rsidR="00666C3D" w:rsidRPr="00666C3D">
        <w:rPr>
          <w:b/>
          <w:bCs/>
        </w:rPr>
        <w:t>References</w:t>
      </w:r>
    </w:p>
    <w:p w14:paraId="660A5124" w14:textId="77777777" w:rsidR="00DF7702" w:rsidRPr="00DF7702" w:rsidRDefault="00666C3D" w:rsidP="00264326">
      <w:pPr>
        <w:pStyle w:val="Bibliography"/>
        <w:spacing w:line="240" w:lineRule="auto"/>
      </w:pPr>
      <w:r>
        <w:rPr>
          <w:b/>
          <w:bCs/>
        </w:rPr>
        <w:fldChar w:fldCharType="begin"/>
      </w:r>
      <w:r>
        <w:rPr>
          <w:b/>
          <w:bCs/>
        </w:rPr>
        <w:instrText xml:space="preserve"> ADDIN ZOTERO_BIBL {"uncited":[],"omitted":[],"custom":[]} CSL_BIBLIOGRAPHY </w:instrText>
      </w:r>
      <w:r>
        <w:rPr>
          <w:b/>
          <w:bCs/>
        </w:rPr>
        <w:fldChar w:fldCharType="separate"/>
      </w:r>
      <w:r w:rsidR="00DF7702" w:rsidRPr="00DF7702">
        <w:t>1.</w:t>
      </w:r>
      <w:r w:rsidR="00DF7702" w:rsidRPr="00DF7702">
        <w:tab/>
        <w:t xml:space="preserve">De Anda, V. </w:t>
      </w:r>
      <w:r w:rsidR="00DF7702" w:rsidRPr="00DF7702">
        <w:rPr>
          <w:i/>
          <w:iCs/>
        </w:rPr>
        <w:t>et al.</w:t>
      </w:r>
      <w:r w:rsidR="00DF7702" w:rsidRPr="00DF7702">
        <w:t xml:space="preserve"> MEBS, a software platform to evaluate large (meta)genomic collections according to their metabolic machinery: unraveling the sulfur cycle. </w:t>
      </w:r>
      <w:r w:rsidR="00DF7702" w:rsidRPr="00DF7702">
        <w:rPr>
          <w:i/>
          <w:iCs/>
        </w:rPr>
        <w:t>GigaScience</w:t>
      </w:r>
      <w:r w:rsidR="00DF7702" w:rsidRPr="00DF7702">
        <w:t xml:space="preserve"> </w:t>
      </w:r>
      <w:r w:rsidR="00DF7702" w:rsidRPr="00DF7702">
        <w:rPr>
          <w:b/>
          <w:bCs/>
        </w:rPr>
        <w:t>6</w:t>
      </w:r>
      <w:r w:rsidR="00DF7702" w:rsidRPr="00DF7702">
        <w:t>, gix096 (2017).</w:t>
      </w:r>
    </w:p>
    <w:p w14:paraId="34D7B8CE" w14:textId="77777777" w:rsidR="00DF7702" w:rsidRPr="00DF7702" w:rsidRDefault="00DF7702" w:rsidP="00264326">
      <w:pPr>
        <w:pStyle w:val="Bibliography"/>
        <w:spacing w:line="240" w:lineRule="auto"/>
      </w:pPr>
      <w:r w:rsidRPr="00DF7702">
        <w:t>2.</w:t>
      </w:r>
      <w:r w:rsidRPr="00DF7702">
        <w:tab/>
        <w:t xml:space="preserve">Lombard, J. &amp; Moreira, D. Origins and Early Evolution of the Mevalonate Pathway of Isoprenoid Biosynthesis in the Three Domains of Life. </w:t>
      </w:r>
      <w:r w:rsidRPr="00DF7702">
        <w:rPr>
          <w:i/>
          <w:iCs/>
        </w:rPr>
        <w:t>Molecular Biology and Evolution</w:t>
      </w:r>
      <w:r w:rsidRPr="00DF7702">
        <w:t xml:space="preserve"> </w:t>
      </w:r>
      <w:r w:rsidRPr="00DF7702">
        <w:rPr>
          <w:b/>
          <w:bCs/>
        </w:rPr>
        <w:t>28</w:t>
      </w:r>
      <w:r w:rsidRPr="00DF7702">
        <w:t>, 87–99 (2011).</w:t>
      </w:r>
    </w:p>
    <w:p w14:paraId="52D991CC" w14:textId="77777777" w:rsidR="00DF7702" w:rsidRPr="00DF7702" w:rsidRDefault="00DF7702" w:rsidP="00264326">
      <w:pPr>
        <w:pStyle w:val="Bibliography"/>
        <w:spacing w:line="240" w:lineRule="auto"/>
      </w:pPr>
      <w:r w:rsidRPr="00DF7702">
        <w:t>3.</w:t>
      </w:r>
      <w:r w:rsidRPr="00DF7702">
        <w:tab/>
        <w:t xml:space="preserve">Hoshino, Y. &amp; Gaucher, E. A. On the Origin of Isoprenoid Biosynthesis. </w:t>
      </w:r>
      <w:r w:rsidRPr="00DF7702">
        <w:rPr>
          <w:i/>
          <w:iCs/>
        </w:rPr>
        <w:t>Molecular Biology and Evolution</w:t>
      </w:r>
      <w:r w:rsidRPr="00DF7702">
        <w:t xml:space="preserve"> </w:t>
      </w:r>
      <w:r w:rsidRPr="00DF7702">
        <w:rPr>
          <w:b/>
          <w:bCs/>
        </w:rPr>
        <w:t>35</w:t>
      </w:r>
      <w:r w:rsidRPr="00DF7702">
        <w:t>, 2185–2197 (2018).</w:t>
      </w:r>
    </w:p>
    <w:p w14:paraId="7FBB2C93" w14:textId="77777777" w:rsidR="00DF7702" w:rsidRPr="00DF7702" w:rsidRDefault="00DF7702" w:rsidP="00264326">
      <w:pPr>
        <w:pStyle w:val="Bibliography"/>
        <w:spacing w:line="240" w:lineRule="auto"/>
      </w:pPr>
      <w:r w:rsidRPr="00DF7702">
        <w:t>4.</w:t>
      </w:r>
      <w:r w:rsidRPr="00DF7702">
        <w:tab/>
        <w:t xml:space="preserve">Vinokur, J. M., Korman, T. P., Cao, Z. &amp; Bowie, J. U. Evidence of a Novel Mevalonate Pathway in Archaea. </w:t>
      </w:r>
      <w:r w:rsidRPr="00DF7702">
        <w:rPr>
          <w:i/>
          <w:iCs/>
        </w:rPr>
        <w:t>Biochemistry</w:t>
      </w:r>
      <w:r w:rsidRPr="00DF7702">
        <w:t xml:space="preserve"> </w:t>
      </w:r>
      <w:r w:rsidRPr="00DF7702">
        <w:rPr>
          <w:b/>
          <w:bCs/>
        </w:rPr>
        <w:t>53</w:t>
      </w:r>
      <w:r w:rsidRPr="00DF7702">
        <w:t>, 4161–4168 (2014).</w:t>
      </w:r>
    </w:p>
    <w:p w14:paraId="4AAA1211" w14:textId="77777777" w:rsidR="00DF7702" w:rsidRPr="00DF7702" w:rsidRDefault="00DF7702" w:rsidP="00264326">
      <w:pPr>
        <w:pStyle w:val="Bibliography"/>
        <w:spacing w:line="240" w:lineRule="auto"/>
      </w:pPr>
      <w:r w:rsidRPr="00DF7702">
        <w:t>5.</w:t>
      </w:r>
      <w:r w:rsidRPr="00DF7702">
        <w:tab/>
        <w:t xml:space="preserve">Hoshino, Y. &amp; Gaucher, E. A. Evolution of bacterial steroid biosynthesis and its impact on eukaryogenesis. </w:t>
      </w:r>
      <w:r w:rsidRPr="00DF7702">
        <w:rPr>
          <w:i/>
          <w:iCs/>
        </w:rPr>
        <w:t>Proceedings of the National Academy of Sciences</w:t>
      </w:r>
      <w:r w:rsidRPr="00DF7702">
        <w:t xml:space="preserve"> </w:t>
      </w:r>
      <w:r w:rsidRPr="00DF7702">
        <w:rPr>
          <w:b/>
          <w:bCs/>
        </w:rPr>
        <w:t>118</w:t>
      </w:r>
      <w:r w:rsidRPr="00DF7702">
        <w:t>, e2101276118 (2021).</w:t>
      </w:r>
    </w:p>
    <w:p w14:paraId="7983EA04" w14:textId="77777777" w:rsidR="00DF7702" w:rsidRPr="00DF7702" w:rsidRDefault="00DF7702" w:rsidP="00264326">
      <w:pPr>
        <w:pStyle w:val="Bibliography"/>
        <w:spacing w:line="240" w:lineRule="auto"/>
      </w:pPr>
      <w:r w:rsidRPr="00DF7702">
        <w:t>6.</w:t>
      </w:r>
      <w:r w:rsidRPr="00DF7702">
        <w:tab/>
        <w:t xml:space="preserve">Li, L. </w:t>
      </w:r>
      <w:r w:rsidRPr="00DF7702">
        <w:rPr>
          <w:i/>
          <w:iCs/>
        </w:rPr>
        <w:t>et al.</w:t>
      </w:r>
      <w:r w:rsidRPr="00DF7702">
        <w:t xml:space="preserve"> Comparative Genomics Provides Insights into the Genetic Diversity and Evolution of the DPANN Superphylum. </w:t>
      </w:r>
      <w:r w:rsidRPr="00DF7702">
        <w:rPr>
          <w:i/>
          <w:iCs/>
        </w:rPr>
        <w:t>mSystems</w:t>
      </w:r>
      <w:r w:rsidRPr="00DF7702">
        <w:t xml:space="preserve"> </w:t>
      </w:r>
      <w:r w:rsidRPr="00DF7702">
        <w:rPr>
          <w:b/>
          <w:bCs/>
        </w:rPr>
        <w:t>6</w:t>
      </w:r>
      <w:r w:rsidRPr="00DF7702">
        <w:t>, 10.1128/msystems.00602-21 (2021).</w:t>
      </w:r>
    </w:p>
    <w:p w14:paraId="54B5A578" w14:textId="77777777" w:rsidR="00DF7702" w:rsidRPr="00DF7702" w:rsidRDefault="00DF7702" w:rsidP="00264326">
      <w:pPr>
        <w:pStyle w:val="Bibliography"/>
        <w:spacing w:line="240" w:lineRule="auto"/>
      </w:pPr>
      <w:r w:rsidRPr="00DF7702">
        <w:t>7.</w:t>
      </w:r>
      <w:r w:rsidRPr="00DF7702">
        <w:tab/>
        <w:t xml:space="preserve">Köstlbacher, S. </w:t>
      </w:r>
      <w:r w:rsidRPr="00DF7702">
        <w:rPr>
          <w:i/>
          <w:iCs/>
        </w:rPr>
        <w:t>et al.</w:t>
      </w:r>
      <w:r w:rsidRPr="00DF7702">
        <w:t xml:space="preserve"> Structure-based inference of eukaryotic complexity in Asgard archaea. 2024.07.03.601958 Preprint at https://doi.org/10.1101/2024.07.03.601958 (2024).</w:t>
      </w:r>
    </w:p>
    <w:p w14:paraId="5799DCE9" w14:textId="77777777" w:rsidR="00DF7702" w:rsidRPr="00DF7702" w:rsidRDefault="00DF7702" w:rsidP="00264326">
      <w:pPr>
        <w:pStyle w:val="Bibliography"/>
        <w:spacing w:line="240" w:lineRule="auto"/>
      </w:pPr>
      <w:r w:rsidRPr="00DF7702">
        <w:t>8.</w:t>
      </w:r>
      <w:r w:rsidRPr="00DF7702">
        <w:tab/>
        <w:t xml:space="preserve">Appler, K. E. </w:t>
      </w:r>
      <w:r w:rsidRPr="00DF7702">
        <w:rPr>
          <w:i/>
          <w:iCs/>
        </w:rPr>
        <w:t>et al.</w:t>
      </w:r>
      <w:r w:rsidRPr="00DF7702">
        <w:t xml:space="preserve"> Oxygen metabolism in descendants of the archaeal-eukaryotic ancestor. 2024.07.04.601786 Preprint at https://doi.org/10.1101/2024.07.04.601786 (2024).</w:t>
      </w:r>
    </w:p>
    <w:p w14:paraId="44BCBB33" w14:textId="77777777" w:rsidR="00DF7702" w:rsidRPr="00DF7702" w:rsidRDefault="00DF7702" w:rsidP="00264326">
      <w:pPr>
        <w:pStyle w:val="Bibliography"/>
        <w:spacing w:line="240" w:lineRule="auto"/>
      </w:pPr>
      <w:r w:rsidRPr="00DF7702">
        <w:lastRenderedPageBreak/>
        <w:t>9.</w:t>
      </w:r>
      <w:r w:rsidRPr="00DF7702">
        <w:tab/>
        <w:t xml:space="preserve">Richter, D. J. </w:t>
      </w:r>
      <w:r w:rsidRPr="00DF7702">
        <w:rPr>
          <w:i/>
          <w:iCs/>
        </w:rPr>
        <w:t>et al.</w:t>
      </w:r>
      <w:r w:rsidRPr="00DF7702">
        <w:t xml:space="preserve"> EukProt: A database of genome-scale predicted proteins across the diversity of eukaryotes. </w:t>
      </w:r>
      <w:r w:rsidRPr="00DF7702">
        <w:rPr>
          <w:i/>
          <w:iCs/>
        </w:rPr>
        <w:t>Peer Community Journal</w:t>
      </w:r>
      <w:r w:rsidRPr="00DF7702">
        <w:t xml:space="preserve"> </w:t>
      </w:r>
      <w:r w:rsidRPr="00DF7702">
        <w:rPr>
          <w:b/>
          <w:bCs/>
        </w:rPr>
        <w:t>2</w:t>
      </w:r>
      <w:r w:rsidRPr="00DF7702">
        <w:t>, (2022).</w:t>
      </w:r>
    </w:p>
    <w:p w14:paraId="1766643A" w14:textId="40EA3DC3" w:rsidR="00DF7702" w:rsidRPr="00DF7702" w:rsidRDefault="00DF7702" w:rsidP="00264326">
      <w:pPr>
        <w:pStyle w:val="Bibliography"/>
        <w:spacing w:line="240" w:lineRule="auto"/>
      </w:pPr>
      <w:r w:rsidRPr="00DF7702">
        <w:t>10.</w:t>
      </w:r>
      <w:r w:rsidR="00264326">
        <w:t xml:space="preserve"> </w:t>
      </w:r>
      <w:r w:rsidRPr="00DF7702">
        <w:t xml:space="preserve">Rozewicki, J., Li, S., Amada, K. M., Standley, D. M. &amp; Katoh, K. MAFFT-DASH: integrated protein sequence and structural alignment. </w:t>
      </w:r>
      <w:r w:rsidRPr="00DF7702">
        <w:rPr>
          <w:i/>
          <w:iCs/>
        </w:rPr>
        <w:t>Nucleic Acids Research</w:t>
      </w:r>
      <w:r w:rsidRPr="00DF7702">
        <w:t xml:space="preserve"> </w:t>
      </w:r>
      <w:r w:rsidRPr="00DF7702">
        <w:rPr>
          <w:b/>
          <w:bCs/>
        </w:rPr>
        <w:t>47</w:t>
      </w:r>
      <w:r w:rsidRPr="00DF7702">
        <w:t>, W5–W10 (2019).</w:t>
      </w:r>
    </w:p>
    <w:p w14:paraId="4E1FD099" w14:textId="7AEF6930" w:rsidR="00DF7702" w:rsidRPr="00DF7702" w:rsidRDefault="00DF7702" w:rsidP="00264326">
      <w:pPr>
        <w:pStyle w:val="Bibliography"/>
        <w:spacing w:line="240" w:lineRule="auto"/>
      </w:pPr>
      <w:r w:rsidRPr="00DF7702">
        <w:t>11.</w:t>
      </w:r>
      <w:r w:rsidR="00264326">
        <w:t xml:space="preserve"> </w:t>
      </w:r>
      <w:r w:rsidRPr="00DF7702">
        <w:t xml:space="preserve">Lamppa, J. W., Tanyos, S. A. &amp; Griswold, K. E. Engineering Escherichia coli for soluble expression and single step purification of active human lysozyme. </w:t>
      </w:r>
      <w:r w:rsidRPr="00DF7702">
        <w:rPr>
          <w:i/>
          <w:iCs/>
        </w:rPr>
        <w:t>Journal of Biotechnology</w:t>
      </w:r>
      <w:r w:rsidRPr="00DF7702">
        <w:t xml:space="preserve"> </w:t>
      </w:r>
      <w:r w:rsidRPr="00DF7702">
        <w:rPr>
          <w:b/>
          <w:bCs/>
        </w:rPr>
        <w:t>164</w:t>
      </w:r>
      <w:r w:rsidRPr="00DF7702">
        <w:t>, 1–8 (2013).</w:t>
      </w:r>
    </w:p>
    <w:p w14:paraId="361961C6" w14:textId="730DC76B" w:rsidR="00666C3D" w:rsidRPr="00666C3D" w:rsidRDefault="00666C3D" w:rsidP="00264326">
      <w:pPr>
        <w:rPr>
          <w:b/>
          <w:bCs/>
        </w:rPr>
      </w:pPr>
      <w:r>
        <w:rPr>
          <w:b/>
          <w:bCs/>
        </w:rPr>
        <w:fldChar w:fldCharType="end"/>
      </w:r>
    </w:p>
    <w:sectPr w:rsidR="00666C3D" w:rsidRPr="00666C3D" w:rsidSect="00804C1B">
      <w:footerReference w:type="default" r:id="rId28"/>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209F4" w14:textId="77777777" w:rsidR="00960215" w:rsidRDefault="00960215">
      <w:r>
        <w:separator/>
      </w:r>
    </w:p>
  </w:endnote>
  <w:endnote w:type="continuationSeparator" w:id="0">
    <w:p w14:paraId="6793F994" w14:textId="77777777" w:rsidR="00960215" w:rsidRDefault="0096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684826"/>
      <w:docPartObj>
        <w:docPartGallery w:val="Page Numbers (Bottom of Page)"/>
        <w:docPartUnique/>
      </w:docPartObj>
    </w:sdtPr>
    <w:sdtEndPr>
      <w:rPr>
        <w:noProof/>
      </w:rPr>
    </w:sdtEndPr>
    <w:sdtContent>
      <w:p w14:paraId="629EF7FD" w14:textId="73B01DF8" w:rsidR="00720B00" w:rsidRDefault="00720B00">
        <w:pPr>
          <w:pStyle w:val="Footer"/>
          <w:jc w:val="right"/>
        </w:pPr>
        <w:r>
          <w:fldChar w:fldCharType="begin"/>
        </w:r>
        <w:r>
          <w:instrText xml:space="preserve"> PAGE   \* MERGEFORMAT </w:instrText>
        </w:r>
        <w:r>
          <w:fldChar w:fldCharType="separate"/>
        </w:r>
        <w:r w:rsidR="00727734">
          <w:rPr>
            <w:noProof/>
          </w:rPr>
          <w:t>22</w:t>
        </w:r>
        <w:r>
          <w:rPr>
            <w:noProof/>
          </w:rPr>
          <w:fldChar w:fldCharType="end"/>
        </w:r>
      </w:p>
    </w:sdtContent>
  </w:sdt>
  <w:p w14:paraId="079C868C" w14:textId="77777777" w:rsidR="00720B00" w:rsidRDefault="00720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0B895" w14:textId="77777777" w:rsidR="00960215" w:rsidRDefault="00960215">
      <w:r>
        <w:separator/>
      </w:r>
    </w:p>
  </w:footnote>
  <w:footnote w:type="continuationSeparator" w:id="0">
    <w:p w14:paraId="7D4838A9" w14:textId="77777777" w:rsidR="00960215" w:rsidRDefault="00960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80CE4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908BCA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E06D0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C080C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382B4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FA70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9479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EA1C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9D096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6065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3F162D9"/>
    <w:multiLevelType w:val="hybridMultilevel"/>
    <w:tmpl w:val="1AC69880"/>
    <w:lvl w:ilvl="0" w:tplc="118A2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867482">
    <w:abstractNumId w:val="10"/>
  </w:num>
  <w:num w:numId="2" w16cid:durableId="1685014767">
    <w:abstractNumId w:val="9"/>
  </w:num>
  <w:num w:numId="3" w16cid:durableId="134492523">
    <w:abstractNumId w:val="7"/>
  </w:num>
  <w:num w:numId="4" w16cid:durableId="1221789871">
    <w:abstractNumId w:val="6"/>
  </w:num>
  <w:num w:numId="5" w16cid:durableId="1832717505">
    <w:abstractNumId w:val="5"/>
  </w:num>
  <w:num w:numId="6" w16cid:durableId="1148673551">
    <w:abstractNumId w:val="4"/>
  </w:num>
  <w:num w:numId="7" w16cid:durableId="701975843">
    <w:abstractNumId w:val="8"/>
  </w:num>
  <w:num w:numId="8" w16cid:durableId="1489059283">
    <w:abstractNumId w:val="3"/>
  </w:num>
  <w:num w:numId="9" w16cid:durableId="645815464">
    <w:abstractNumId w:val="2"/>
  </w:num>
  <w:num w:numId="10" w16cid:durableId="238368560">
    <w:abstractNumId w:val="1"/>
  </w:num>
  <w:num w:numId="11" w16cid:durableId="1845971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C3D"/>
    <w:rsid w:val="000407DF"/>
    <w:rsid w:val="00087106"/>
    <w:rsid w:val="000B60E1"/>
    <w:rsid w:val="000E35DF"/>
    <w:rsid w:val="001028B7"/>
    <w:rsid w:val="001176FA"/>
    <w:rsid w:val="0012600C"/>
    <w:rsid w:val="00184833"/>
    <w:rsid w:val="001B4B8C"/>
    <w:rsid w:val="001C2254"/>
    <w:rsid w:val="001C4603"/>
    <w:rsid w:val="001E535D"/>
    <w:rsid w:val="002156AC"/>
    <w:rsid w:val="00220877"/>
    <w:rsid w:val="0022766C"/>
    <w:rsid w:val="0023518A"/>
    <w:rsid w:val="00245818"/>
    <w:rsid w:val="00264326"/>
    <w:rsid w:val="002A1C95"/>
    <w:rsid w:val="002C36A7"/>
    <w:rsid w:val="00302DBD"/>
    <w:rsid w:val="003245AD"/>
    <w:rsid w:val="00342884"/>
    <w:rsid w:val="00346F06"/>
    <w:rsid w:val="003D1370"/>
    <w:rsid w:val="00403BDE"/>
    <w:rsid w:val="004605A1"/>
    <w:rsid w:val="004A031E"/>
    <w:rsid w:val="004D2296"/>
    <w:rsid w:val="004F3DFA"/>
    <w:rsid w:val="00522CC2"/>
    <w:rsid w:val="00553407"/>
    <w:rsid w:val="00557107"/>
    <w:rsid w:val="005706C3"/>
    <w:rsid w:val="005776B8"/>
    <w:rsid w:val="0058086C"/>
    <w:rsid w:val="00597226"/>
    <w:rsid w:val="005B7A48"/>
    <w:rsid w:val="005E084E"/>
    <w:rsid w:val="00603ECF"/>
    <w:rsid w:val="00626B5C"/>
    <w:rsid w:val="00626C55"/>
    <w:rsid w:val="00631735"/>
    <w:rsid w:val="00646FE1"/>
    <w:rsid w:val="00666C3D"/>
    <w:rsid w:val="006C719B"/>
    <w:rsid w:val="006D67C8"/>
    <w:rsid w:val="006E3E31"/>
    <w:rsid w:val="00720B00"/>
    <w:rsid w:val="00727734"/>
    <w:rsid w:val="00731D50"/>
    <w:rsid w:val="0074431F"/>
    <w:rsid w:val="007656B4"/>
    <w:rsid w:val="00781ED5"/>
    <w:rsid w:val="00791A6C"/>
    <w:rsid w:val="007B03C5"/>
    <w:rsid w:val="007C226D"/>
    <w:rsid w:val="007F57B5"/>
    <w:rsid w:val="00804C1B"/>
    <w:rsid w:val="008055CE"/>
    <w:rsid w:val="00830EBD"/>
    <w:rsid w:val="00884639"/>
    <w:rsid w:val="009210BB"/>
    <w:rsid w:val="00931381"/>
    <w:rsid w:val="00960215"/>
    <w:rsid w:val="0096170A"/>
    <w:rsid w:val="009719DC"/>
    <w:rsid w:val="00993AF1"/>
    <w:rsid w:val="009B749D"/>
    <w:rsid w:val="009E16AB"/>
    <w:rsid w:val="009E3BA8"/>
    <w:rsid w:val="00A0320C"/>
    <w:rsid w:val="00A0505C"/>
    <w:rsid w:val="00A11F3C"/>
    <w:rsid w:val="00A1333C"/>
    <w:rsid w:val="00A218B4"/>
    <w:rsid w:val="00A35C6E"/>
    <w:rsid w:val="00A61C5A"/>
    <w:rsid w:val="00B16D86"/>
    <w:rsid w:val="00B17711"/>
    <w:rsid w:val="00B25C9A"/>
    <w:rsid w:val="00BC26F2"/>
    <w:rsid w:val="00BC47EE"/>
    <w:rsid w:val="00BE7B5C"/>
    <w:rsid w:val="00C0303B"/>
    <w:rsid w:val="00C15946"/>
    <w:rsid w:val="00C3322B"/>
    <w:rsid w:val="00C411AD"/>
    <w:rsid w:val="00C62397"/>
    <w:rsid w:val="00CD2EDE"/>
    <w:rsid w:val="00D0646C"/>
    <w:rsid w:val="00D26D3C"/>
    <w:rsid w:val="00D3141A"/>
    <w:rsid w:val="00D34597"/>
    <w:rsid w:val="00D77A82"/>
    <w:rsid w:val="00DA36C2"/>
    <w:rsid w:val="00DA5B58"/>
    <w:rsid w:val="00DC2C4C"/>
    <w:rsid w:val="00DD2604"/>
    <w:rsid w:val="00DD31C2"/>
    <w:rsid w:val="00DF7702"/>
    <w:rsid w:val="00E237A6"/>
    <w:rsid w:val="00E37862"/>
    <w:rsid w:val="00E438C3"/>
    <w:rsid w:val="00E56F85"/>
    <w:rsid w:val="00EA48E3"/>
    <w:rsid w:val="00EB52C7"/>
    <w:rsid w:val="00EC14E6"/>
    <w:rsid w:val="00EF2654"/>
    <w:rsid w:val="00F05851"/>
    <w:rsid w:val="00F22A4C"/>
    <w:rsid w:val="00F43DB6"/>
    <w:rsid w:val="00FA2380"/>
    <w:rsid w:val="00FB29F3"/>
    <w:rsid w:val="00FB5145"/>
    <w:rsid w:val="00FC345E"/>
    <w:rsid w:val="00FD2C61"/>
    <w:rsid w:val="00FD6229"/>
    <w:rsid w:val="00FD6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02957"/>
  <w15:chartTrackingRefBased/>
  <w15:docId w15:val="{677D7BE0-7C92-441A-B88D-3825D52A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C3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6C3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66C3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66C3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66C3D"/>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66C3D"/>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66C3D"/>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66C3D"/>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66C3D"/>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66C3D"/>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C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6C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6C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6C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6C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6C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C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C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C3D"/>
    <w:rPr>
      <w:rFonts w:eastAsiaTheme="majorEastAsia" w:cstheme="majorBidi"/>
      <w:color w:val="272727" w:themeColor="text1" w:themeTint="D8"/>
    </w:rPr>
  </w:style>
  <w:style w:type="paragraph" w:styleId="Title">
    <w:name w:val="Title"/>
    <w:basedOn w:val="Normal"/>
    <w:next w:val="Normal"/>
    <w:link w:val="TitleChar"/>
    <w:uiPriority w:val="10"/>
    <w:qFormat/>
    <w:rsid w:val="00666C3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66C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C3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66C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C3D"/>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66C3D"/>
    <w:rPr>
      <w:i/>
      <w:iCs/>
      <w:color w:val="404040" w:themeColor="text1" w:themeTint="BF"/>
    </w:rPr>
  </w:style>
  <w:style w:type="paragraph" w:styleId="ListParagraph">
    <w:name w:val="List Paragraph"/>
    <w:basedOn w:val="Normal"/>
    <w:uiPriority w:val="34"/>
    <w:qFormat/>
    <w:rsid w:val="00666C3D"/>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66C3D"/>
    <w:rPr>
      <w:i/>
      <w:iCs/>
      <w:color w:val="0F4761" w:themeColor="accent1" w:themeShade="BF"/>
    </w:rPr>
  </w:style>
  <w:style w:type="paragraph" w:styleId="IntenseQuote">
    <w:name w:val="Intense Quote"/>
    <w:basedOn w:val="Normal"/>
    <w:next w:val="Normal"/>
    <w:link w:val="IntenseQuoteChar"/>
    <w:uiPriority w:val="30"/>
    <w:qFormat/>
    <w:rsid w:val="00666C3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66C3D"/>
    <w:rPr>
      <w:i/>
      <w:iCs/>
      <w:color w:val="0F4761" w:themeColor="accent1" w:themeShade="BF"/>
    </w:rPr>
  </w:style>
  <w:style w:type="character" w:styleId="IntenseReference">
    <w:name w:val="Intense Reference"/>
    <w:basedOn w:val="DefaultParagraphFont"/>
    <w:uiPriority w:val="32"/>
    <w:qFormat/>
    <w:rsid w:val="00666C3D"/>
    <w:rPr>
      <w:b/>
      <w:bCs/>
      <w:smallCaps/>
      <w:color w:val="0F4761" w:themeColor="accent1" w:themeShade="BF"/>
      <w:spacing w:val="5"/>
    </w:rPr>
  </w:style>
  <w:style w:type="character" w:styleId="Hyperlink">
    <w:name w:val="Hyperlink"/>
    <w:basedOn w:val="DefaultParagraphFont"/>
    <w:uiPriority w:val="99"/>
    <w:unhideWhenUsed/>
    <w:rsid w:val="00666C3D"/>
    <w:rPr>
      <w:color w:val="467886" w:themeColor="hyperlink"/>
      <w:u w:val="single"/>
    </w:rPr>
  </w:style>
  <w:style w:type="table" w:styleId="TableGrid">
    <w:name w:val="Table Grid"/>
    <w:basedOn w:val="TableNormal"/>
    <w:uiPriority w:val="39"/>
    <w:rsid w:val="00666C3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6C3D"/>
    <w:pPr>
      <w:spacing w:before="100" w:beforeAutospacing="1" w:after="100" w:afterAutospacing="1"/>
    </w:pPr>
  </w:style>
  <w:style w:type="character" w:styleId="CommentReference">
    <w:name w:val="annotation reference"/>
    <w:basedOn w:val="DefaultParagraphFont"/>
    <w:uiPriority w:val="99"/>
    <w:semiHidden/>
    <w:unhideWhenUsed/>
    <w:rsid w:val="00666C3D"/>
    <w:rPr>
      <w:sz w:val="16"/>
      <w:szCs w:val="16"/>
    </w:rPr>
  </w:style>
  <w:style w:type="paragraph" w:styleId="CommentText">
    <w:name w:val="annotation text"/>
    <w:basedOn w:val="Normal"/>
    <w:link w:val="CommentTextChar"/>
    <w:uiPriority w:val="99"/>
    <w:unhideWhenUsed/>
    <w:rsid w:val="00666C3D"/>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666C3D"/>
    <w:rPr>
      <w:sz w:val="20"/>
      <w:szCs w:val="20"/>
    </w:rPr>
  </w:style>
  <w:style w:type="paragraph" w:styleId="Bibliography">
    <w:name w:val="Bibliography"/>
    <w:basedOn w:val="Normal"/>
    <w:next w:val="Normal"/>
    <w:uiPriority w:val="37"/>
    <w:unhideWhenUsed/>
    <w:rsid w:val="00666C3D"/>
    <w:pPr>
      <w:tabs>
        <w:tab w:val="left" w:pos="264"/>
      </w:tabs>
      <w:spacing w:line="480" w:lineRule="auto"/>
      <w:ind w:left="264" w:hanging="264"/>
    </w:pPr>
  </w:style>
  <w:style w:type="character" w:styleId="LineNumber">
    <w:name w:val="line number"/>
    <w:basedOn w:val="DefaultParagraphFont"/>
    <w:uiPriority w:val="99"/>
    <w:semiHidden/>
    <w:unhideWhenUsed/>
    <w:rsid w:val="00666C3D"/>
  </w:style>
  <w:style w:type="paragraph" w:styleId="Header">
    <w:name w:val="header"/>
    <w:basedOn w:val="Normal"/>
    <w:link w:val="HeaderChar"/>
    <w:uiPriority w:val="99"/>
    <w:unhideWhenUsed/>
    <w:rsid w:val="00666C3D"/>
    <w:pPr>
      <w:tabs>
        <w:tab w:val="center" w:pos="4680"/>
        <w:tab w:val="right" w:pos="9360"/>
      </w:tabs>
    </w:pPr>
  </w:style>
  <w:style w:type="character" w:customStyle="1" w:styleId="HeaderChar">
    <w:name w:val="Header Char"/>
    <w:basedOn w:val="DefaultParagraphFont"/>
    <w:link w:val="Header"/>
    <w:uiPriority w:val="99"/>
    <w:rsid w:val="00666C3D"/>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66C3D"/>
    <w:pPr>
      <w:tabs>
        <w:tab w:val="center" w:pos="4680"/>
        <w:tab w:val="right" w:pos="9360"/>
      </w:tabs>
    </w:pPr>
  </w:style>
  <w:style w:type="character" w:customStyle="1" w:styleId="FooterChar">
    <w:name w:val="Footer Char"/>
    <w:basedOn w:val="DefaultParagraphFont"/>
    <w:link w:val="Footer"/>
    <w:uiPriority w:val="99"/>
    <w:rsid w:val="00666C3D"/>
    <w:rPr>
      <w:rFonts w:ascii="Times New Roman" w:eastAsia="Times New Roman" w:hAnsi="Times New Roman" w:cs="Times New Roman"/>
      <w:kern w:val="0"/>
      <w14:ligatures w14:val="none"/>
    </w:rPr>
  </w:style>
  <w:style w:type="paragraph" w:styleId="Revision">
    <w:name w:val="Revision"/>
    <w:hidden/>
    <w:uiPriority w:val="99"/>
    <w:semiHidden/>
    <w:rsid w:val="00666C3D"/>
    <w:pPr>
      <w:spacing w:after="0" w:line="240" w:lineRule="auto"/>
    </w:pPr>
    <w:rPr>
      <w:rFonts w:ascii="Times New Roman" w:eastAsia="Times New Roman"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666C3D"/>
    <w:pPr>
      <w:spacing w:after="0"/>
    </w:pPr>
    <w:rPr>
      <w:rFonts w:ascii="Times New Roman" w:eastAsia="Times New Roman" w:hAnsi="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666C3D"/>
    <w:rPr>
      <w:rFonts w:ascii="Times New Roman" w:eastAsia="Times New Roman" w:hAnsi="Times New Roman" w:cs="Times New Roman"/>
      <w:b/>
      <w:bCs/>
      <w:kern w:val="0"/>
      <w:sz w:val="20"/>
      <w:szCs w:val="20"/>
      <w14:ligatures w14:val="none"/>
    </w:rPr>
  </w:style>
  <w:style w:type="character" w:customStyle="1" w:styleId="UnresolvedMention1">
    <w:name w:val="Unresolved Mention1"/>
    <w:basedOn w:val="DefaultParagraphFont"/>
    <w:uiPriority w:val="99"/>
    <w:semiHidden/>
    <w:unhideWhenUsed/>
    <w:rsid w:val="00666C3D"/>
    <w:rPr>
      <w:color w:val="605E5C"/>
      <w:shd w:val="clear" w:color="auto" w:fill="E1DFDD"/>
    </w:rPr>
  </w:style>
  <w:style w:type="character" w:styleId="FollowedHyperlink">
    <w:name w:val="FollowedHyperlink"/>
    <w:basedOn w:val="DefaultParagraphFont"/>
    <w:uiPriority w:val="99"/>
    <w:semiHidden/>
    <w:unhideWhenUsed/>
    <w:rsid w:val="00D0646C"/>
    <w:rPr>
      <w:color w:val="96607D" w:themeColor="followedHyperlink"/>
      <w:u w:val="single"/>
    </w:rPr>
  </w:style>
  <w:style w:type="paragraph" w:styleId="BalloonText">
    <w:name w:val="Balloon Text"/>
    <w:basedOn w:val="Normal"/>
    <w:link w:val="BalloonTextChar"/>
    <w:uiPriority w:val="99"/>
    <w:semiHidden/>
    <w:unhideWhenUsed/>
    <w:rsid w:val="007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734"/>
    <w:rPr>
      <w:rFonts w:ascii="Segoe UI" w:eastAsia="Times New Roman" w:hAnsi="Segoe UI" w:cs="Segoe UI"/>
      <w:kern w:val="0"/>
      <w:sz w:val="18"/>
      <w:szCs w:val="18"/>
      <w14:ligatures w14:val="none"/>
    </w:rPr>
  </w:style>
  <w:style w:type="character" w:styleId="UnresolvedMention">
    <w:name w:val="Unresolved Mention"/>
    <w:basedOn w:val="DefaultParagraphFont"/>
    <w:uiPriority w:val="99"/>
    <w:semiHidden/>
    <w:unhideWhenUsed/>
    <w:rsid w:val="004605A1"/>
    <w:rPr>
      <w:color w:val="605E5C"/>
      <w:shd w:val="clear" w:color="auto" w:fill="E1DFDD"/>
    </w:rPr>
  </w:style>
  <w:style w:type="paragraph" w:styleId="BlockText">
    <w:name w:val="Block Text"/>
    <w:basedOn w:val="Normal"/>
    <w:uiPriority w:val="99"/>
    <w:semiHidden/>
    <w:unhideWhenUsed/>
    <w:rsid w:val="00403BDE"/>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
    <w:name w:val="Body Text"/>
    <w:basedOn w:val="Normal"/>
    <w:link w:val="BodyTextChar"/>
    <w:uiPriority w:val="99"/>
    <w:semiHidden/>
    <w:unhideWhenUsed/>
    <w:rsid w:val="00403BDE"/>
    <w:pPr>
      <w:spacing w:after="120"/>
    </w:pPr>
  </w:style>
  <w:style w:type="character" w:customStyle="1" w:styleId="BodyTextChar">
    <w:name w:val="Body Text Char"/>
    <w:basedOn w:val="DefaultParagraphFont"/>
    <w:link w:val="BodyText"/>
    <w:uiPriority w:val="99"/>
    <w:semiHidden/>
    <w:rsid w:val="00403BDE"/>
    <w:rPr>
      <w:rFonts w:ascii="Times New Roman" w:eastAsia="Times New Roman" w:hAnsi="Times New Roman" w:cs="Times New Roman"/>
      <w:kern w:val="0"/>
      <w14:ligatures w14:val="none"/>
    </w:rPr>
  </w:style>
  <w:style w:type="paragraph" w:styleId="BodyText2">
    <w:name w:val="Body Text 2"/>
    <w:basedOn w:val="Normal"/>
    <w:link w:val="BodyText2Char"/>
    <w:uiPriority w:val="99"/>
    <w:semiHidden/>
    <w:unhideWhenUsed/>
    <w:rsid w:val="00403BDE"/>
    <w:pPr>
      <w:spacing w:after="120" w:line="480" w:lineRule="auto"/>
    </w:pPr>
  </w:style>
  <w:style w:type="character" w:customStyle="1" w:styleId="BodyText2Char">
    <w:name w:val="Body Text 2 Char"/>
    <w:basedOn w:val="DefaultParagraphFont"/>
    <w:link w:val="BodyText2"/>
    <w:uiPriority w:val="99"/>
    <w:semiHidden/>
    <w:rsid w:val="00403BDE"/>
    <w:rPr>
      <w:rFonts w:ascii="Times New Roman" w:eastAsia="Times New Roman" w:hAnsi="Times New Roman" w:cs="Times New Roman"/>
      <w:kern w:val="0"/>
      <w14:ligatures w14:val="none"/>
    </w:rPr>
  </w:style>
  <w:style w:type="paragraph" w:styleId="BodyText3">
    <w:name w:val="Body Text 3"/>
    <w:basedOn w:val="Normal"/>
    <w:link w:val="BodyText3Char"/>
    <w:uiPriority w:val="99"/>
    <w:semiHidden/>
    <w:unhideWhenUsed/>
    <w:rsid w:val="00403BDE"/>
    <w:pPr>
      <w:spacing w:after="120"/>
    </w:pPr>
    <w:rPr>
      <w:sz w:val="16"/>
      <w:szCs w:val="16"/>
    </w:rPr>
  </w:style>
  <w:style w:type="character" w:customStyle="1" w:styleId="BodyText3Char">
    <w:name w:val="Body Text 3 Char"/>
    <w:basedOn w:val="DefaultParagraphFont"/>
    <w:link w:val="BodyText3"/>
    <w:uiPriority w:val="99"/>
    <w:semiHidden/>
    <w:rsid w:val="00403BDE"/>
    <w:rPr>
      <w:rFonts w:ascii="Times New Roman" w:eastAsia="Times New Roman" w:hAnsi="Times New Roman" w:cs="Times New Roman"/>
      <w:kern w:val="0"/>
      <w:sz w:val="16"/>
      <w:szCs w:val="16"/>
      <w14:ligatures w14:val="none"/>
    </w:rPr>
  </w:style>
  <w:style w:type="paragraph" w:styleId="BodyTextFirstIndent">
    <w:name w:val="Body Text First Indent"/>
    <w:basedOn w:val="BodyText"/>
    <w:link w:val="BodyTextFirstIndentChar"/>
    <w:uiPriority w:val="99"/>
    <w:semiHidden/>
    <w:unhideWhenUsed/>
    <w:rsid w:val="00403BDE"/>
    <w:pPr>
      <w:spacing w:after="0"/>
      <w:ind w:firstLine="360"/>
    </w:pPr>
  </w:style>
  <w:style w:type="character" w:customStyle="1" w:styleId="BodyTextFirstIndentChar">
    <w:name w:val="Body Text First Indent Char"/>
    <w:basedOn w:val="BodyTextChar"/>
    <w:link w:val="BodyTextFirstIndent"/>
    <w:uiPriority w:val="99"/>
    <w:semiHidden/>
    <w:rsid w:val="00403BDE"/>
    <w:rPr>
      <w:rFonts w:ascii="Times New Roman" w:eastAsia="Times New Roman" w:hAnsi="Times New Roman" w:cs="Times New Roman"/>
      <w:kern w:val="0"/>
      <w14:ligatures w14:val="none"/>
    </w:rPr>
  </w:style>
  <w:style w:type="paragraph" w:styleId="BodyTextIndent">
    <w:name w:val="Body Text Indent"/>
    <w:basedOn w:val="Normal"/>
    <w:link w:val="BodyTextIndentChar"/>
    <w:uiPriority w:val="99"/>
    <w:semiHidden/>
    <w:unhideWhenUsed/>
    <w:rsid w:val="00403BDE"/>
    <w:pPr>
      <w:spacing w:after="120"/>
      <w:ind w:left="360"/>
    </w:pPr>
  </w:style>
  <w:style w:type="character" w:customStyle="1" w:styleId="BodyTextIndentChar">
    <w:name w:val="Body Text Indent Char"/>
    <w:basedOn w:val="DefaultParagraphFont"/>
    <w:link w:val="BodyTextIndent"/>
    <w:uiPriority w:val="99"/>
    <w:semiHidden/>
    <w:rsid w:val="00403BDE"/>
    <w:rPr>
      <w:rFonts w:ascii="Times New Roman" w:eastAsia="Times New Roman" w:hAnsi="Times New Roman" w:cs="Times New Roman"/>
      <w:kern w:val="0"/>
      <w14:ligatures w14:val="none"/>
    </w:rPr>
  </w:style>
  <w:style w:type="paragraph" w:styleId="BodyTextFirstIndent2">
    <w:name w:val="Body Text First Indent 2"/>
    <w:basedOn w:val="BodyTextIndent"/>
    <w:link w:val="BodyTextFirstIndent2Char"/>
    <w:uiPriority w:val="99"/>
    <w:semiHidden/>
    <w:unhideWhenUsed/>
    <w:rsid w:val="00403BDE"/>
    <w:pPr>
      <w:spacing w:after="0"/>
      <w:ind w:firstLine="360"/>
    </w:pPr>
  </w:style>
  <w:style w:type="character" w:customStyle="1" w:styleId="BodyTextFirstIndent2Char">
    <w:name w:val="Body Text First Indent 2 Char"/>
    <w:basedOn w:val="BodyTextIndentChar"/>
    <w:link w:val="BodyTextFirstIndent2"/>
    <w:uiPriority w:val="99"/>
    <w:semiHidden/>
    <w:rsid w:val="00403BDE"/>
    <w:rPr>
      <w:rFonts w:ascii="Times New Roman" w:eastAsia="Times New Roman" w:hAnsi="Times New Roman" w:cs="Times New Roman"/>
      <w:kern w:val="0"/>
      <w14:ligatures w14:val="none"/>
    </w:rPr>
  </w:style>
  <w:style w:type="paragraph" w:styleId="BodyTextIndent2">
    <w:name w:val="Body Text Indent 2"/>
    <w:basedOn w:val="Normal"/>
    <w:link w:val="BodyTextIndent2Char"/>
    <w:uiPriority w:val="99"/>
    <w:semiHidden/>
    <w:unhideWhenUsed/>
    <w:rsid w:val="00403BDE"/>
    <w:pPr>
      <w:spacing w:after="120" w:line="480" w:lineRule="auto"/>
      <w:ind w:left="360"/>
    </w:pPr>
  </w:style>
  <w:style w:type="character" w:customStyle="1" w:styleId="BodyTextIndent2Char">
    <w:name w:val="Body Text Indent 2 Char"/>
    <w:basedOn w:val="DefaultParagraphFont"/>
    <w:link w:val="BodyTextIndent2"/>
    <w:uiPriority w:val="99"/>
    <w:semiHidden/>
    <w:rsid w:val="00403BDE"/>
    <w:rPr>
      <w:rFonts w:ascii="Times New Roman" w:eastAsia="Times New Roman" w:hAnsi="Times New Roman" w:cs="Times New Roman"/>
      <w:kern w:val="0"/>
      <w14:ligatures w14:val="none"/>
    </w:rPr>
  </w:style>
  <w:style w:type="paragraph" w:styleId="BodyTextIndent3">
    <w:name w:val="Body Text Indent 3"/>
    <w:basedOn w:val="Normal"/>
    <w:link w:val="BodyTextIndent3Char"/>
    <w:uiPriority w:val="99"/>
    <w:semiHidden/>
    <w:unhideWhenUsed/>
    <w:rsid w:val="00403B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03BDE"/>
    <w:rPr>
      <w:rFonts w:ascii="Times New Roman" w:eastAsia="Times New Roman" w:hAnsi="Times New Roman" w:cs="Times New Roman"/>
      <w:kern w:val="0"/>
      <w:sz w:val="16"/>
      <w:szCs w:val="16"/>
      <w14:ligatures w14:val="none"/>
    </w:rPr>
  </w:style>
  <w:style w:type="paragraph" w:styleId="Caption">
    <w:name w:val="caption"/>
    <w:basedOn w:val="Normal"/>
    <w:next w:val="Normal"/>
    <w:uiPriority w:val="35"/>
    <w:semiHidden/>
    <w:unhideWhenUsed/>
    <w:qFormat/>
    <w:rsid w:val="00403BDE"/>
    <w:pPr>
      <w:spacing w:after="200"/>
    </w:pPr>
    <w:rPr>
      <w:i/>
      <w:iCs/>
      <w:color w:val="0E2841" w:themeColor="text2"/>
      <w:sz w:val="18"/>
      <w:szCs w:val="18"/>
    </w:rPr>
  </w:style>
  <w:style w:type="paragraph" w:styleId="Closing">
    <w:name w:val="Closing"/>
    <w:basedOn w:val="Normal"/>
    <w:link w:val="ClosingChar"/>
    <w:uiPriority w:val="99"/>
    <w:semiHidden/>
    <w:unhideWhenUsed/>
    <w:rsid w:val="00403BDE"/>
    <w:pPr>
      <w:ind w:left="4320"/>
    </w:pPr>
  </w:style>
  <w:style w:type="character" w:customStyle="1" w:styleId="ClosingChar">
    <w:name w:val="Closing Char"/>
    <w:basedOn w:val="DefaultParagraphFont"/>
    <w:link w:val="Closing"/>
    <w:uiPriority w:val="99"/>
    <w:semiHidden/>
    <w:rsid w:val="00403BDE"/>
    <w:rPr>
      <w:rFonts w:ascii="Times New Roman" w:eastAsia="Times New Roman" w:hAnsi="Times New Roman" w:cs="Times New Roman"/>
      <w:kern w:val="0"/>
      <w14:ligatures w14:val="none"/>
    </w:rPr>
  </w:style>
  <w:style w:type="paragraph" w:styleId="Date">
    <w:name w:val="Date"/>
    <w:basedOn w:val="Normal"/>
    <w:next w:val="Normal"/>
    <w:link w:val="DateChar"/>
    <w:uiPriority w:val="99"/>
    <w:semiHidden/>
    <w:unhideWhenUsed/>
    <w:rsid w:val="00403BDE"/>
  </w:style>
  <w:style w:type="character" w:customStyle="1" w:styleId="DateChar">
    <w:name w:val="Date Char"/>
    <w:basedOn w:val="DefaultParagraphFont"/>
    <w:link w:val="Date"/>
    <w:uiPriority w:val="99"/>
    <w:semiHidden/>
    <w:rsid w:val="00403BDE"/>
    <w:rPr>
      <w:rFonts w:ascii="Times New Roman" w:eastAsia="Times New Roman" w:hAnsi="Times New Roman" w:cs="Times New Roman"/>
      <w:kern w:val="0"/>
      <w14:ligatures w14:val="none"/>
    </w:rPr>
  </w:style>
  <w:style w:type="paragraph" w:styleId="DocumentMap">
    <w:name w:val="Document Map"/>
    <w:basedOn w:val="Normal"/>
    <w:link w:val="DocumentMapChar"/>
    <w:uiPriority w:val="99"/>
    <w:semiHidden/>
    <w:unhideWhenUsed/>
    <w:rsid w:val="00403BDE"/>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03BDE"/>
    <w:rPr>
      <w:rFonts w:ascii="Segoe UI" w:eastAsia="Times New Roman" w:hAnsi="Segoe UI" w:cs="Segoe UI"/>
      <w:kern w:val="0"/>
      <w:sz w:val="16"/>
      <w:szCs w:val="16"/>
      <w14:ligatures w14:val="none"/>
    </w:rPr>
  </w:style>
  <w:style w:type="paragraph" w:styleId="E-mailSignature">
    <w:name w:val="E-mail Signature"/>
    <w:basedOn w:val="Normal"/>
    <w:link w:val="E-mailSignatureChar"/>
    <w:uiPriority w:val="99"/>
    <w:semiHidden/>
    <w:unhideWhenUsed/>
    <w:rsid w:val="00403BDE"/>
  </w:style>
  <w:style w:type="character" w:customStyle="1" w:styleId="E-mailSignatureChar">
    <w:name w:val="E-mail Signature Char"/>
    <w:basedOn w:val="DefaultParagraphFont"/>
    <w:link w:val="E-mailSignature"/>
    <w:uiPriority w:val="99"/>
    <w:semiHidden/>
    <w:rsid w:val="00403BDE"/>
    <w:rPr>
      <w:rFonts w:ascii="Times New Roman" w:eastAsia="Times New Roman" w:hAnsi="Times New Roman" w:cs="Times New Roman"/>
      <w:kern w:val="0"/>
      <w14:ligatures w14:val="none"/>
    </w:rPr>
  </w:style>
  <w:style w:type="paragraph" w:styleId="EndnoteText">
    <w:name w:val="endnote text"/>
    <w:basedOn w:val="Normal"/>
    <w:link w:val="EndnoteTextChar"/>
    <w:uiPriority w:val="99"/>
    <w:semiHidden/>
    <w:unhideWhenUsed/>
    <w:rsid w:val="00403BDE"/>
    <w:rPr>
      <w:sz w:val="20"/>
      <w:szCs w:val="20"/>
    </w:rPr>
  </w:style>
  <w:style w:type="character" w:customStyle="1" w:styleId="EndnoteTextChar">
    <w:name w:val="Endnote Text Char"/>
    <w:basedOn w:val="DefaultParagraphFont"/>
    <w:link w:val="EndnoteText"/>
    <w:uiPriority w:val="99"/>
    <w:semiHidden/>
    <w:rsid w:val="00403BDE"/>
    <w:rPr>
      <w:rFonts w:ascii="Times New Roman" w:eastAsia="Times New Roman" w:hAnsi="Times New Roman" w:cs="Times New Roman"/>
      <w:kern w:val="0"/>
      <w:sz w:val="20"/>
      <w:szCs w:val="20"/>
      <w14:ligatures w14:val="none"/>
    </w:rPr>
  </w:style>
  <w:style w:type="paragraph" w:styleId="EnvelopeAddress">
    <w:name w:val="envelope address"/>
    <w:basedOn w:val="Normal"/>
    <w:uiPriority w:val="99"/>
    <w:semiHidden/>
    <w:unhideWhenUsed/>
    <w:rsid w:val="00403BD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03BDE"/>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03BDE"/>
    <w:rPr>
      <w:sz w:val="20"/>
      <w:szCs w:val="20"/>
    </w:rPr>
  </w:style>
  <w:style w:type="character" w:customStyle="1" w:styleId="FootnoteTextChar">
    <w:name w:val="Footnote Text Char"/>
    <w:basedOn w:val="DefaultParagraphFont"/>
    <w:link w:val="FootnoteText"/>
    <w:uiPriority w:val="99"/>
    <w:semiHidden/>
    <w:rsid w:val="00403BDE"/>
    <w:rPr>
      <w:rFonts w:ascii="Times New Roman" w:eastAsia="Times New Roman" w:hAnsi="Times New Roman" w:cs="Times New Roman"/>
      <w:kern w:val="0"/>
      <w:sz w:val="20"/>
      <w:szCs w:val="20"/>
      <w14:ligatures w14:val="none"/>
    </w:rPr>
  </w:style>
  <w:style w:type="paragraph" w:styleId="HTMLAddress">
    <w:name w:val="HTML Address"/>
    <w:basedOn w:val="Normal"/>
    <w:link w:val="HTMLAddressChar"/>
    <w:uiPriority w:val="99"/>
    <w:semiHidden/>
    <w:unhideWhenUsed/>
    <w:rsid w:val="00403BDE"/>
    <w:rPr>
      <w:i/>
      <w:iCs/>
    </w:rPr>
  </w:style>
  <w:style w:type="character" w:customStyle="1" w:styleId="HTMLAddressChar">
    <w:name w:val="HTML Address Char"/>
    <w:basedOn w:val="DefaultParagraphFont"/>
    <w:link w:val="HTMLAddress"/>
    <w:uiPriority w:val="99"/>
    <w:semiHidden/>
    <w:rsid w:val="00403BDE"/>
    <w:rPr>
      <w:rFonts w:ascii="Times New Roman" w:eastAsia="Times New Roman" w:hAnsi="Times New Roman" w:cs="Times New Roman"/>
      <w:i/>
      <w:iCs/>
      <w:kern w:val="0"/>
      <w14:ligatures w14:val="none"/>
    </w:rPr>
  </w:style>
  <w:style w:type="paragraph" w:styleId="HTMLPreformatted">
    <w:name w:val="HTML Preformatted"/>
    <w:basedOn w:val="Normal"/>
    <w:link w:val="HTMLPreformattedChar"/>
    <w:uiPriority w:val="99"/>
    <w:semiHidden/>
    <w:unhideWhenUsed/>
    <w:rsid w:val="00403BD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03BDE"/>
    <w:rPr>
      <w:rFonts w:ascii="Consolas" w:eastAsia="Times New Roman" w:hAnsi="Consolas" w:cs="Times New Roman"/>
      <w:kern w:val="0"/>
      <w:sz w:val="20"/>
      <w:szCs w:val="20"/>
      <w14:ligatures w14:val="none"/>
    </w:rPr>
  </w:style>
  <w:style w:type="paragraph" w:styleId="Index1">
    <w:name w:val="index 1"/>
    <w:basedOn w:val="Normal"/>
    <w:next w:val="Normal"/>
    <w:autoRedefine/>
    <w:uiPriority w:val="99"/>
    <w:semiHidden/>
    <w:unhideWhenUsed/>
    <w:rsid w:val="00403BDE"/>
    <w:pPr>
      <w:ind w:left="240" w:hanging="240"/>
    </w:pPr>
  </w:style>
  <w:style w:type="paragraph" w:styleId="Index2">
    <w:name w:val="index 2"/>
    <w:basedOn w:val="Normal"/>
    <w:next w:val="Normal"/>
    <w:autoRedefine/>
    <w:uiPriority w:val="99"/>
    <w:semiHidden/>
    <w:unhideWhenUsed/>
    <w:rsid w:val="00403BDE"/>
    <w:pPr>
      <w:ind w:left="480" w:hanging="240"/>
    </w:pPr>
  </w:style>
  <w:style w:type="paragraph" w:styleId="Index3">
    <w:name w:val="index 3"/>
    <w:basedOn w:val="Normal"/>
    <w:next w:val="Normal"/>
    <w:autoRedefine/>
    <w:uiPriority w:val="99"/>
    <w:semiHidden/>
    <w:unhideWhenUsed/>
    <w:rsid w:val="00403BDE"/>
    <w:pPr>
      <w:ind w:left="720" w:hanging="240"/>
    </w:pPr>
  </w:style>
  <w:style w:type="paragraph" w:styleId="Index4">
    <w:name w:val="index 4"/>
    <w:basedOn w:val="Normal"/>
    <w:next w:val="Normal"/>
    <w:autoRedefine/>
    <w:uiPriority w:val="99"/>
    <w:semiHidden/>
    <w:unhideWhenUsed/>
    <w:rsid w:val="00403BDE"/>
    <w:pPr>
      <w:ind w:left="960" w:hanging="240"/>
    </w:pPr>
  </w:style>
  <w:style w:type="paragraph" w:styleId="Index5">
    <w:name w:val="index 5"/>
    <w:basedOn w:val="Normal"/>
    <w:next w:val="Normal"/>
    <w:autoRedefine/>
    <w:uiPriority w:val="99"/>
    <w:semiHidden/>
    <w:unhideWhenUsed/>
    <w:rsid w:val="00403BDE"/>
    <w:pPr>
      <w:ind w:left="1200" w:hanging="240"/>
    </w:pPr>
  </w:style>
  <w:style w:type="paragraph" w:styleId="Index6">
    <w:name w:val="index 6"/>
    <w:basedOn w:val="Normal"/>
    <w:next w:val="Normal"/>
    <w:autoRedefine/>
    <w:uiPriority w:val="99"/>
    <w:semiHidden/>
    <w:unhideWhenUsed/>
    <w:rsid w:val="00403BDE"/>
    <w:pPr>
      <w:ind w:left="1440" w:hanging="240"/>
    </w:pPr>
  </w:style>
  <w:style w:type="paragraph" w:styleId="Index7">
    <w:name w:val="index 7"/>
    <w:basedOn w:val="Normal"/>
    <w:next w:val="Normal"/>
    <w:autoRedefine/>
    <w:uiPriority w:val="99"/>
    <w:semiHidden/>
    <w:unhideWhenUsed/>
    <w:rsid w:val="00403BDE"/>
    <w:pPr>
      <w:ind w:left="1680" w:hanging="240"/>
    </w:pPr>
  </w:style>
  <w:style w:type="paragraph" w:styleId="Index8">
    <w:name w:val="index 8"/>
    <w:basedOn w:val="Normal"/>
    <w:next w:val="Normal"/>
    <w:autoRedefine/>
    <w:uiPriority w:val="99"/>
    <w:semiHidden/>
    <w:unhideWhenUsed/>
    <w:rsid w:val="00403BDE"/>
    <w:pPr>
      <w:ind w:left="1920" w:hanging="240"/>
    </w:pPr>
  </w:style>
  <w:style w:type="paragraph" w:styleId="Index9">
    <w:name w:val="index 9"/>
    <w:basedOn w:val="Normal"/>
    <w:next w:val="Normal"/>
    <w:autoRedefine/>
    <w:uiPriority w:val="99"/>
    <w:semiHidden/>
    <w:unhideWhenUsed/>
    <w:rsid w:val="00403BDE"/>
    <w:pPr>
      <w:ind w:left="2160" w:hanging="240"/>
    </w:pPr>
  </w:style>
  <w:style w:type="paragraph" w:styleId="IndexHeading">
    <w:name w:val="index heading"/>
    <w:basedOn w:val="Normal"/>
    <w:next w:val="Index1"/>
    <w:uiPriority w:val="99"/>
    <w:semiHidden/>
    <w:unhideWhenUsed/>
    <w:rsid w:val="00403BDE"/>
    <w:rPr>
      <w:rFonts w:asciiTheme="majorHAnsi" w:eastAsiaTheme="majorEastAsia" w:hAnsiTheme="majorHAnsi" w:cstheme="majorBidi"/>
      <w:b/>
      <w:bCs/>
    </w:rPr>
  </w:style>
  <w:style w:type="paragraph" w:styleId="List">
    <w:name w:val="List"/>
    <w:basedOn w:val="Normal"/>
    <w:uiPriority w:val="99"/>
    <w:semiHidden/>
    <w:unhideWhenUsed/>
    <w:rsid w:val="00403BDE"/>
    <w:pPr>
      <w:ind w:left="360" w:hanging="360"/>
      <w:contextualSpacing/>
    </w:pPr>
  </w:style>
  <w:style w:type="paragraph" w:styleId="List2">
    <w:name w:val="List 2"/>
    <w:basedOn w:val="Normal"/>
    <w:uiPriority w:val="99"/>
    <w:semiHidden/>
    <w:unhideWhenUsed/>
    <w:rsid w:val="00403BDE"/>
    <w:pPr>
      <w:ind w:left="720" w:hanging="360"/>
      <w:contextualSpacing/>
    </w:pPr>
  </w:style>
  <w:style w:type="paragraph" w:styleId="List3">
    <w:name w:val="List 3"/>
    <w:basedOn w:val="Normal"/>
    <w:uiPriority w:val="99"/>
    <w:semiHidden/>
    <w:unhideWhenUsed/>
    <w:rsid w:val="00403BDE"/>
    <w:pPr>
      <w:ind w:left="1080" w:hanging="360"/>
      <w:contextualSpacing/>
    </w:pPr>
  </w:style>
  <w:style w:type="paragraph" w:styleId="List4">
    <w:name w:val="List 4"/>
    <w:basedOn w:val="Normal"/>
    <w:uiPriority w:val="99"/>
    <w:semiHidden/>
    <w:unhideWhenUsed/>
    <w:rsid w:val="00403BDE"/>
    <w:pPr>
      <w:ind w:left="1440" w:hanging="360"/>
      <w:contextualSpacing/>
    </w:pPr>
  </w:style>
  <w:style w:type="paragraph" w:styleId="List5">
    <w:name w:val="List 5"/>
    <w:basedOn w:val="Normal"/>
    <w:uiPriority w:val="99"/>
    <w:semiHidden/>
    <w:unhideWhenUsed/>
    <w:rsid w:val="00403BDE"/>
    <w:pPr>
      <w:ind w:left="1800" w:hanging="360"/>
      <w:contextualSpacing/>
    </w:pPr>
  </w:style>
  <w:style w:type="paragraph" w:styleId="ListBullet">
    <w:name w:val="List Bullet"/>
    <w:basedOn w:val="Normal"/>
    <w:uiPriority w:val="99"/>
    <w:semiHidden/>
    <w:unhideWhenUsed/>
    <w:rsid w:val="00403BDE"/>
    <w:pPr>
      <w:numPr>
        <w:numId w:val="2"/>
      </w:numPr>
      <w:contextualSpacing/>
    </w:pPr>
  </w:style>
  <w:style w:type="paragraph" w:styleId="ListBullet2">
    <w:name w:val="List Bullet 2"/>
    <w:basedOn w:val="Normal"/>
    <w:uiPriority w:val="99"/>
    <w:semiHidden/>
    <w:unhideWhenUsed/>
    <w:rsid w:val="00403BDE"/>
    <w:pPr>
      <w:numPr>
        <w:numId w:val="3"/>
      </w:numPr>
      <w:contextualSpacing/>
    </w:pPr>
  </w:style>
  <w:style w:type="paragraph" w:styleId="ListBullet3">
    <w:name w:val="List Bullet 3"/>
    <w:basedOn w:val="Normal"/>
    <w:uiPriority w:val="99"/>
    <w:semiHidden/>
    <w:unhideWhenUsed/>
    <w:rsid w:val="00403BDE"/>
    <w:pPr>
      <w:numPr>
        <w:numId w:val="4"/>
      </w:numPr>
      <w:contextualSpacing/>
    </w:pPr>
  </w:style>
  <w:style w:type="paragraph" w:styleId="ListBullet4">
    <w:name w:val="List Bullet 4"/>
    <w:basedOn w:val="Normal"/>
    <w:uiPriority w:val="99"/>
    <w:semiHidden/>
    <w:unhideWhenUsed/>
    <w:rsid w:val="00403BDE"/>
    <w:pPr>
      <w:numPr>
        <w:numId w:val="5"/>
      </w:numPr>
      <w:contextualSpacing/>
    </w:pPr>
  </w:style>
  <w:style w:type="paragraph" w:styleId="ListBullet5">
    <w:name w:val="List Bullet 5"/>
    <w:basedOn w:val="Normal"/>
    <w:uiPriority w:val="99"/>
    <w:semiHidden/>
    <w:unhideWhenUsed/>
    <w:rsid w:val="00403BDE"/>
    <w:pPr>
      <w:numPr>
        <w:numId w:val="6"/>
      </w:numPr>
      <w:contextualSpacing/>
    </w:pPr>
  </w:style>
  <w:style w:type="paragraph" w:styleId="ListContinue">
    <w:name w:val="List Continue"/>
    <w:basedOn w:val="Normal"/>
    <w:uiPriority w:val="99"/>
    <w:semiHidden/>
    <w:unhideWhenUsed/>
    <w:rsid w:val="00403BDE"/>
    <w:pPr>
      <w:spacing w:after="120"/>
      <w:ind w:left="360"/>
      <w:contextualSpacing/>
    </w:pPr>
  </w:style>
  <w:style w:type="paragraph" w:styleId="ListContinue2">
    <w:name w:val="List Continue 2"/>
    <w:basedOn w:val="Normal"/>
    <w:uiPriority w:val="99"/>
    <w:semiHidden/>
    <w:unhideWhenUsed/>
    <w:rsid w:val="00403BDE"/>
    <w:pPr>
      <w:spacing w:after="120"/>
      <w:ind w:left="720"/>
      <w:contextualSpacing/>
    </w:pPr>
  </w:style>
  <w:style w:type="paragraph" w:styleId="ListContinue3">
    <w:name w:val="List Continue 3"/>
    <w:basedOn w:val="Normal"/>
    <w:uiPriority w:val="99"/>
    <w:semiHidden/>
    <w:unhideWhenUsed/>
    <w:rsid w:val="00403BDE"/>
    <w:pPr>
      <w:spacing w:after="120"/>
      <w:ind w:left="1080"/>
      <w:contextualSpacing/>
    </w:pPr>
  </w:style>
  <w:style w:type="paragraph" w:styleId="ListContinue4">
    <w:name w:val="List Continue 4"/>
    <w:basedOn w:val="Normal"/>
    <w:uiPriority w:val="99"/>
    <w:semiHidden/>
    <w:unhideWhenUsed/>
    <w:rsid w:val="00403BDE"/>
    <w:pPr>
      <w:spacing w:after="120"/>
      <w:ind w:left="1440"/>
      <w:contextualSpacing/>
    </w:pPr>
  </w:style>
  <w:style w:type="paragraph" w:styleId="ListContinue5">
    <w:name w:val="List Continue 5"/>
    <w:basedOn w:val="Normal"/>
    <w:uiPriority w:val="99"/>
    <w:semiHidden/>
    <w:unhideWhenUsed/>
    <w:rsid w:val="00403BDE"/>
    <w:pPr>
      <w:spacing w:after="120"/>
      <w:ind w:left="1800"/>
      <w:contextualSpacing/>
    </w:pPr>
  </w:style>
  <w:style w:type="paragraph" w:styleId="ListNumber">
    <w:name w:val="List Number"/>
    <w:basedOn w:val="Normal"/>
    <w:uiPriority w:val="99"/>
    <w:semiHidden/>
    <w:unhideWhenUsed/>
    <w:rsid w:val="00403BDE"/>
    <w:pPr>
      <w:numPr>
        <w:numId w:val="7"/>
      </w:numPr>
      <w:contextualSpacing/>
    </w:pPr>
  </w:style>
  <w:style w:type="paragraph" w:styleId="ListNumber2">
    <w:name w:val="List Number 2"/>
    <w:basedOn w:val="Normal"/>
    <w:uiPriority w:val="99"/>
    <w:semiHidden/>
    <w:unhideWhenUsed/>
    <w:rsid w:val="00403BDE"/>
    <w:pPr>
      <w:numPr>
        <w:numId w:val="8"/>
      </w:numPr>
      <w:contextualSpacing/>
    </w:pPr>
  </w:style>
  <w:style w:type="paragraph" w:styleId="ListNumber3">
    <w:name w:val="List Number 3"/>
    <w:basedOn w:val="Normal"/>
    <w:uiPriority w:val="99"/>
    <w:semiHidden/>
    <w:unhideWhenUsed/>
    <w:rsid w:val="00403BDE"/>
    <w:pPr>
      <w:numPr>
        <w:numId w:val="9"/>
      </w:numPr>
      <w:contextualSpacing/>
    </w:pPr>
  </w:style>
  <w:style w:type="paragraph" w:styleId="ListNumber4">
    <w:name w:val="List Number 4"/>
    <w:basedOn w:val="Normal"/>
    <w:uiPriority w:val="99"/>
    <w:semiHidden/>
    <w:unhideWhenUsed/>
    <w:rsid w:val="00403BDE"/>
    <w:pPr>
      <w:numPr>
        <w:numId w:val="10"/>
      </w:numPr>
      <w:contextualSpacing/>
    </w:pPr>
  </w:style>
  <w:style w:type="paragraph" w:styleId="ListNumber5">
    <w:name w:val="List Number 5"/>
    <w:basedOn w:val="Normal"/>
    <w:uiPriority w:val="99"/>
    <w:semiHidden/>
    <w:unhideWhenUsed/>
    <w:rsid w:val="00403BDE"/>
    <w:pPr>
      <w:numPr>
        <w:numId w:val="11"/>
      </w:numPr>
      <w:contextualSpacing/>
    </w:pPr>
  </w:style>
  <w:style w:type="paragraph" w:styleId="MacroText">
    <w:name w:val="macro"/>
    <w:link w:val="MacroTextChar"/>
    <w:uiPriority w:val="99"/>
    <w:semiHidden/>
    <w:unhideWhenUsed/>
    <w:rsid w:val="00403B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croTextChar">
    <w:name w:val="Macro Text Char"/>
    <w:basedOn w:val="DefaultParagraphFont"/>
    <w:link w:val="MacroText"/>
    <w:uiPriority w:val="99"/>
    <w:semiHidden/>
    <w:rsid w:val="00403BDE"/>
    <w:rPr>
      <w:rFonts w:ascii="Consolas" w:eastAsia="Times New Roman" w:hAnsi="Consolas" w:cs="Times New Roman"/>
      <w:kern w:val="0"/>
      <w:sz w:val="20"/>
      <w:szCs w:val="20"/>
      <w14:ligatures w14:val="none"/>
    </w:rPr>
  </w:style>
  <w:style w:type="paragraph" w:styleId="MessageHeader">
    <w:name w:val="Message Header"/>
    <w:basedOn w:val="Normal"/>
    <w:link w:val="MessageHeaderChar"/>
    <w:uiPriority w:val="99"/>
    <w:semiHidden/>
    <w:unhideWhenUsed/>
    <w:rsid w:val="00403B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03BDE"/>
    <w:rPr>
      <w:rFonts w:asciiTheme="majorHAnsi" w:eastAsiaTheme="majorEastAsia" w:hAnsiTheme="majorHAnsi" w:cstheme="majorBidi"/>
      <w:kern w:val="0"/>
      <w:shd w:val="pct20" w:color="auto" w:fill="auto"/>
      <w14:ligatures w14:val="none"/>
    </w:rPr>
  </w:style>
  <w:style w:type="paragraph" w:styleId="NoSpacing">
    <w:name w:val="No Spacing"/>
    <w:uiPriority w:val="1"/>
    <w:qFormat/>
    <w:rsid w:val="00403BDE"/>
    <w:pPr>
      <w:spacing w:after="0" w:line="240" w:lineRule="auto"/>
    </w:pPr>
    <w:rPr>
      <w:rFonts w:ascii="Times New Roman" w:eastAsia="Times New Roman" w:hAnsi="Times New Roman" w:cs="Times New Roman"/>
      <w:kern w:val="0"/>
      <w14:ligatures w14:val="none"/>
    </w:rPr>
  </w:style>
  <w:style w:type="paragraph" w:styleId="NormalIndent">
    <w:name w:val="Normal Indent"/>
    <w:basedOn w:val="Normal"/>
    <w:uiPriority w:val="99"/>
    <w:semiHidden/>
    <w:unhideWhenUsed/>
    <w:rsid w:val="00403BDE"/>
    <w:pPr>
      <w:ind w:left="720"/>
    </w:pPr>
  </w:style>
  <w:style w:type="paragraph" w:styleId="NoteHeading">
    <w:name w:val="Note Heading"/>
    <w:basedOn w:val="Normal"/>
    <w:next w:val="Normal"/>
    <w:link w:val="NoteHeadingChar"/>
    <w:uiPriority w:val="99"/>
    <w:semiHidden/>
    <w:unhideWhenUsed/>
    <w:rsid w:val="00403BDE"/>
  </w:style>
  <w:style w:type="character" w:customStyle="1" w:styleId="NoteHeadingChar">
    <w:name w:val="Note Heading Char"/>
    <w:basedOn w:val="DefaultParagraphFont"/>
    <w:link w:val="NoteHeading"/>
    <w:uiPriority w:val="99"/>
    <w:semiHidden/>
    <w:rsid w:val="00403BDE"/>
    <w:rPr>
      <w:rFonts w:ascii="Times New Roman" w:eastAsia="Times New Roman" w:hAnsi="Times New Roman" w:cs="Times New Roman"/>
      <w:kern w:val="0"/>
      <w14:ligatures w14:val="none"/>
    </w:rPr>
  </w:style>
  <w:style w:type="paragraph" w:styleId="PlainText">
    <w:name w:val="Plain Text"/>
    <w:basedOn w:val="Normal"/>
    <w:link w:val="PlainTextChar"/>
    <w:uiPriority w:val="99"/>
    <w:semiHidden/>
    <w:unhideWhenUsed/>
    <w:rsid w:val="00403BDE"/>
    <w:rPr>
      <w:rFonts w:ascii="Consolas" w:hAnsi="Consolas"/>
      <w:sz w:val="21"/>
      <w:szCs w:val="21"/>
    </w:rPr>
  </w:style>
  <w:style w:type="character" w:customStyle="1" w:styleId="PlainTextChar">
    <w:name w:val="Plain Text Char"/>
    <w:basedOn w:val="DefaultParagraphFont"/>
    <w:link w:val="PlainText"/>
    <w:uiPriority w:val="99"/>
    <w:semiHidden/>
    <w:rsid w:val="00403BDE"/>
    <w:rPr>
      <w:rFonts w:ascii="Consolas" w:eastAsia="Times New Roman" w:hAnsi="Consolas" w:cs="Times New Roman"/>
      <w:kern w:val="0"/>
      <w:sz w:val="21"/>
      <w:szCs w:val="21"/>
      <w14:ligatures w14:val="none"/>
    </w:rPr>
  </w:style>
  <w:style w:type="paragraph" w:styleId="Salutation">
    <w:name w:val="Salutation"/>
    <w:basedOn w:val="Normal"/>
    <w:next w:val="Normal"/>
    <w:link w:val="SalutationChar"/>
    <w:uiPriority w:val="99"/>
    <w:semiHidden/>
    <w:unhideWhenUsed/>
    <w:rsid w:val="00403BDE"/>
  </w:style>
  <w:style w:type="character" w:customStyle="1" w:styleId="SalutationChar">
    <w:name w:val="Salutation Char"/>
    <w:basedOn w:val="DefaultParagraphFont"/>
    <w:link w:val="Salutation"/>
    <w:uiPriority w:val="99"/>
    <w:semiHidden/>
    <w:rsid w:val="00403BDE"/>
    <w:rPr>
      <w:rFonts w:ascii="Times New Roman" w:eastAsia="Times New Roman" w:hAnsi="Times New Roman" w:cs="Times New Roman"/>
      <w:kern w:val="0"/>
      <w14:ligatures w14:val="none"/>
    </w:rPr>
  </w:style>
  <w:style w:type="paragraph" w:styleId="Signature">
    <w:name w:val="Signature"/>
    <w:basedOn w:val="Normal"/>
    <w:link w:val="SignatureChar"/>
    <w:uiPriority w:val="99"/>
    <w:semiHidden/>
    <w:unhideWhenUsed/>
    <w:rsid w:val="00403BDE"/>
    <w:pPr>
      <w:ind w:left="4320"/>
    </w:pPr>
  </w:style>
  <w:style w:type="character" w:customStyle="1" w:styleId="SignatureChar">
    <w:name w:val="Signature Char"/>
    <w:basedOn w:val="DefaultParagraphFont"/>
    <w:link w:val="Signature"/>
    <w:uiPriority w:val="99"/>
    <w:semiHidden/>
    <w:rsid w:val="00403BDE"/>
    <w:rPr>
      <w:rFonts w:ascii="Times New Roman" w:eastAsia="Times New Roman" w:hAnsi="Times New Roman" w:cs="Times New Roman"/>
      <w:kern w:val="0"/>
      <w14:ligatures w14:val="none"/>
    </w:rPr>
  </w:style>
  <w:style w:type="paragraph" w:styleId="TableofAuthorities">
    <w:name w:val="table of authorities"/>
    <w:basedOn w:val="Normal"/>
    <w:next w:val="Normal"/>
    <w:uiPriority w:val="99"/>
    <w:semiHidden/>
    <w:unhideWhenUsed/>
    <w:rsid w:val="00403BDE"/>
    <w:pPr>
      <w:ind w:left="240" w:hanging="240"/>
    </w:pPr>
  </w:style>
  <w:style w:type="paragraph" w:styleId="TableofFigures">
    <w:name w:val="table of figures"/>
    <w:basedOn w:val="Normal"/>
    <w:next w:val="Normal"/>
    <w:uiPriority w:val="99"/>
    <w:semiHidden/>
    <w:unhideWhenUsed/>
    <w:rsid w:val="00403BDE"/>
  </w:style>
  <w:style w:type="paragraph" w:styleId="TOAHeading">
    <w:name w:val="toa heading"/>
    <w:basedOn w:val="Normal"/>
    <w:next w:val="Normal"/>
    <w:uiPriority w:val="99"/>
    <w:semiHidden/>
    <w:unhideWhenUsed/>
    <w:rsid w:val="00403BD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03BDE"/>
    <w:pPr>
      <w:spacing w:after="100"/>
    </w:pPr>
  </w:style>
  <w:style w:type="paragraph" w:styleId="TOC2">
    <w:name w:val="toc 2"/>
    <w:basedOn w:val="Normal"/>
    <w:next w:val="Normal"/>
    <w:autoRedefine/>
    <w:uiPriority w:val="39"/>
    <w:semiHidden/>
    <w:unhideWhenUsed/>
    <w:rsid w:val="00403BDE"/>
    <w:pPr>
      <w:spacing w:after="100"/>
      <w:ind w:left="240"/>
    </w:pPr>
  </w:style>
  <w:style w:type="paragraph" w:styleId="TOC3">
    <w:name w:val="toc 3"/>
    <w:basedOn w:val="Normal"/>
    <w:next w:val="Normal"/>
    <w:autoRedefine/>
    <w:uiPriority w:val="39"/>
    <w:semiHidden/>
    <w:unhideWhenUsed/>
    <w:rsid w:val="00403BDE"/>
    <w:pPr>
      <w:spacing w:after="100"/>
      <w:ind w:left="480"/>
    </w:pPr>
  </w:style>
  <w:style w:type="paragraph" w:styleId="TOC4">
    <w:name w:val="toc 4"/>
    <w:basedOn w:val="Normal"/>
    <w:next w:val="Normal"/>
    <w:autoRedefine/>
    <w:uiPriority w:val="39"/>
    <w:semiHidden/>
    <w:unhideWhenUsed/>
    <w:rsid w:val="00403BDE"/>
    <w:pPr>
      <w:spacing w:after="100"/>
      <w:ind w:left="720"/>
    </w:pPr>
  </w:style>
  <w:style w:type="paragraph" w:styleId="TOC5">
    <w:name w:val="toc 5"/>
    <w:basedOn w:val="Normal"/>
    <w:next w:val="Normal"/>
    <w:autoRedefine/>
    <w:uiPriority w:val="39"/>
    <w:semiHidden/>
    <w:unhideWhenUsed/>
    <w:rsid w:val="00403BDE"/>
    <w:pPr>
      <w:spacing w:after="100"/>
      <w:ind w:left="960"/>
    </w:pPr>
  </w:style>
  <w:style w:type="paragraph" w:styleId="TOC6">
    <w:name w:val="toc 6"/>
    <w:basedOn w:val="Normal"/>
    <w:next w:val="Normal"/>
    <w:autoRedefine/>
    <w:uiPriority w:val="39"/>
    <w:semiHidden/>
    <w:unhideWhenUsed/>
    <w:rsid w:val="00403BDE"/>
    <w:pPr>
      <w:spacing w:after="100"/>
      <w:ind w:left="1200"/>
    </w:pPr>
  </w:style>
  <w:style w:type="paragraph" w:styleId="TOC7">
    <w:name w:val="toc 7"/>
    <w:basedOn w:val="Normal"/>
    <w:next w:val="Normal"/>
    <w:autoRedefine/>
    <w:uiPriority w:val="39"/>
    <w:semiHidden/>
    <w:unhideWhenUsed/>
    <w:rsid w:val="00403BDE"/>
    <w:pPr>
      <w:spacing w:after="100"/>
      <w:ind w:left="1440"/>
    </w:pPr>
  </w:style>
  <w:style w:type="paragraph" w:styleId="TOC8">
    <w:name w:val="toc 8"/>
    <w:basedOn w:val="Normal"/>
    <w:next w:val="Normal"/>
    <w:autoRedefine/>
    <w:uiPriority w:val="39"/>
    <w:semiHidden/>
    <w:unhideWhenUsed/>
    <w:rsid w:val="00403BDE"/>
    <w:pPr>
      <w:spacing w:after="100"/>
      <w:ind w:left="1680"/>
    </w:pPr>
  </w:style>
  <w:style w:type="paragraph" w:styleId="TOC9">
    <w:name w:val="toc 9"/>
    <w:basedOn w:val="Normal"/>
    <w:next w:val="Normal"/>
    <w:autoRedefine/>
    <w:uiPriority w:val="39"/>
    <w:semiHidden/>
    <w:unhideWhenUsed/>
    <w:rsid w:val="00403BDE"/>
    <w:pPr>
      <w:spacing w:after="100"/>
      <w:ind w:left="1920"/>
    </w:pPr>
  </w:style>
  <w:style w:type="paragraph" w:styleId="TOCHeading">
    <w:name w:val="TOC Heading"/>
    <w:basedOn w:val="Heading1"/>
    <w:next w:val="Normal"/>
    <w:uiPriority w:val="39"/>
    <w:semiHidden/>
    <w:unhideWhenUsed/>
    <w:qFormat/>
    <w:rsid w:val="00403BDE"/>
    <w:pPr>
      <w:spacing w:before="240" w:after="0" w:line="240" w:lineRule="auto"/>
      <w:outlineLvl w:val="9"/>
    </w:pPr>
    <w:rPr>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itol.embl.de/tree/9911493178160821727642336"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itol.embl.de/tree/9911493178160411725370573" TargetMode="External"/><Relationship Id="rId25" Type="http://schemas.openxmlformats.org/officeDocument/2006/relationships/image" Target="media/image14.svg"/><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hyperlink" Target="https://itol.embl.de/tree/1282271717828172383146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ol.embl.de/tree/12822717208301724079747"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svg"/><Relationship Id="rId28"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ol.embl.de/tree/12822717178281723831461" TargetMode="External"/><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12</Pages>
  <Words>1815</Words>
  <Characters>10974</Characters>
  <Application>Microsoft Office Word</Application>
  <DocSecurity>0</DocSecurity>
  <Lines>218</Lines>
  <Paragraphs>73</Paragraphs>
  <ScaleCrop>false</ScaleCrop>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Hanon McShea</dc:creator>
  <cp:keywords/>
  <dc:description/>
  <cp:lastModifiedBy>Hanon McShea</cp:lastModifiedBy>
  <cp:revision>102</cp:revision>
  <cp:lastPrinted>2025-02-08T00:38:00Z</cp:lastPrinted>
  <dcterms:created xsi:type="dcterms:W3CDTF">2024-09-17T03:46:00Z</dcterms:created>
  <dcterms:modified xsi:type="dcterms:W3CDTF">2025-02-08T00:39:00Z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id="sKT8qPUg"/&gt;&lt;style id="http://www.zotero.org/styles/nature" hasBibliography="1" bibliographyStyleHasBeenSet="1"/&gt;&lt;prefs&gt;&lt;pref name="fieldType" value="Field"/&gt;&lt;/prefs&gt;&lt;/data&gt;</vt:lpwstr>
  </property>
</Properties>
</file>