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Scutellarin ameliorated carbon tetrachloride-induced repeated liver injury in mice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Zhimin Miao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†</w:t>
      </w:r>
      <w:r>
        <w:rPr>
          <w:rFonts w:hint="default" w:ascii="Times New Roman" w:hAnsi="Times New Roman" w:cs="Times New Roman"/>
          <w:sz w:val="24"/>
          <w:szCs w:val="24"/>
        </w:rPr>
        <w:t>, Yingying Zhao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†</w:t>
      </w:r>
      <w:r>
        <w:rPr>
          <w:rFonts w:hint="default" w:ascii="Times New Roman" w:hAnsi="Times New Roman" w:cs="Times New Roman"/>
          <w:sz w:val="24"/>
          <w:szCs w:val="24"/>
        </w:rPr>
        <w:t>, Chunyan Li, Lingmin Chen, Jianeng Zhou, Hai Lan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hint="default" w:ascii="Times New Roman" w:hAnsi="Times New Roman" w:cs="Times New Roman"/>
          <w:sz w:val="24"/>
          <w:szCs w:val="24"/>
        </w:rPr>
        <w:t xml:space="preserve"> and Yong Lai</w:t>
      </w:r>
      <w:r>
        <w:rPr>
          <w:rFonts w:hint="default" w:ascii="Times New Roman" w:hAnsi="Times New Roman" w:cs="Times New Roman"/>
          <w:sz w:val="24"/>
          <w:szCs w:val="24"/>
          <w:vertAlign w:val="baseline"/>
        </w:rPr>
        <w:t>*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College of Pharmacy and Chemistry,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Dali University, Dali 671000, China;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u w:val="none"/>
        </w:rPr>
        <w:t>mzmdsg@163.com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(Z.M.); </w:t>
      </w:r>
      <w:r>
        <w:rPr>
          <w:rFonts w:hint="default" w:ascii="Times New Roman" w:hAnsi="Times New Roman" w:cs="Times New Roman"/>
          <w:color w:val="auto"/>
          <w:sz w:val="24"/>
          <w:szCs w:val="24"/>
          <w:u w:val="none"/>
        </w:rPr>
        <w:t>17863811495@163.com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(Y.Z.);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u w:val="none"/>
          <w:vertAlign w:val="baseline"/>
        </w:rPr>
        <w:t>lcyyanyan@126.com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vertAlign w:val="baseline"/>
        </w:rPr>
        <w:t xml:space="preserve"> (C.L.);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u w:val="none"/>
          <w:vertAlign w:val="baseline"/>
        </w:rPr>
        <w:t>clm9617@163.com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vertAlign w:val="baseline"/>
        </w:rPr>
        <w:t xml:space="preserve"> (L.C.);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u w:val="none"/>
          <w:vertAlign w:val="baseline"/>
        </w:rPr>
        <w:t>cannonzhou95@163.com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vertAlign w:val="baseline"/>
        </w:rPr>
        <w:t xml:space="preserve"> (J.Z.);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 xml:space="preserve">*Correspondence: </w:t>
      </w:r>
      <w:r>
        <w:rPr>
          <w:rFonts w:hint="default" w:ascii="Times New Roman Bold" w:hAnsi="Times New Roman Bold" w:cs="Times New Roman Bold"/>
          <w:b/>
          <w:bCs/>
          <w:color w:val="auto"/>
          <w:sz w:val="24"/>
          <w:szCs w:val="24"/>
          <w:u w:val="none"/>
          <w:vertAlign w:val="baseline"/>
        </w:rPr>
        <w:t>lanhai8696@126.com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vertAlign w:val="baseline"/>
        </w:rPr>
        <w:t xml:space="preserve"> (H.L.); </w:t>
      </w:r>
      <w:r>
        <w:rPr>
          <w:rFonts w:hint="default" w:ascii="Times New Roman Bold" w:hAnsi="Times New Roman Bold" w:cs="Times New Roman Bold"/>
          <w:b/>
          <w:bCs/>
          <w:color w:val="auto"/>
          <w:sz w:val="24"/>
          <w:szCs w:val="24"/>
          <w:u w:val="none"/>
          <w:vertAlign w:val="baseline"/>
        </w:rPr>
        <w:t>laiyong8879@163.com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vertAlign w:val="baseline"/>
        </w:rPr>
        <w:t xml:space="preserve"> (Y.L.); Tel.: 0872-2257412 (Y.L.)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  <w:vertAlign w:val="superscript"/>
        </w:rPr>
        <w:t>†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These authors contributed equally to this work.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 xml:space="preserve">Table S1.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Effects of scutellarin on gut microbiota diversity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groups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Chao1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Shannon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pielou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Normal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2376.11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vertAlign w:val="baseline"/>
              </w:rPr>
              <w:t xml:space="preserve"> ±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 80.57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8.68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vertAlign w:val="baseline"/>
              </w:rPr>
              <w:t xml:space="preserve">±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1.57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0.62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vertAlign w:val="baseline"/>
              </w:rPr>
              <w:t>±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 0.021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Scutellarin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120.7.84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vertAlign w:val="baseline"/>
              </w:rPr>
              <w:t xml:space="preserve">±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56.39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6.61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vertAlign w:val="baseline"/>
              </w:rPr>
              <w:t xml:space="preserve">±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0.94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0.51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vertAlign w:val="baseline"/>
              </w:rPr>
              <w:t xml:space="preserve">±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0.073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</w:rPr>
              <w:t>*</w:t>
            </w:r>
          </w:p>
        </w:tc>
      </w:tr>
    </w:tbl>
    <w:p>
      <w:pPr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  <w:vertAlign w:val="superscript"/>
        </w:rPr>
        <w:t>*</w:t>
      </w:r>
      <w:r>
        <w:rPr>
          <w:rFonts w:hint="default" w:ascii="Times New Roman Regular" w:hAnsi="Times New Roman Regular" w:cs="Times New Roman Regular"/>
        </w:rPr>
        <w:t xml:space="preserve">P &lt; 0.05, </w:t>
      </w:r>
      <w:r>
        <w:rPr>
          <w:rFonts w:hint="default" w:ascii="Times New Roman Regular" w:hAnsi="Times New Roman Regular" w:cs="Times New Roman Regular"/>
          <w:vertAlign w:val="superscript"/>
        </w:rPr>
        <w:t>**</w:t>
      </w:r>
      <w:r>
        <w:rPr>
          <w:rFonts w:hint="default" w:ascii="Times New Roman Regular" w:hAnsi="Times New Roman Regular" w:cs="Times New Roman Regular"/>
        </w:rPr>
        <w:t>P &lt; 0.01, compared to Normal group.</w:t>
      </w:r>
    </w:p>
    <w:p>
      <w:pPr>
        <w:rPr>
          <w:rFonts w:hint="default" w:ascii="Times New Roman Regular" w:hAnsi="Times New Roman Regular" w:cs="Times New Roman Regular"/>
        </w:rPr>
      </w:pP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 xml:space="preserve">Table S2. </w:t>
      </w:r>
      <w:r>
        <w:rPr>
          <w:rFonts w:hint="default" w:ascii="Times New Roman Regular" w:hAnsi="Times New Roman Regular" w:cs="Times New Roman Regular"/>
          <w:sz w:val="24"/>
          <w:szCs w:val="24"/>
        </w:rPr>
        <w:t>The abundance of intestinal flora at genus level</w:t>
      </w:r>
    </w:p>
    <w:tbl>
      <w:tblPr>
        <w:tblStyle w:val="4"/>
        <w:tblW w:w="8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10"/>
        <w:gridCol w:w="1065"/>
        <w:gridCol w:w="765"/>
        <w:gridCol w:w="765"/>
        <w:gridCol w:w="765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OTU ID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</w:p>
        </w:tc>
        <w:tc>
          <w:tcPr>
            <w:tcW w:w="7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</w:t>
            </w:r>
          </w:p>
        </w:tc>
        <w:tc>
          <w:tcPr>
            <w:tcW w:w="7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</w:t>
            </w:r>
          </w:p>
        </w:tc>
        <w:tc>
          <w:tcPr>
            <w:tcW w:w="7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Lactobacillus</w:t>
            </w:r>
          </w:p>
        </w:tc>
        <w:tc>
          <w:tcPr>
            <w:tcW w:w="10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0.500867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0.035891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0.114323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0.123995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0.166792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Bacteroides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0.325152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0.201796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0.194801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0.269206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0.211079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Akkermansia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0.006324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0.004754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0.003299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0.054018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Bifidobacterium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0.003004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0.000154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0.015629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0.007812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Oscillospira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0.003750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0.016559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0.003497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0.004179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Parabacteroides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0.003633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0.009282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0.008691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0.016365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Ruminococcus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0.001289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0.014863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0.004883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0.009767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Prevotella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0.001075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0.006598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0.005697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0.012761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Flexispira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0.009050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0.009815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0.003062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0.002422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Desulfovibrio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0.002064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0.003982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0.001056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0.013013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Adlercreutzia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0.001909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0.004331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0.002665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0.002335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[Ruminococcus]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0.001192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0.004176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0.004399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0.002180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Odoribacter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0.010038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Sutterella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0.000339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0.001657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0.002703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0.000688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Clostridium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0.000581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0.001221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0.005038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AF12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0.004767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0.001066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[Prevotella]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0.000504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0.003604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0.000727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0.000349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Helicobacter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0.001773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0.000533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0.000678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Allobaculum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0.000194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Alistipes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0.000368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0.000504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0.000911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Coprococcus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0.000514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0.000543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0.000581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rc4-4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0.001967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Coprobacillus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0.000349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Blautia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Trabulsiella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0.000979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Dorea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0.000533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0.000252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Cupriavidus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Turicibacter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Dehalobacterium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PseudoramibacterEubacterium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Enterococcus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0.000087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Butyricicoccus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0.000194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0.000155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CandidatusPhlomobacter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Streptococcus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0.000078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Anaerotruncus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0.000165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0.000126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Wolbachia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0.000097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Lactococcus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0.000194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Proteus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0.000203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Sphingomonas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0.000029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11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Roseburia</w:t>
            </w:r>
          </w:p>
        </w:tc>
        <w:tc>
          <w:tcPr>
            <w:tcW w:w="10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0.000203</w:t>
            </w:r>
          </w:p>
        </w:tc>
        <w:tc>
          <w:tcPr>
            <w:tcW w:w="7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  <w:tc>
          <w:tcPr>
            <w:tcW w:w="7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 xml:space="preserve">Table S3.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Liver pathology score standard</w:t>
      </w:r>
    </w:p>
    <w:tbl>
      <w:tblPr>
        <w:tblStyle w:val="5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661"/>
        <w:gridCol w:w="576"/>
        <w:gridCol w:w="3709"/>
      </w:tblGrid>
      <w:tr>
        <w:tc>
          <w:tcPr>
            <w:tcW w:w="4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Necrosis</w:t>
            </w:r>
          </w:p>
        </w:tc>
        <w:tc>
          <w:tcPr>
            <w:tcW w:w="4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Inflammatory cell infiltration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rate</w:t>
            </w:r>
          </w:p>
        </w:tc>
        <w:tc>
          <w:tcPr>
            <w:tcW w:w="387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description</w:t>
            </w:r>
          </w:p>
        </w:tc>
        <w:tc>
          <w:tcPr>
            <w:tcW w:w="35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rate</w:t>
            </w:r>
          </w:p>
        </w:tc>
        <w:tc>
          <w:tcPr>
            <w:tcW w:w="390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0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No necrosis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0</w:t>
            </w:r>
          </w:p>
        </w:tc>
        <w:tc>
          <w:tcPr>
            <w:tcW w:w="39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No inflammatory cell infiltration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Mild necrosis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39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Mild inflammatory cell infiltration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Moderate necrosis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2</w:t>
            </w:r>
          </w:p>
        </w:tc>
        <w:tc>
          <w:tcPr>
            <w:tcW w:w="39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Moderate inflammatory cell infiltration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3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Severe necrosis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3</w:t>
            </w:r>
          </w:p>
        </w:tc>
        <w:tc>
          <w:tcPr>
            <w:tcW w:w="390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  <w:t>Severe inflammatory cell infiltration</w:t>
            </w: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rPr>
          <w:rFonts w:hint="default" w:ascii="Times New Roman Bold" w:hAnsi="Times New Roman Bold" w:cs="Times New Roman Bold"/>
          <w:b/>
          <w:bCs/>
          <w:sz w:val="24"/>
          <w:szCs w:val="24"/>
        </w:rPr>
      </w:pPr>
    </w:p>
    <w:p>
      <w:pPr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drawing>
          <wp:inline distT="0" distB="0" distL="114300" distR="114300">
            <wp:extent cx="5269230" cy="3597910"/>
            <wp:effectExtent l="0" t="0" r="13970" b="8890"/>
            <wp:docPr id="1" name="图片 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标题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 xml:space="preserve">Figure S1.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Effects of scutellarin on gut microbiota composition. (A) Phylum level and (B) genus level.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rdpbvAdvPTime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mlphnAdvPSMP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&amp;quo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TimesNewRomanPS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STIX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elugu Sangam MN">
    <w:panose1 w:val="00000500000000000000"/>
    <w:charset w:val="00"/>
    <w:family w:val="auto"/>
    <w:pitch w:val="default"/>
    <w:sig w:usb0="00200001" w:usb1="00000000" w:usb2="00000000" w:usb3="00000000" w:csb0="00000001" w:csb1="00000000"/>
  </w:font>
  <w:font w:name="Tsukushi A Round Gothic">
    <w:panose1 w:val="02020400000000000000"/>
    <w:charset w:val="80"/>
    <w:family w:val="auto"/>
    <w:pitch w:val="default"/>
    <w:sig w:usb0="800002CF" w:usb1="68C7FCFC" w:usb2="00000012" w:usb3="00000000" w:csb0="00020005" w:csb1="00000000"/>
  </w:font>
  <w:font w:name="Bangla MN">
    <w:panose1 w:val="00000500000000000000"/>
    <w:charset w:val="00"/>
    <w:family w:val="auto"/>
    <w:pitch w:val="default"/>
    <w:sig w:usb0="00010001" w:usb1="00000000" w:usb2="00000000" w:usb3="00000000" w:csb0="00000001" w:csb1="00000000"/>
  </w:font>
  <w:font w:name="Baghdad">
    <w:panose1 w:val="01000500000000020004"/>
    <w:charset w:val="00"/>
    <w:family w:val="auto"/>
    <w:pitch w:val="default"/>
    <w:sig w:usb0="80002003" w:usb1="80000000" w:usb2="00000008" w:usb3="00000000" w:csb0="00000000" w:csb1="00000000"/>
  </w:font>
  <w:font w:name="Big Caslon">
    <w:panose1 w:val="02000603090000020003"/>
    <w:charset w:val="00"/>
    <w:family w:val="auto"/>
    <w:pitch w:val="default"/>
    <w:sig w:usb0="80000063" w:usb1="00000000" w:usb2="00000000" w:usb3="00000000" w:csb0="200001FB" w:csb1="CDFC0000"/>
  </w:font>
  <w:font w:name="Bodoni 72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Bodoni Ornaments">
    <w:panose1 w:val="00000400000000000000"/>
    <w:charset w:val="00"/>
    <w:family w:val="auto"/>
    <w:pitch w:val="default"/>
    <w:sig w:usb0="80000083" w:usb1="08000048" w:usb2="14000000" w:usb3="00000000" w:csb0="00000001" w:csb1="00000000"/>
  </w:font>
  <w:font w:name="Bodoni 72 Smallcaps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Bodoni 72 Oldstyle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Noto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General">
    <w:panose1 w:val="00000000000000000000"/>
    <w:charset w:val="00"/>
    <w:family w:val="auto"/>
    <w:pitch w:val="default"/>
    <w:sig w:usb0="A00002FF" w:usb1="4203FDFF" w:usb2="02000020" w:usb3="00000000" w:csb0="A00001FF" w:csb1="DFFF0000"/>
  </w:font>
  <w:font w:name="HelveticaNeueLTSt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AdvOT7fb33346.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7fb33346.I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ymjkvAdvTir_sym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兰亭黑-简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VrskrsAdvPTimes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新魏">
    <w:altName w:val="苹方-简"/>
    <w:panose1 w:val="02010800040101010101"/>
    <w:charset w:val="00"/>
    <w:family w:val="auto"/>
    <w:pitch w:val="default"/>
    <w:sig w:usb0="00000000" w:usb1="00000000" w:usb2="00000010" w:usb3="00000000" w:csb0="0004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Apple Braille">
    <w:panose1 w:val="05000000000000000000"/>
    <w:charset w:val="00"/>
    <w:family w:val="auto"/>
    <w:pitch w:val="default"/>
    <w:sig w:usb0="80000040" w:usb1="00000000" w:usb2="0004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dvTT5235d5a9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LiHei Pro Medium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Apple SD Gothic Neo Regular">
    <w:panose1 w:val="02000300000000000000"/>
    <w:charset w:val="81"/>
    <w:family w:val="auto"/>
    <w:pitch w:val="default"/>
    <w:sig w:usb0="00000203" w:usb1="21D12C10" w:usb2="00000010" w:usb3="00000000" w:csb0="00280005" w:csb1="00000000"/>
  </w:font>
  <w:font w:name="LiSong Pro Light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URWPalladio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dale Mono">
    <w:panose1 w:val="020B0509000000000004"/>
    <w:charset w:val="00"/>
    <w:family w:val="auto"/>
    <w:pitch w:val="default"/>
    <w:sig w:usb0="00000287" w:usb1="00000000" w:usb2="00000000" w:usb3="00000000" w:csb0="6000009F" w:csb1="DFD70000"/>
  </w:font>
  <w:font w:name="Lubalin Mediu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系统字体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5FE9462"/>
    <w:rsid w:val="2BAA8D6A"/>
    <w:rsid w:val="3B8A83C9"/>
    <w:rsid w:val="3C9F5FE6"/>
    <w:rsid w:val="4FF34CA9"/>
    <w:rsid w:val="57FF9F99"/>
    <w:rsid w:val="5BFBCCD2"/>
    <w:rsid w:val="5DDFAF70"/>
    <w:rsid w:val="7E7FDDAB"/>
    <w:rsid w:val="B5FE9462"/>
    <w:rsid w:val="CF7F0C1B"/>
    <w:rsid w:val="D7DF2A20"/>
    <w:rsid w:val="EF3F61B9"/>
    <w:rsid w:val="EFBA40AB"/>
    <w:rsid w:val="EFF62DD3"/>
    <w:rsid w:val="FBEFEC93"/>
    <w:rsid w:val="FBFBC8EB"/>
    <w:rsid w:val="FFB584FC"/>
    <w:rsid w:val="FFC84596"/>
    <w:rsid w:val="FFDF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2020-08-05T22:51:00Z</dcterms:created>
  <dc:creator>mzmdsg</dc:creator>
  <cp:lastModifiedBy>mzmdsg</cp:lastModifiedBy>
  <dcterms:modified xsi:type="dcterms:W3CDTF">2020-08-18T09:15:01Z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