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DD8" w:rsidRPr="005239ED" w:rsidRDefault="001826E1" w:rsidP="00DB28F5">
      <w:pPr>
        <w:jc w:val="center"/>
        <w:rPr>
          <w:rFonts w:ascii="Arial" w:hAnsi="Arial" w:cs="Arial"/>
          <w:sz w:val="24"/>
          <w:szCs w:val="24"/>
        </w:rPr>
      </w:pPr>
      <w:r w:rsidRPr="005239ED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C72D8E" wp14:editId="432B5676">
                <wp:simplePos x="0" y="0"/>
                <wp:positionH relativeFrom="margin">
                  <wp:align>center</wp:align>
                </wp:positionH>
                <wp:positionV relativeFrom="paragraph">
                  <wp:posOffset>211810</wp:posOffset>
                </wp:positionV>
                <wp:extent cx="6941998" cy="460375"/>
                <wp:effectExtent l="0" t="0" r="0" b="0"/>
                <wp:wrapNone/>
                <wp:docPr id="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1998" cy="460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826E1" w:rsidRPr="005239ED" w:rsidRDefault="005239ED" w:rsidP="001826E1">
                            <w:pPr>
                              <w:pStyle w:val="a5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5239ED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 xml:space="preserve">Table 4. Visual acuities </w:t>
                            </w:r>
                            <w:r w:rsidR="001826E1" w:rsidRPr="005239ED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among the two groups after trifocal intraocular lens implantation</w:t>
                            </w:r>
                            <w:r w:rsidR="001826E1" w:rsidRPr="005239ED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（</w:t>
                            </w:r>
                            <w:r w:rsidR="001826E1" w:rsidRPr="005239ED">
                              <w:rPr>
                                <w:rFonts w:ascii="Arial" w:eastAsiaTheme="minorEastAsia" w:hAnsi="Arial" w:cs="Arial"/>
                                <w:color w:val="000000"/>
                                <w:kern w:val="24"/>
                              </w:rPr>
                              <w:t>Log MAR)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BC72D8E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0;margin-top:16.7pt;width:546.6pt;height:36.25pt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U3hmgEAAPkCAAAOAAAAZHJzL2Uyb0RvYy54bWysUktu2zAQ3QfoHQjua8mJ68SC5aBBkG6K&#10;pkCSA9AUaREQOQyHtuQLtDfIKpvsey6fI0PacYp2V3TDz8ybxzdvOL8cbMc2KqABV/PxqORMOQmN&#10;cauaP9zffLzgDKNwjejAqZpvFfLLxYeTee8rdQotdI0KjEgcVr2veRujr4oCZauswBF45SipIVgR&#10;6RpWRRNET+y2K07Lclr0EBofQCpEil7vk3yR+bVWMt5qjSqyruakLeY15HWZ1mIxF9UqCN8aeZAh&#10;/kGFFcbRo0eqaxEFWwfzF5U1MgCCjiMJtgCtjVS5B+pmXP7RzV0rvMq9kDnojzbh/6OV3zbfAzNN&#10;zSecOWFpRLunn7vnX7uXH+ws2dN7rAh15wkXhysYaMxvcaRg6nrQwaad+mGUJ6O3R3PVEJmk4HQ2&#10;Gc9m9B0k5SbT8uz8U6Ip3qt9wPhFgWXpUPNAw8ueis1XjHvoG4Tqkq79++kUh+VwELuEZktaexpq&#10;zfFxLULyUBD48zrCjclUqWYPPFCRv1nM4S+kAf5+z6j3H7t4BQAA//8DAFBLAwQUAAYACAAAACEA&#10;mTlv2NwAAAAIAQAADwAAAGRycy9kb3ducmV2LnhtbEyPzU7DMBCE70i8g7VI3KjdhiIa4lQVPxIH&#10;Li3hvo2XOCJeR7HbpG+Pc4LbrGY1802xnVwnzjSE1rOG5UKBIK69abnRUH2+3T2CCBHZYOeZNFwo&#10;wLa8viowN37kPZ0PsREphEOOGmyMfS5lqC05DAvfEyfv2w8OYzqHRpoBxxTuOrlS6kE6bDk1WOzp&#10;2VL9czg5DTGa3fJSvbrw/jV9vIxW1WustL69mXZPICJN8e8ZZvyEDmViOvoTmyA6DWlI1JBl9yBm&#10;V22yFYjjrNYbkGUh/w8ofwEAAP//AwBQSwECLQAUAAYACAAAACEAtoM4kv4AAADhAQAAEwAAAAAA&#10;AAAAAAAAAAAAAAAAW0NvbnRlbnRfVHlwZXNdLnhtbFBLAQItABQABgAIAAAAIQA4/SH/1gAAAJQB&#10;AAALAAAAAAAAAAAAAAAAAC8BAABfcmVscy8ucmVsc1BLAQItABQABgAIAAAAIQCsMU3hmgEAAPkC&#10;AAAOAAAAAAAAAAAAAAAAAC4CAABkcnMvZTJvRG9jLnhtbFBLAQItABQABgAIAAAAIQCZOW/Y3AAA&#10;AAgBAAAPAAAAAAAAAAAAAAAAAPQDAABkcnMvZG93bnJldi54bWxQSwUGAAAAAAQABADzAAAA/QQA&#10;AAAA&#10;" filled="f" stroked="f">
                <v:textbox style="mso-fit-shape-to-text:t">
                  <w:txbxContent>
                    <w:p w:rsidR="001826E1" w:rsidRPr="005239ED" w:rsidRDefault="005239ED" w:rsidP="001826E1">
                      <w:pPr>
                        <w:pStyle w:val="a5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5239ED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 xml:space="preserve">Table 4. Visual acuities </w:t>
                      </w:r>
                      <w:r w:rsidR="001826E1" w:rsidRPr="005239ED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among the two groups after trifocal intraocular lens implantation</w:t>
                      </w:r>
                      <w:r w:rsidR="001826E1" w:rsidRPr="005239ED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（</w:t>
                      </w:r>
                      <w:r w:rsidR="001826E1" w:rsidRPr="005239ED">
                        <w:rPr>
                          <w:rFonts w:ascii="Arial" w:eastAsiaTheme="minorEastAsia" w:hAnsi="Arial" w:cs="Arial"/>
                          <w:color w:val="000000"/>
                          <w:kern w:val="24"/>
                        </w:rPr>
                        <w:t>Log MAR)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28F5" w:rsidRPr="005239ED" w:rsidRDefault="00DB28F5" w:rsidP="00E16715">
      <w:pPr>
        <w:rPr>
          <w:rFonts w:ascii="Arial" w:hAnsi="Arial" w:cs="Arial"/>
          <w:sz w:val="24"/>
          <w:szCs w:val="24"/>
        </w:rPr>
      </w:pPr>
    </w:p>
    <w:tbl>
      <w:tblPr>
        <w:tblpPr w:leftFromText="180" w:rightFromText="180" w:vertAnchor="text" w:horzAnchor="margin" w:tblpXSpec="center" w:tblpY="218"/>
        <w:tblW w:w="955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5"/>
        <w:gridCol w:w="2191"/>
        <w:gridCol w:w="2191"/>
        <w:gridCol w:w="1681"/>
      </w:tblGrid>
      <w:tr w:rsidR="009C31A1" w:rsidRPr="005239ED" w:rsidTr="009C31A1">
        <w:trPr>
          <w:trHeight w:val="516"/>
        </w:trPr>
        <w:tc>
          <w:tcPr>
            <w:tcW w:w="3495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Parameter</w:t>
            </w:r>
          </w:p>
        </w:tc>
        <w:tc>
          <w:tcPr>
            <w:tcW w:w="2191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Control group</w:t>
            </w:r>
          </w:p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2191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Study group</w:t>
            </w:r>
          </w:p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681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9C31A1" w:rsidRPr="005239ED" w:rsidTr="009C31A1">
        <w:trPr>
          <w:trHeight w:val="402"/>
        </w:trPr>
        <w:tc>
          <w:tcPr>
            <w:tcW w:w="349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5239ED">
            <w:pPr>
              <w:widowControl/>
              <w:spacing w:before="100" w:beforeAutospacing="1" w:after="100" w:afterAutospacing="1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Binocular-UDVA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0.020±0.040</w:t>
            </w:r>
          </w:p>
        </w:tc>
        <w:tc>
          <w:tcPr>
            <w:tcW w:w="2191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0.025±0.098</w:t>
            </w:r>
          </w:p>
        </w:tc>
        <w:tc>
          <w:tcPr>
            <w:tcW w:w="1681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0.432</w:t>
            </w:r>
          </w:p>
        </w:tc>
      </w:tr>
      <w:tr w:rsidR="009C31A1" w:rsidRPr="005239ED" w:rsidTr="009C31A1">
        <w:trPr>
          <w:trHeight w:val="416"/>
        </w:trPr>
        <w:tc>
          <w:tcPr>
            <w:tcW w:w="349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Binocular-UIVA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0.024±0.066</w:t>
            </w: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0.045±0.084</w:t>
            </w:r>
          </w:p>
        </w:tc>
        <w:tc>
          <w:tcPr>
            <w:tcW w:w="168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0.485</w:t>
            </w:r>
          </w:p>
        </w:tc>
      </w:tr>
      <w:tr w:rsidR="009C31A1" w:rsidRPr="005239ED" w:rsidTr="009C31A1">
        <w:trPr>
          <w:trHeight w:val="372"/>
        </w:trPr>
        <w:tc>
          <w:tcPr>
            <w:tcW w:w="349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5239ED">
            <w:pPr>
              <w:widowControl/>
              <w:spacing w:before="100" w:beforeAutospacing="1" w:after="100" w:afterAutospacing="1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Binocular-UNVA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0.072±0.057</w:t>
            </w: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0.124±0.121</w:t>
            </w:r>
          </w:p>
        </w:tc>
        <w:tc>
          <w:tcPr>
            <w:tcW w:w="168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0.012*</w:t>
            </w:r>
          </w:p>
        </w:tc>
      </w:tr>
      <w:tr w:rsidR="009C31A1" w:rsidRPr="005239ED" w:rsidTr="009C31A1">
        <w:trPr>
          <w:trHeight w:val="724"/>
        </w:trPr>
        <w:tc>
          <w:tcPr>
            <w:tcW w:w="349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Right-UDVA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0.035±0.070</w:t>
            </w: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0.058±0.122</w:t>
            </w:r>
          </w:p>
        </w:tc>
        <w:tc>
          <w:tcPr>
            <w:tcW w:w="168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0.852</w:t>
            </w:r>
          </w:p>
        </w:tc>
      </w:tr>
      <w:tr w:rsidR="009C31A1" w:rsidRPr="005239ED" w:rsidTr="009C31A1">
        <w:trPr>
          <w:trHeight w:val="735"/>
        </w:trPr>
        <w:tc>
          <w:tcPr>
            <w:tcW w:w="349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Right-UIVA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0.045±0.069</w:t>
            </w: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0.070±0.091</w:t>
            </w:r>
          </w:p>
        </w:tc>
        <w:tc>
          <w:tcPr>
            <w:tcW w:w="168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0.379</w:t>
            </w:r>
          </w:p>
        </w:tc>
      </w:tr>
      <w:tr w:rsidR="009C31A1" w:rsidRPr="005239ED" w:rsidTr="009C31A1">
        <w:trPr>
          <w:trHeight w:val="709"/>
        </w:trPr>
        <w:tc>
          <w:tcPr>
            <w:tcW w:w="349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Right-UNVA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0.112±0.072</w:t>
            </w: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0.157±0.090</w:t>
            </w:r>
          </w:p>
        </w:tc>
        <w:tc>
          <w:tcPr>
            <w:tcW w:w="168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0.048*</w:t>
            </w:r>
          </w:p>
        </w:tc>
      </w:tr>
      <w:tr w:rsidR="009C31A1" w:rsidRPr="005239ED" w:rsidTr="009C31A1">
        <w:trPr>
          <w:trHeight w:val="668"/>
        </w:trPr>
        <w:tc>
          <w:tcPr>
            <w:tcW w:w="349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Left-UDVA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0.036±0.070</w:t>
            </w: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0.035±0.033</w:t>
            </w:r>
          </w:p>
        </w:tc>
        <w:tc>
          <w:tcPr>
            <w:tcW w:w="168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0.642</w:t>
            </w:r>
          </w:p>
        </w:tc>
      </w:tr>
      <w:tr w:rsidR="009C31A1" w:rsidRPr="005239ED" w:rsidTr="009C31A1">
        <w:trPr>
          <w:trHeight w:val="533"/>
        </w:trPr>
        <w:tc>
          <w:tcPr>
            <w:tcW w:w="349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Left-UIVA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0.066±0.064</w:t>
            </w:r>
          </w:p>
        </w:tc>
        <w:tc>
          <w:tcPr>
            <w:tcW w:w="21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0.083±0.083</w:t>
            </w:r>
          </w:p>
        </w:tc>
        <w:tc>
          <w:tcPr>
            <w:tcW w:w="168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0.710</w:t>
            </w:r>
          </w:p>
        </w:tc>
      </w:tr>
      <w:tr w:rsidR="009C31A1" w:rsidRPr="005239ED" w:rsidTr="009C31A1">
        <w:trPr>
          <w:trHeight w:val="430"/>
        </w:trPr>
        <w:tc>
          <w:tcPr>
            <w:tcW w:w="3495" w:type="dxa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Left-UNVA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191" w:type="dxa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0.115±0.078</w:t>
            </w:r>
          </w:p>
        </w:tc>
        <w:tc>
          <w:tcPr>
            <w:tcW w:w="2191" w:type="dxa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0.155±0.150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C31A1" w:rsidRPr="005239ED" w:rsidRDefault="009C31A1" w:rsidP="00271FC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39E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0.119</w:t>
            </w:r>
          </w:p>
        </w:tc>
      </w:tr>
    </w:tbl>
    <w:p w:rsidR="00E16715" w:rsidRPr="005239ED" w:rsidRDefault="000438CA" w:rsidP="00E16715">
      <w:pPr>
        <w:rPr>
          <w:rFonts w:ascii="Arial" w:hAnsi="Arial" w:cs="Arial"/>
          <w:sz w:val="24"/>
          <w:szCs w:val="24"/>
        </w:rPr>
      </w:pPr>
      <w:r w:rsidRPr="005239ED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502848" wp14:editId="37263224">
                <wp:simplePos x="0" y="0"/>
                <wp:positionH relativeFrom="margin">
                  <wp:align>center</wp:align>
                </wp:positionH>
                <wp:positionV relativeFrom="paragraph">
                  <wp:posOffset>6272751</wp:posOffset>
                </wp:positionV>
                <wp:extent cx="7205703" cy="695739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5703" cy="69573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826E1" w:rsidRPr="005239ED" w:rsidRDefault="001826E1" w:rsidP="005239ED">
                            <w:pPr>
                              <w:pStyle w:val="a5"/>
                              <w:spacing w:before="0" w:beforeAutospacing="0" w:after="0" w:afterAutospacing="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5239ED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>UDVA = uncorrected distance visual acuity; UIVA = uncorrected intermediate visual acuity; UNVA = uncorrected near visual acuity; log MAR = logarithm of the minimal angle of resolution.</w:t>
                            </w:r>
                            <w:r w:rsidR="000438CA" w:rsidRPr="005239ED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</w:t>
                            </w:r>
                            <w:r w:rsidRPr="005239ED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Values presented as means ± standard deviations. </w:t>
                            </w:r>
                            <w:r w:rsidRPr="005239ED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5239ED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values less than 0.05 are considered statistically significant. *Statistically significant (</w:t>
                            </w:r>
                            <w:r w:rsidRPr="005239ED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5239ED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> &lt; 0.05)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502848" id="文本框 1" o:spid="_x0000_s1027" type="#_x0000_t202" style="position:absolute;left:0;text-align:left;margin-left:0;margin-top:493.9pt;width:567.4pt;height:54.8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4fomwEAAAADAAAOAAAAZHJzL2Uyb0RvYy54bWysUstOGzEU3VfqP1jeNzMJgpRRJogKtZsK&#10;kIAPcDx2xtLY1/V1MpMfKH/Aig17vivfwbUTQlV2iI0f93F8zrmenQ22Y2sV0ICr+XhUcqachMa4&#10;Zc3vbn9++84ZRuEa0YFTNd8o5Gfzr19mva/UBFroGhUYgTisel/zNkZfFQXKVlmBI/DKUVJDsCLS&#10;NSyLJoie0G1XTMrypOghND6AVIgUvdgl+Tzja61kvNIaVWRdzYlbzGvI6yKtxXwmqmUQvjVyT0N8&#10;gIUVxtGjB6gLEQVbBfMOyhoZAEHHkQRbgNZGqqyB1IzL/9TctMKrrIXMQX+wCT8PVl6urwMzTc0n&#10;nDlhaUTbh/vt4/P26S8bJ3t6jxVV3Xiqi8MPGGjMr3GkYFI96GDTTnoY5cnozcFcNUQmKTidlMfT&#10;8ogzSbmT0+Pp0WmCKd66fcD4S4Fl6VDzQMPLnor1b4y70tcS6ku8du+nUxwWQ5Zx4LaAZkOUe5pt&#10;zfHPSoRkpagcnK8iaJMRU+uucI9INmdO+y+R5vjvPVe9fdz5CwAAAP//AwBQSwMEFAAGAAgAAAAh&#10;AIh+Y8feAAAACgEAAA8AAABkcnMvZG93bnJldi54bWxMj8FOwzAQRO9I/QdrK3GjdiHQJsSpEIgr&#10;VQutxM2Nt0lEvI5itwl/3+0JbrOa0ey8fDW6VpyxD40nDfOZAoFUettQpeHr8/1uCSJEQ9a0nlDD&#10;LwZYFZOb3GTWD7TB8zZWgksoZEZDHWOXSRnKGp0JM98hsXf0vTORz76StjcDl7tW3iv1JJ1piD/U&#10;psPXGsuf7clp2H0cv/eJWldv7rEb/KgkuVRqfTsdX55BRBzjXxiu83k6FLzp4E9kg2g1MEjUkC4X&#10;DHC15w8JqwMrlS4SkEUu/yMUFwAAAP//AwBQSwECLQAUAAYACAAAACEAtoM4kv4AAADhAQAAEwAA&#10;AAAAAAAAAAAAAAAAAAAAW0NvbnRlbnRfVHlwZXNdLnhtbFBLAQItABQABgAIAAAAIQA4/SH/1gAA&#10;AJQBAAALAAAAAAAAAAAAAAAAAC8BAABfcmVscy8ucmVsc1BLAQItABQABgAIAAAAIQBT44fomwEA&#10;AAADAAAOAAAAAAAAAAAAAAAAAC4CAABkcnMvZTJvRG9jLnhtbFBLAQItABQABgAIAAAAIQCIfmPH&#10;3gAAAAoBAAAPAAAAAAAAAAAAAAAAAPUDAABkcnMvZG93bnJldi54bWxQSwUGAAAAAAQABADzAAAA&#10;AAUAAAAA&#10;" filled="f" stroked="f">
                <v:textbox>
                  <w:txbxContent>
                    <w:p w:rsidR="001826E1" w:rsidRPr="005239ED" w:rsidRDefault="001826E1" w:rsidP="005239ED">
                      <w:pPr>
                        <w:pStyle w:val="a5"/>
                        <w:spacing w:before="0" w:beforeAutospacing="0" w:after="0" w:afterAutospacing="0"/>
                        <w:jc w:val="both"/>
                        <w:rPr>
                          <w:rFonts w:ascii="Arial" w:hAnsi="Arial" w:cs="Arial"/>
                        </w:rPr>
                      </w:pPr>
                      <w:r w:rsidRPr="005239ED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>UDVA = uncorrected distance visual acuity; UIVA = uncorrected intermediate visual acuity; UNVA = uncorrected near visual acuity; log MAR = logarithm of the minimal angle of resolution.</w:t>
                      </w:r>
                      <w:r w:rsidR="000438CA" w:rsidRPr="005239ED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</w:t>
                      </w:r>
                      <w:r w:rsidRPr="005239ED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Values presented as means ± standard deviations. </w:t>
                      </w:r>
                      <w:r w:rsidRPr="005239ED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5239ED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values less than 0.05 are considered statistically significant. *Statistically significant (</w:t>
                      </w:r>
                      <w:r w:rsidRPr="005239ED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5239ED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> &lt; 0.05)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16715" w:rsidRPr="005239ED" w:rsidRDefault="00E16715" w:rsidP="00E16715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E16715" w:rsidRPr="005239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372F" w:rsidRDefault="00AA372F" w:rsidP="00DB28F5">
      <w:r>
        <w:separator/>
      </w:r>
    </w:p>
  </w:endnote>
  <w:endnote w:type="continuationSeparator" w:id="0">
    <w:p w:rsidR="00AA372F" w:rsidRDefault="00AA372F" w:rsidP="00DB2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372F" w:rsidRDefault="00AA372F" w:rsidP="00DB28F5">
      <w:r>
        <w:separator/>
      </w:r>
    </w:p>
  </w:footnote>
  <w:footnote w:type="continuationSeparator" w:id="0">
    <w:p w:rsidR="00AA372F" w:rsidRDefault="00AA372F" w:rsidP="00DB28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0A2"/>
    <w:rsid w:val="000438CA"/>
    <w:rsid w:val="001826E1"/>
    <w:rsid w:val="001C75D1"/>
    <w:rsid w:val="00271FCF"/>
    <w:rsid w:val="003111C0"/>
    <w:rsid w:val="005239ED"/>
    <w:rsid w:val="005670A2"/>
    <w:rsid w:val="008425F5"/>
    <w:rsid w:val="009053E1"/>
    <w:rsid w:val="00967DD8"/>
    <w:rsid w:val="009C31A1"/>
    <w:rsid w:val="00AA372F"/>
    <w:rsid w:val="00AE67A3"/>
    <w:rsid w:val="00DB28F5"/>
    <w:rsid w:val="00E16715"/>
    <w:rsid w:val="00EE6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CCDED3-B38E-4540-A811-EA7DD45E1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28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28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28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28F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B28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E167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0438C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38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8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9</cp:revision>
  <dcterms:created xsi:type="dcterms:W3CDTF">2024-12-27T08:41:00Z</dcterms:created>
  <dcterms:modified xsi:type="dcterms:W3CDTF">2025-01-13T01:00:00Z</dcterms:modified>
</cp:coreProperties>
</file>