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9AC5" w14:textId="2D0D264D" w:rsidR="00782C07" w:rsidRPr="00DA14B5" w:rsidRDefault="00782C07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 xml:space="preserve">Journal name: </w:t>
      </w:r>
      <w:r w:rsidRPr="00DA14B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 xml:space="preserve">Annals of </w:t>
      </w:r>
      <w:proofErr w:type="spellStart"/>
      <w:r w:rsidRPr="00DA14B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>Hematology</w:t>
      </w:r>
      <w:proofErr w:type="spellEnd"/>
    </w:p>
    <w:p w14:paraId="7FC6DBE0" w14:textId="77777777" w:rsidR="00782C07" w:rsidRPr="00DA14B5" w:rsidRDefault="00782C07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p w14:paraId="569C9914" w14:textId="2E17189A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Comparison between Pola-R-CHP and R-CHOP regimens in patients newly diagnosed with diffuse large B-cell lymphoma:</w:t>
      </w:r>
      <w:r w:rsidRPr="00DA14B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DA14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a propensity score</w:t>
      </w:r>
      <w:r w:rsidRPr="00DA14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noBreakHyphen/>
        <w:t>matched study</w:t>
      </w:r>
    </w:p>
    <w:p w14:paraId="50A981CF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11E5D179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Yohei </w:t>
      </w:r>
      <w:proofErr w:type="spellStart"/>
      <w:proofErr w:type="gram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Sasaki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a,b</w:t>
      </w:r>
      <w:proofErr w:type="spellEnd"/>
      <w:proofErr w:type="gram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,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*, Manabu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Matsunawa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Hidenori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Hayashi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Natsuki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Kawamata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Kazuki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Nagao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Kai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Kuroiwa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Hinako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Narita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Reiko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Okamura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Shotaro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Shimada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Megumi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Watanuki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Nana Arai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Yukiko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Kawaguchi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Kouji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Yanagisawa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and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Norimichi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Hattori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proofErr w:type="spellEnd"/>
    </w:p>
    <w:p w14:paraId="38A1B851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</w:p>
    <w:p w14:paraId="2F28DF75" w14:textId="77777777" w:rsidR="003B0EB1" w:rsidRPr="00DA14B5" w:rsidRDefault="003B0EB1" w:rsidP="003B0EB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Division of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Hematology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Department of Medicine, Showa University School of Medicine, 1-5-8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Hatanodai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Shinagawa-Ku, Tokyo 142-8666, Japan</w:t>
      </w:r>
    </w:p>
    <w:p w14:paraId="4E1151C9" w14:textId="77777777" w:rsidR="003B0EB1" w:rsidRPr="00DA14B5" w:rsidRDefault="003B0EB1" w:rsidP="003B0EB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Department of Internal Medicine, Showa University Northern Yokohama Hospital, 35-1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Chigasakichuo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Tsuzuki-Ku, Yokohama-Shi, Kanagawa 224-8503, Japan</w:t>
      </w:r>
    </w:p>
    <w:p w14:paraId="097B7466" w14:textId="77777777" w:rsidR="003B0EB1" w:rsidRPr="00DA14B5" w:rsidRDefault="003B0EB1" w:rsidP="003B0EB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02D2181" w14:textId="77777777" w:rsidR="003B0EB1" w:rsidRPr="00DA14B5" w:rsidRDefault="003B0EB1" w:rsidP="003B0EB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*</w:t>
      </w: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ab/>
        <w:t>Corresponding Author: Yohei Sasaki</w:t>
      </w:r>
    </w:p>
    <w:p w14:paraId="3E6B3166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Division of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Hematology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Department of Medicine, Showa University School of Medicine, 1-5-8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Hatanodai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Shinagawa-Ku, Tokyo 142-8666, Japan</w:t>
      </w:r>
    </w:p>
    <w:p w14:paraId="3152E03C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Phone: +81-3-3784-8338</w:t>
      </w:r>
    </w:p>
    <w:p w14:paraId="537130E4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Fax: +81-3-3784-8250 </w:t>
      </w:r>
    </w:p>
    <w:p w14:paraId="386D8587" w14:textId="77777777" w:rsidR="003B0EB1" w:rsidRPr="00DA14B5" w:rsidRDefault="003B0EB1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E-mail: </w:t>
      </w:r>
      <w:hyperlink r:id="rId4" w:history="1">
        <w:r w:rsidRPr="00DA14B5">
          <w:rPr>
            <w:rStyle w:val="ab"/>
            <w:rFonts w:ascii="Times New Roman" w:eastAsia="Times New Roman" w:hAnsi="Times New Roman" w:cs="Times New Roman"/>
            <w:color w:val="467886"/>
            <w:sz w:val="20"/>
            <w:szCs w:val="20"/>
            <w:u w:val="single"/>
            <w:lang w:val="en-GB"/>
          </w:rPr>
          <w:t>ysasaki@med.showa-u.ac.jp</w:t>
        </w:r>
      </w:hyperlink>
    </w:p>
    <w:p w14:paraId="04EADE8E" w14:textId="63908245" w:rsidR="00131B69" w:rsidRPr="00DA14B5" w:rsidRDefault="00131B69" w:rsidP="003B0EB1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824D5B6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8E249DB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420F506D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557CB2DF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152F1EB2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55EA1E4F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1883ECDB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4D4EE88" w14:textId="77777777" w:rsidR="00DA14B5" w:rsidRPr="00DA14B5" w:rsidRDefault="00DA14B5" w:rsidP="003B0EB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39E28728" w14:textId="68852065" w:rsidR="00A5750F" w:rsidRPr="00DA14B5" w:rsidRDefault="00782C07" w:rsidP="003B0EB1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lastRenderedPageBreak/>
        <w:t>Online Resource 1. Characteristics of patients with DLBCL treated with Pola-R-CHP assessed using FISH and immunohistochemistry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"/>
        <w:gridCol w:w="3279"/>
        <w:gridCol w:w="264"/>
        <w:gridCol w:w="264"/>
        <w:gridCol w:w="264"/>
        <w:gridCol w:w="4170"/>
      </w:tblGrid>
      <w:tr w:rsidR="00782C07" w:rsidRPr="00DA14B5" w14:paraId="1A00645C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66ED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7BD2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F27E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9F8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8FD9F" w14:textId="3087CC71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Pola-R-CHP (n=86)</w:t>
            </w:r>
          </w:p>
        </w:tc>
      </w:tr>
      <w:tr w:rsidR="00782C07" w:rsidRPr="00DA14B5" w14:paraId="0D701FD1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D25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FISH analysis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F76C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C3B6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EF3F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1607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0131FFA7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1433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MYC</w:t>
            </w: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120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8E64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7FA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422B479C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B2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452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AC5B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70B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507A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A1A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(8)</w:t>
            </w:r>
          </w:p>
        </w:tc>
      </w:tr>
      <w:tr w:rsidR="00782C07" w:rsidRPr="00DA14B5" w14:paraId="310E93A3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70B8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139E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AEF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0BF6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D12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72BC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(41)</w:t>
            </w:r>
          </w:p>
        </w:tc>
      </w:tr>
      <w:tr w:rsidR="00782C07" w:rsidRPr="00DA14B5" w14:paraId="1ECD483C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B3A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3B70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91A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111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22C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FA1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44 (51)</w:t>
            </w:r>
          </w:p>
        </w:tc>
      </w:tr>
      <w:tr w:rsidR="00782C07" w:rsidRPr="00DA14B5" w14:paraId="5150535C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8F22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BCL2</w:t>
            </w: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E792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268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2D4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6B0BF2EA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ADC9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E7E5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129B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948B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8418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744E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 (14)</w:t>
            </w:r>
          </w:p>
        </w:tc>
      </w:tr>
      <w:tr w:rsidR="00782C07" w:rsidRPr="00DA14B5" w14:paraId="499607A4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F00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FCBB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6C64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793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663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AEBA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(41)</w:t>
            </w:r>
          </w:p>
        </w:tc>
      </w:tr>
      <w:tr w:rsidR="00782C07" w:rsidRPr="00DA14B5" w14:paraId="250AC093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F22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7D6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FD91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75CA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A800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F8FE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39 (45)</w:t>
            </w:r>
          </w:p>
        </w:tc>
      </w:tr>
      <w:tr w:rsidR="00782C07" w:rsidRPr="00DA14B5" w14:paraId="4814D838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A7AE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BCL6</w:t>
            </w: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rearrangement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8DB6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6248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469F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4ADF4456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7B0D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8E3E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Positive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EC8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B441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138E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942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 (7)</w:t>
            </w:r>
          </w:p>
        </w:tc>
      </w:tr>
      <w:tr w:rsidR="00782C07" w:rsidRPr="00DA14B5" w14:paraId="2DE33DB3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D7BD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5F1A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Negative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567C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AB5F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30CC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D546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 (17)</w:t>
            </w:r>
          </w:p>
        </w:tc>
      </w:tr>
      <w:tr w:rsidR="00782C07" w:rsidRPr="00DA14B5" w14:paraId="244AF6F9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CC2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C82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986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359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6555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4DDF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65 (76)</w:t>
            </w:r>
          </w:p>
        </w:tc>
      </w:tr>
      <w:tr w:rsidR="00782C07" w:rsidRPr="00DA14B5" w14:paraId="2A7736A0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6EA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MYC/BCL2</w:t>
            </w: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double hit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898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B35F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1FB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78594B98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6C6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72BF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EC6E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3E6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4790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4839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</w:tr>
      <w:tr w:rsidR="00782C07" w:rsidRPr="00DA14B5" w14:paraId="6CC2E116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5F0F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13F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E6D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88B9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0B58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14F1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42 (49)</w:t>
            </w:r>
          </w:p>
        </w:tc>
      </w:tr>
      <w:tr w:rsidR="00782C07" w:rsidRPr="00DA14B5" w14:paraId="40B4AB5A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0D3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2CDE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E51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BCE6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ABA7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0D8B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39 (45)</w:t>
            </w:r>
          </w:p>
        </w:tc>
      </w:tr>
      <w:tr w:rsidR="00782C07" w:rsidRPr="00DA14B5" w14:paraId="1F0DCCEB" w14:textId="77777777" w:rsidTr="00782C07">
        <w:trPr>
          <w:trHeight w:val="360"/>
        </w:trPr>
        <w:tc>
          <w:tcPr>
            <w:tcW w:w="23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E6F3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Immunohistochemistry analysis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654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3BC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502B341F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280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CD5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BEB3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5FE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A8F8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4F3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36149BBC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B735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5890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C8D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738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6A4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AE01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</w:tr>
      <w:tr w:rsidR="00782C07" w:rsidRPr="00DA14B5" w14:paraId="2C1DB237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743E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4CF2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B198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2EA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666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55E0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77 (89)</w:t>
            </w:r>
          </w:p>
        </w:tc>
      </w:tr>
      <w:tr w:rsidR="00782C07" w:rsidRPr="00DA14B5" w14:paraId="013985FB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B0A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8249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00BC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564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761A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9C2D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(6)</w:t>
            </w:r>
          </w:p>
        </w:tc>
      </w:tr>
      <w:tr w:rsidR="00782C07" w:rsidRPr="00DA14B5" w14:paraId="0A7D975D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5AD8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CD10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DCDA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A5C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3281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5B33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0466684B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47F2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F207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D1D2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4CD5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670D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32FE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25 (29)</w:t>
            </w:r>
          </w:p>
        </w:tc>
      </w:tr>
      <w:tr w:rsidR="00782C07" w:rsidRPr="00DA14B5" w14:paraId="5790BF8A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A52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24A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635A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59A4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CF96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99DB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61 (71)</w:t>
            </w:r>
          </w:p>
        </w:tc>
      </w:tr>
      <w:tr w:rsidR="00782C07" w:rsidRPr="00DA14B5" w14:paraId="0460C23A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0E6E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MUM-1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EB1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3894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66F8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255A0179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7D0F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929F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C69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13FA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30D3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E7EB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 (56)</w:t>
            </w:r>
          </w:p>
        </w:tc>
      </w:tr>
      <w:tr w:rsidR="00782C07" w:rsidRPr="00DA14B5" w14:paraId="09DF6152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73BB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B0DF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3637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C8E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7761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9922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 (31)</w:t>
            </w:r>
          </w:p>
        </w:tc>
      </w:tr>
      <w:tr w:rsidR="00782C07" w:rsidRPr="00DA14B5" w14:paraId="1EE97C60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33E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BF5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E578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1DDB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2B9D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09EE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 (13)</w:t>
            </w:r>
          </w:p>
        </w:tc>
      </w:tr>
      <w:tr w:rsidR="00782C07" w:rsidRPr="00DA14B5" w14:paraId="2C9654CD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437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MYC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2F3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CB3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B0F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694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127CA546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011A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294C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17C7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0BE9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8D2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28D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 (15)</w:t>
            </w:r>
          </w:p>
        </w:tc>
      </w:tr>
      <w:tr w:rsidR="00782C07" w:rsidRPr="00DA14B5" w14:paraId="5248C3CC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D344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D34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CB3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CE6C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F728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C0D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 (41)</w:t>
            </w:r>
          </w:p>
        </w:tc>
      </w:tr>
      <w:tr w:rsidR="00782C07" w:rsidRPr="00DA14B5" w14:paraId="0E0E62C6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C536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9997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2849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4EF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FD14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E36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38 (44)</w:t>
            </w:r>
          </w:p>
        </w:tc>
      </w:tr>
      <w:tr w:rsidR="00782C07" w:rsidRPr="00DA14B5" w14:paraId="06D08919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005E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BCL2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FE6D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83B4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6AC7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4433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740B2D81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471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3FD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5E8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E35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258D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6820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64 (74)</w:t>
            </w:r>
          </w:p>
        </w:tc>
      </w:tr>
      <w:tr w:rsidR="00782C07" w:rsidRPr="00DA14B5" w14:paraId="14AF066D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DB3E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C9D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AE8A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A38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C9A7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210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18 (21)</w:t>
            </w:r>
          </w:p>
        </w:tc>
      </w:tr>
      <w:tr w:rsidR="00782C07" w:rsidRPr="00DA14B5" w14:paraId="392E0224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4AD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2836F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904E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EDC8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03A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FBE6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 (5)</w:t>
            </w:r>
          </w:p>
        </w:tc>
      </w:tr>
      <w:tr w:rsidR="00782C07" w:rsidRPr="00DA14B5" w14:paraId="1DE04646" w14:textId="77777777" w:rsidTr="00782C07">
        <w:trPr>
          <w:trHeight w:val="36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4F4F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BCL6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C7E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902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2157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8AD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309DC343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4A83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6BE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E37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86F4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B3D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DDA3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 (69)</w:t>
            </w:r>
          </w:p>
        </w:tc>
      </w:tr>
      <w:tr w:rsidR="00782C07" w:rsidRPr="00DA14B5" w14:paraId="4B1621E1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B6E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DCCC0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4E63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7F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4AD38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620E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 (23)</w:t>
            </w:r>
          </w:p>
        </w:tc>
      </w:tr>
      <w:tr w:rsidR="00782C07" w:rsidRPr="00DA14B5" w14:paraId="2A2112A3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E830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5E95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0FEB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D6545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2B2B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E646E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(8)</w:t>
            </w:r>
          </w:p>
        </w:tc>
      </w:tr>
      <w:tr w:rsidR="00782C07" w:rsidRPr="00DA14B5" w14:paraId="32103469" w14:textId="77777777" w:rsidTr="00782C07">
        <w:trPr>
          <w:trHeight w:val="360"/>
        </w:trPr>
        <w:tc>
          <w:tcPr>
            <w:tcW w:w="22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D1B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Double protein expression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B69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FBFE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112D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82C07" w:rsidRPr="00DA14B5" w14:paraId="7AC6DACF" w14:textId="77777777" w:rsidTr="00782C07">
        <w:trPr>
          <w:trHeight w:val="360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689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4A83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6691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ACE7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1BD3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8510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 (13)</w:t>
            </w:r>
          </w:p>
        </w:tc>
      </w:tr>
      <w:tr w:rsidR="00782C07" w:rsidRPr="00DA14B5" w14:paraId="12F642EC" w14:textId="77777777" w:rsidTr="00782C07">
        <w:trPr>
          <w:trHeight w:val="81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53681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8BDB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00ED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701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32A4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77BA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39 (45)</w:t>
            </w:r>
          </w:p>
        </w:tc>
      </w:tr>
      <w:tr w:rsidR="00782C07" w:rsidRPr="00DA14B5" w14:paraId="2DD54A39" w14:textId="77777777" w:rsidTr="00782C07">
        <w:trPr>
          <w:trHeight w:val="359"/>
        </w:trPr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21CF9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E29A4" w14:textId="5638BA47" w:rsidR="00782C07" w:rsidRPr="00DA14B5" w:rsidRDefault="005654B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0405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val="en-GB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1E3B7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9923C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EED2" w14:textId="77777777" w:rsidR="00782C07" w:rsidRPr="00DA14B5" w:rsidRDefault="00782C07" w:rsidP="003B0EB1">
            <w:pPr>
              <w:widowControl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A14B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36 (42)</w:t>
            </w:r>
          </w:p>
        </w:tc>
      </w:tr>
    </w:tbl>
    <w:p w14:paraId="54984AC9" w14:textId="48821240" w:rsidR="00782C07" w:rsidRPr="00DA14B5" w:rsidRDefault="00782C07" w:rsidP="00782C07">
      <w:pPr>
        <w:widowControl/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DLBCL, diffuse large B-cell lymphoma; Pola-R-CHP,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polatuzumab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vedotin</w:t>
      </w:r>
      <w:proofErr w:type="spellEnd"/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rituximab, cyclophosphamide, doxorubicin, prednisolone.</w:t>
      </w:r>
      <w:r w:rsidR="0051503C"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14:paraId="25C42E1C" w14:textId="27F4CF39" w:rsidR="00A5750F" w:rsidRPr="003B0EB1" w:rsidRDefault="00695CDD" w:rsidP="00E114F1">
      <w:pPr>
        <w:snapToGri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A14B5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Data are presented as n (%) </w:t>
      </w:r>
    </w:p>
    <w:sectPr w:rsidR="00A5750F" w:rsidRPr="003B0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69"/>
    <w:rsid w:val="00131B69"/>
    <w:rsid w:val="003B0EB1"/>
    <w:rsid w:val="0051503C"/>
    <w:rsid w:val="00536C18"/>
    <w:rsid w:val="005654B7"/>
    <w:rsid w:val="00662B68"/>
    <w:rsid w:val="00695CDD"/>
    <w:rsid w:val="00782C07"/>
    <w:rsid w:val="00A5750F"/>
    <w:rsid w:val="00D3026E"/>
    <w:rsid w:val="00DA14B5"/>
    <w:rsid w:val="00E114F1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98B0B"/>
  <w15:docId w15:val="{B913C681-59DD-A94A-B768-FFD1325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character" w:styleId="ab">
    <w:name w:val="Hyperlink"/>
    <w:basedOn w:val="a0"/>
    <w:rPr>
      <w:color w:val="0563C1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c">
    <w:name w:val="endnote text"/>
    <w:basedOn w:val="a"/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d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24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next w:val="a"/>
    <w:pPr>
      <w:numPr>
        <w:ilvl w:val="8"/>
      </w:numPr>
      <w:ind w:left="1440"/>
      <w:outlineLvl w:val="8"/>
    </w:p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  <w:shd w:val="clear" w:color="auto" w:fill="EEFEF4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Edition">
    <w:name w:val="Edition"/>
    <w:basedOn w:val="a0"/>
    <w:rPr>
      <w:shd w:val="clear" w:color="auto" w:fill="FFF6A4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styleId="ae">
    <w:name w:val="Balloon Text"/>
    <w:basedOn w:val="a"/>
    <w:rPr>
      <w:rFonts w:ascii="Calibri" w:eastAsia="Calibri" w:hAnsi="Calibri" w:cs="Calibri"/>
      <w:color w:val="000000"/>
      <w:sz w:val="16"/>
    </w:rPr>
  </w:style>
  <w:style w:type="paragraph" w:styleId="af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styleId="af0">
    <w:name w:val="caption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hd w:val="clear" w:color="auto" w:fill="FFF5ED"/>
    </w:rPr>
  </w:style>
  <w:style w:type="paragraph" w:styleId="af1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styleId="af2">
    <w:name w:val="footnote text"/>
    <w:basedOn w:val="a"/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hd w:val="clear" w:color="auto" w:fill="FFF5ED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character" w:styleId="af3">
    <w:name w:val="Unresolved Mention"/>
    <w:basedOn w:val="a0"/>
    <w:uiPriority w:val="99"/>
    <w:rsid w:val="003B0EB1"/>
    <w:rPr>
      <w:color w:val="605E5C"/>
      <w:shd w:val="clear" w:color="auto" w:fill="E1DFDD"/>
    </w:rPr>
  </w:style>
  <w:style w:type="paragraph" w:styleId="af4">
    <w:name w:val="Revision"/>
    <w:hidden/>
    <w:uiPriority w:val="99"/>
    <w:rsid w:val="00782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佐々木</cp:lastModifiedBy>
  <cp:revision>2</cp:revision>
  <dcterms:created xsi:type="dcterms:W3CDTF">2025-02-10T07:03:00Z</dcterms:created>
  <dcterms:modified xsi:type="dcterms:W3CDTF">2025-02-10T07:03:00Z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171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1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merops/preset-v1/springer-basic-brackets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3aec5664-aa9b-4291-b544-ba916bf8fddb.docx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MG-Session/On-20250206/I:92bc5580-bde1-4ea5-9b66-a53b24d1f294</vt:lpwstr>
  </property>
  <property fmtid="{D5CDD505-2E9C-101B-9397-08002B2CF9AE}" pid="32" name="Merops processed date">
    <vt:lpwstr>2025/02/06 02:38:21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0</vt:lpwstr>
  </property>
  <property fmtid="{D5CDD505-2E9C-101B-9397-08002B2CF9AE}" pid="36" name="Merops change count">
    <vt:lpwstr>0</vt:lpwstr>
  </property>
</Properties>
</file>