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6FCC" w:rsidRDefault="00BF6FCC" w:rsidP="00BF6FCC">
      <w:pPr>
        <w:spacing w:line="48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Supplemental manuscript</w:t>
      </w:r>
    </w:p>
    <w:p w:rsidR="00BF6FCC" w:rsidRDefault="00BF6FCC" w:rsidP="00BF6FCC">
      <w:pPr>
        <w:spacing w:line="480" w:lineRule="auto"/>
        <w:rPr>
          <w:rFonts w:ascii="Times New Roman" w:hAnsi="Times New Roman" w:cs="Times New Roman"/>
          <w:b/>
          <w:color w:val="000000" w:themeColor="text1"/>
          <w:sz w:val="28"/>
          <w:szCs w:val="28"/>
        </w:rPr>
      </w:pPr>
    </w:p>
    <w:p w:rsidR="00BF6FCC" w:rsidRDefault="00BF6FCC" w:rsidP="0039396B">
      <w:pPr>
        <w:spacing w:line="480" w:lineRule="auto"/>
        <w:rPr>
          <w:rFonts w:ascii="Times New Roman" w:hAnsi="Times New Roman" w:cs="Times New Roman"/>
          <w:b/>
          <w:color w:val="000000" w:themeColor="text1"/>
          <w:sz w:val="28"/>
          <w:szCs w:val="28"/>
        </w:rPr>
      </w:pPr>
      <w:r w:rsidRPr="00C22E41">
        <w:rPr>
          <w:rFonts w:ascii="Times New Roman" w:hAnsi="Times New Roman" w:cs="Times New Roman"/>
          <w:b/>
          <w:color w:val="000000" w:themeColor="text1"/>
          <w:sz w:val="28"/>
          <w:szCs w:val="28"/>
        </w:rPr>
        <w:t>Materials and methods</w:t>
      </w:r>
    </w:p>
    <w:p w:rsidR="0039396B" w:rsidRPr="00C22E41" w:rsidRDefault="0039396B" w:rsidP="0039396B">
      <w:pPr>
        <w:spacing w:line="480" w:lineRule="auto"/>
        <w:rPr>
          <w:rFonts w:ascii="Times New Roman" w:hAnsi="Times New Roman" w:cs="Times New Roman"/>
          <w:b/>
          <w:color w:val="000000" w:themeColor="text1"/>
          <w:sz w:val="24"/>
        </w:rPr>
      </w:pPr>
      <w:r w:rsidRPr="00C22E41">
        <w:rPr>
          <w:rFonts w:ascii="Times New Roman" w:hAnsi="Times New Roman" w:cs="Times New Roman"/>
          <w:b/>
          <w:color w:val="000000" w:themeColor="text1"/>
          <w:sz w:val="24"/>
        </w:rPr>
        <w:t>Genotyping</w:t>
      </w:r>
    </w:p>
    <w:p w:rsidR="00310F71" w:rsidRDefault="0039396B" w:rsidP="0039396B">
      <w:pPr>
        <w:spacing w:line="480" w:lineRule="auto"/>
        <w:ind w:firstLine="720"/>
        <w:rPr>
          <w:rFonts w:ascii="Times New Roman" w:hAnsi="Times New Roman" w:cs="Times New Roman"/>
          <w:color w:val="000000" w:themeColor="text1"/>
          <w:sz w:val="24"/>
        </w:rPr>
      </w:pPr>
      <w:r w:rsidRPr="00C22E41">
        <w:rPr>
          <w:rFonts w:ascii="Times New Roman" w:hAnsi="Times New Roman" w:cs="Times New Roman"/>
          <w:color w:val="000000" w:themeColor="text1"/>
          <w:sz w:val="24"/>
        </w:rPr>
        <w:t xml:space="preserve">The </w:t>
      </w:r>
      <w:r w:rsidRPr="00C22E41">
        <w:rPr>
          <w:rFonts w:ascii="Times New Roman" w:hAnsi="Times New Roman" w:cs="Times New Roman"/>
          <w:i/>
          <w:color w:val="000000" w:themeColor="text1"/>
          <w:sz w:val="24"/>
        </w:rPr>
        <w:t>PRNP</w:t>
      </w:r>
      <w:r w:rsidRPr="00C22E41">
        <w:rPr>
          <w:rFonts w:ascii="Times New Roman" w:hAnsi="Times New Roman" w:cs="Times New Roman"/>
          <w:color w:val="000000" w:themeColor="text1"/>
          <w:sz w:val="24"/>
        </w:rPr>
        <w:t xml:space="preserve"> codon 162 single nucleotide mutation was genotyped by polymerase chain reaction (PCR) amplification of genomic DNA and direct sequencing on a 3730xl DNA Analyzer (Applied Biosystems, Life Technologies, Foster City, CA, USA) by the Japan Food Analysis and Biotechnology Company (Kanagawa, Japan). The </w:t>
      </w:r>
      <w:r w:rsidRPr="00C22E41">
        <w:rPr>
          <w:rFonts w:ascii="Times New Roman" w:hAnsi="Times New Roman" w:cs="Times New Roman"/>
          <w:i/>
          <w:color w:val="000000" w:themeColor="text1"/>
          <w:sz w:val="24"/>
        </w:rPr>
        <w:t>PRNP</w:t>
      </w:r>
      <w:r w:rsidRPr="00C22E41">
        <w:rPr>
          <w:rFonts w:ascii="Times New Roman" w:hAnsi="Times New Roman" w:cs="Times New Roman"/>
          <w:color w:val="000000" w:themeColor="text1"/>
          <w:sz w:val="24"/>
        </w:rPr>
        <w:t xml:space="preserve"> gene was amplified by PCR (forward primer: 5′-GACTCTGACGTTCTCCTCTTCA-3′; reverse primer: 5′-GTTGTTCTGGTTGCTGTACTC-3′).</w:t>
      </w:r>
    </w:p>
    <w:p w:rsidR="00014EDF" w:rsidRDefault="00014EDF" w:rsidP="00014EDF">
      <w:pPr>
        <w:spacing w:line="480" w:lineRule="auto"/>
        <w:rPr>
          <w:rFonts w:ascii="Times New Roman" w:hAnsi="Times New Roman" w:cs="Times New Roman"/>
          <w:color w:val="000000" w:themeColor="text1"/>
          <w:sz w:val="24"/>
        </w:rPr>
      </w:pPr>
    </w:p>
    <w:p w:rsidR="00014EDF" w:rsidRDefault="00014EDF" w:rsidP="00014EDF">
      <w:pPr>
        <w:spacing w:line="480" w:lineRule="auto"/>
        <w:rPr>
          <w:rFonts w:ascii="Times New Roman" w:hAnsi="Times New Roman" w:cs="Times New Roman"/>
          <w:b/>
          <w:color w:val="000000" w:themeColor="text1"/>
          <w:sz w:val="24"/>
        </w:rPr>
      </w:pPr>
      <w:r w:rsidRPr="00C22E41">
        <w:rPr>
          <w:rFonts w:ascii="Times New Roman" w:hAnsi="Times New Roman" w:cs="Times New Roman"/>
          <w:b/>
          <w:color w:val="000000" w:themeColor="text1"/>
          <w:sz w:val="24"/>
        </w:rPr>
        <w:t>iPSC</w:t>
      </w:r>
      <w:r>
        <w:rPr>
          <w:rFonts w:ascii="Times New Roman" w:hAnsi="Times New Roman" w:cs="Times New Roman"/>
          <w:b/>
          <w:color w:val="000000" w:themeColor="text1"/>
          <w:sz w:val="24"/>
        </w:rPr>
        <w:t xml:space="preserve"> generation</w:t>
      </w:r>
    </w:p>
    <w:p w:rsidR="00014EDF" w:rsidRDefault="00014EDF" w:rsidP="00014EDF">
      <w:pPr>
        <w:spacing w:line="48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ab/>
      </w:r>
      <w:r w:rsidR="00031D50" w:rsidRPr="00031D50">
        <w:rPr>
          <w:rFonts w:ascii="Times New Roman" w:hAnsi="Times New Roman" w:cs="Times New Roman"/>
          <w:color w:val="000000" w:themeColor="text1"/>
          <w:sz w:val="24"/>
        </w:rPr>
        <w:t xml:space="preserve">Human healthy control and </w:t>
      </w:r>
      <w:r w:rsidR="00031D50" w:rsidRPr="00A0722E">
        <w:rPr>
          <w:rFonts w:ascii="Times New Roman" w:hAnsi="Times New Roman" w:cs="Times New Roman"/>
          <w:i/>
          <w:color w:val="000000" w:themeColor="text1"/>
          <w:sz w:val="24"/>
        </w:rPr>
        <w:t>PRNP</w:t>
      </w:r>
      <w:r w:rsidR="00031D50" w:rsidRPr="00031D50">
        <w:rPr>
          <w:rFonts w:ascii="Times New Roman" w:hAnsi="Times New Roman" w:cs="Times New Roman"/>
          <w:color w:val="000000" w:themeColor="text1"/>
          <w:sz w:val="24"/>
        </w:rPr>
        <w:t xml:space="preserve"> Y162X iPSCs were generated from peripheral blood mononuclear cells using the </w:t>
      </w:r>
      <w:proofErr w:type="spellStart"/>
      <w:r w:rsidR="00031D50" w:rsidRPr="00031D50">
        <w:rPr>
          <w:rFonts w:ascii="Times New Roman" w:hAnsi="Times New Roman" w:cs="Times New Roman"/>
          <w:color w:val="000000" w:themeColor="text1"/>
          <w:sz w:val="24"/>
        </w:rPr>
        <w:t>StemRNA</w:t>
      </w:r>
      <w:proofErr w:type="spellEnd"/>
      <w:r w:rsidR="00031D50" w:rsidRPr="00031D50">
        <w:rPr>
          <w:rFonts w:ascii="Times New Roman" w:hAnsi="Times New Roman" w:cs="Times New Roman"/>
          <w:color w:val="000000" w:themeColor="text1"/>
          <w:sz w:val="24"/>
        </w:rPr>
        <w:t xml:space="preserve">™ 3rd Gen Reprogramming Kit (REPROCELL, Inc., Yokohama, Japan), combined application of non-modified reprogramming mRNAs (Oct4, Sox2, Klf4, </w:t>
      </w:r>
      <w:proofErr w:type="spellStart"/>
      <w:r w:rsidR="00031D50" w:rsidRPr="00031D50">
        <w:rPr>
          <w:rFonts w:ascii="Times New Roman" w:hAnsi="Times New Roman" w:cs="Times New Roman"/>
          <w:color w:val="000000" w:themeColor="text1"/>
          <w:sz w:val="24"/>
        </w:rPr>
        <w:t>cMyc</w:t>
      </w:r>
      <w:proofErr w:type="spellEnd"/>
      <w:r w:rsidR="00031D50" w:rsidRPr="00031D50">
        <w:rPr>
          <w:rFonts w:ascii="Times New Roman" w:hAnsi="Times New Roman" w:cs="Times New Roman"/>
          <w:color w:val="000000" w:themeColor="text1"/>
          <w:sz w:val="24"/>
        </w:rPr>
        <w:t xml:space="preserve">, Nanog, and Lin28) and immune evasion mRNAs (E3, K3, and B18). The iPSCs were cultured using feeder-free and xenofree culture systems with </w:t>
      </w:r>
      <w:proofErr w:type="spellStart"/>
      <w:r w:rsidR="00031D50" w:rsidRPr="00031D50">
        <w:rPr>
          <w:rFonts w:ascii="Times New Roman" w:hAnsi="Times New Roman" w:cs="Times New Roman"/>
          <w:color w:val="000000" w:themeColor="text1"/>
          <w:sz w:val="24"/>
        </w:rPr>
        <w:t>StemFit</w:t>
      </w:r>
      <w:proofErr w:type="spellEnd"/>
      <w:r w:rsidR="00031D50" w:rsidRPr="00031D50">
        <w:rPr>
          <w:rFonts w:ascii="Times New Roman" w:hAnsi="Times New Roman" w:cs="Times New Roman"/>
          <w:color w:val="000000" w:themeColor="text1"/>
          <w:sz w:val="24"/>
        </w:rPr>
        <w:t xml:space="preserve"> (Ajinomoto, Saitama, Japan) and penicillin/streptomycin.</w:t>
      </w:r>
    </w:p>
    <w:p w:rsidR="0039396B" w:rsidRDefault="0039396B" w:rsidP="0039396B">
      <w:pPr>
        <w:spacing w:line="480" w:lineRule="auto"/>
      </w:pPr>
    </w:p>
    <w:p w:rsidR="0039396B" w:rsidRDefault="0039396B" w:rsidP="0039396B">
      <w:pPr>
        <w:spacing w:line="48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N</w:t>
      </w:r>
      <w:r w:rsidRPr="00C22E41">
        <w:rPr>
          <w:rFonts w:ascii="Times New Roman" w:hAnsi="Times New Roman" w:cs="Times New Roman"/>
          <w:b/>
          <w:color w:val="000000" w:themeColor="text1"/>
          <w:sz w:val="24"/>
        </w:rPr>
        <w:t>euronal differentiation from iPSCs</w:t>
      </w:r>
    </w:p>
    <w:p w:rsidR="0039396B" w:rsidRDefault="0039396B" w:rsidP="0039396B">
      <w:pPr>
        <w:spacing w:line="480" w:lineRule="auto"/>
        <w:ind w:firstLine="720"/>
        <w:rPr>
          <w:rFonts w:ascii="Times New Roman" w:hAnsi="Times New Roman" w:cs="Times New Roman"/>
          <w:color w:val="000000" w:themeColor="text1"/>
          <w:sz w:val="24"/>
        </w:rPr>
      </w:pPr>
      <w:r>
        <w:rPr>
          <w:rFonts w:ascii="Times New Roman" w:hAnsi="Times New Roman" w:cs="Times New Roman"/>
          <w:color w:val="000000" w:themeColor="text1"/>
          <w:sz w:val="24"/>
        </w:rPr>
        <w:t>The</w:t>
      </w:r>
      <w:r w:rsidRPr="00C22E41">
        <w:rPr>
          <w:rFonts w:ascii="Times New Roman" w:hAnsi="Times New Roman" w:cs="Times New Roman"/>
          <w:color w:val="000000" w:themeColor="text1"/>
          <w:sz w:val="24"/>
        </w:rPr>
        <w:t xml:space="preserve"> iPSCs were dissociated to single cells and quickly reaggregated in low-cell-adhesion U-shaped 96-well plates (</w:t>
      </w:r>
      <w:proofErr w:type="spellStart"/>
      <w:r w:rsidRPr="00C22E41">
        <w:rPr>
          <w:rFonts w:ascii="Times New Roman" w:hAnsi="Times New Roman" w:cs="Times New Roman"/>
          <w:color w:val="000000" w:themeColor="text1"/>
          <w:sz w:val="24"/>
        </w:rPr>
        <w:t>Lipidule</w:t>
      </w:r>
      <w:proofErr w:type="spellEnd"/>
      <w:r w:rsidRPr="00C22E41">
        <w:rPr>
          <w:rFonts w:ascii="Times New Roman" w:hAnsi="Times New Roman" w:cs="Times New Roman"/>
          <w:color w:val="000000" w:themeColor="text1"/>
          <w:sz w:val="24"/>
        </w:rPr>
        <w:t>-Coated Plate A-U96; NOF Corporation, Tokyo, Japan). Aggregations and embryoid bodies were cultured in DFK5% medium (Dulbecco’s modified Eagle’s medium/Ham’s F12 [Thermo Fisher Scientific, Waltham, MA, USA] supplemented with 5% KSR [Thermo Fisher Scientific], NEAA [Thermo Fisher Scientific], L-</w:t>
      </w:r>
      <w:r w:rsidRPr="00C22E41">
        <w:rPr>
          <w:rFonts w:ascii="Times New Roman" w:hAnsi="Times New Roman" w:cs="Times New Roman"/>
          <w:color w:val="000000" w:themeColor="text1"/>
          <w:sz w:val="24"/>
        </w:rPr>
        <w:lastRenderedPageBreak/>
        <w:t xml:space="preserve">glutamine [Merck, Darmstadt, Germany), and 0.1 M of 2-mercaptoethanol [Thermo Fisher Scientific]) with or without 2 </w:t>
      </w:r>
      <w:proofErr w:type="spellStart"/>
      <w:r w:rsidRPr="00C22E41">
        <w:rPr>
          <w:rFonts w:ascii="Times New Roman" w:hAnsi="Times New Roman" w:cs="Times New Roman"/>
          <w:color w:val="000000" w:themeColor="text1"/>
          <w:sz w:val="24"/>
        </w:rPr>
        <w:t>μM</w:t>
      </w:r>
      <w:proofErr w:type="spellEnd"/>
      <w:r w:rsidRPr="00C22E41">
        <w:rPr>
          <w:rFonts w:ascii="Times New Roman" w:hAnsi="Times New Roman" w:cs="Times New Roman"/>
          <w:color w:val="000000" w:themeColor="text1"/>
          <w:sz w:val="24"/>
        </w:rPr>
        <w:t xml:space="preserve"> dorsomorphin (Merck) and 10 </w:t>
      </w:r>
      <w:proofErr w:type="spellStart"/>
      <w:r w:rsidRPr="00C22E41">
        <w:rPr>
          <w:rFonts w:ascii="Times New Roman" w:hAnsi="Times New Roman" w:cs="Times New Roman"/>
          <w:color w:val="000000" w:themeColor="text1"/>
          <w:sz w:val="24"/>
        </w:rPr>
        <w:t>μM</w:t>
      </w:r>
      <w:proofErr w:type="spellEnd"/>
      <w:r w:rsidRPr="00C22E41">
        <w:rPr>
          <w:rFonts w:ascii="Times New Roman" w:hAnsi="Times New Roman" w:cs="Times New Roman"/>
          <w:color w:val="000000" w:themeColor="text1"/>
          <w:sz w:val="24"/>
        </w:rPr>
        <w:t xml:space="preserve"> SB431542 (Cayman Chemical, Ann Arbor, MI, USA) in the neural induction stage (Day 0 to 8). After neural induction, embryoid bodies were transferred onto Matrigel (Becton Dickinson, Franklin Lakes, NJ, USA)-coated 6-well culture plates and cultured in DFK5% supplemented with 1× N2 supplement (Thermo Fisher Scientific), 2 </w:t>
      </w:r>
      <w:proofErr w:type="spellStart"/>
      <w:r w:rsidRPr="00C22E41">
        <w:rPr>
          <w:rFonts w:ascii="Times New Roman" w:hAnsi="Times New Roman" w:cs="Times New Roman"/>
          <w:color w:val="000000" w:themeColor="text1"/>
          <w:sz w:val="24"/>
        </w:rPr>
        <w:t>μM</w:t>
      </w:r>
      <w:proofErr w:type="spellEnd"/>
      <w:r w:rsidRPr="00C22E41">
        <w:rPr>
          <w:rFonts w:ascii="Times New Roman" w:hAnsi="Times New Roman" w:cs="Times New Roman"/>
          <w:color w:val="000000" w:themeColor="text1"/>
          <w:sz w:val="24"/>
        </w:rPr>
        <w:t xml:space="preserve"> dorsomorphin, and 10 </w:t>
      </w:r>
      <w:proofErr w:type="spellStart"/>
      <w:r w:rsidRPr="00C22E41">
        <w:rPr>
          <w:rFonts w:ascii="Times New Roman" w:hAnsi="Times New Roman" w:cs="Times New Roman"/>
          <w:color w:val="000000" w:themeColor="text1"/>
          <w:sz w:val="24"/>
        </w:rPr>
        <w:t>μM</w:t>
      </w:r>
      <w:proofErr w:type="spellEnd"/>
      <w:r w:rsidRPr="00C22E41">
        <w:rPr>
          <w:rFonts w:ascii="Times New Roman" w:hAnsi="Times New Roman" w:cs="Times New Roman"/>
          <w:color w:val="000000" w:themeColor="text1"/>
          <w:sz w:val="24"/>
        </w:rPr>
        <w:t xml:space="preserve"> SB431542 in the patterning stage (Day 8 to 24). A large number of </w:t>
      </w:r>
      <w:proofErr w:type="spellStart"/>
      <w:r w:rsidRPr="00C22E41">
        <w:rPr>
          <w:rFonts w:ascii="Times New Roman" w:hAnsi="Times New Roman" w:cs="Times New Roman"/>
          <w:color w:val="000000" w:themeColor="text1"/>
          <w:sz w:val="24"/>
        </w:rPr>
        <w:t>nestin</w:t>
      </w:r>
      <w:proofErr w:type="spellEnd"/>
      <w:r w:rsidRPr="00C22E41">
        <w:rPr>
          <w:rFonts w:ascii="Times New Roman" w:hAnsi="Times New Roman" w:cs="Times New Roman"/>
          <w:color w:val="000000" w:themeColor="text1"/>
          <w:sz w:val="24"/>
        </w:rPr>
        <w:t xml:space="preserve">-positive neural precursor cells migrated from the embryoid body core. After the patterning stage, the migrated neural precursor cells were separated from the plate bottom using </w:t>
      </w:r>
      <w:proofErr w:type="spellStart"/>
      <w:r w:rsidRPr="00C22E41">
        <w:rPr>
          <w:rFonts w:ascii="Times New Roman" w:hAnsi="Times New Roman" w:cs="Times New Roman"/>
          <w:color w:val="000000" w:themeColor="text1"/>
          <w:sz w:val="24"/>
        </w:rPr>
        <w:t>Accutase</w:t>
      </w:r>
      <w:proofErr w:type="spellEnd"/>
      <w:r w:rsidRPr="00C22E41">
        <w:rPr>
          <w:rFonts w:ascii="Times New Roman" w:hAnsi="Times New Roman" w:cs="Times New Roman"/>
          <w:color w:val="000000" w:themeColor="text1"/>
          <w:sz w:val="24"/>
        </w:rPr>
        <w:t xml:space="preserve"> (Innovative Cell Technologies, Inc., San Diego, CA, USA) and cultured in Neurobasal medium FULL (Thermo Fisher Scientific) supplemented with 1× B27 without Vitamin A (Thermo Fisher Scientific), 1× </w:t>
      </w:r>
      <w:proofErr w:type="spellStart"/>
      <w:r w:rsidRPr="00C22E41">
        <w:rPr>
          <w:rFonts w:ascii="Times New Roman" w:hAnsi="Times New Roman" w:cs="Times New Roman"/>
          <w:color w:val="000000" w:themeColor="text1"/>
          <w:sz w:val="24"/>
        </w:rPr>
        <w:t>GlutaMAX</w:t>
      </w:r>
      <w:proofErr w:type="spellEnd"/>
      <w:r w:rsidRPr="00C22E41">
        <w:rPr>
          <w:rFonts w:ascii="Times New Roman" w:hAnsi="Times New Roman" w:cs="Times New Roman"/>
          <w:color w:val="000000" w:themeColor="text1"/>
          <w:sz w:val="24"/>
        </w:rPr>
        <w:t xml:space="preserve"> (Thermo Fisher Scientific), 10 ng/mL brain-derived neurotrophic factor (R&amp;D Systems, Minneapolis, MN, USA), 10 ng/mL glial cell line-derived neurotrophic factor (R&amp;D Systems), and 10 ng/mL neurotrophin-3 (R&amp;D Systems) on Matrigel-coated 24-well culture plates or a coverslip in the neural maturation stage (Day 24 to 72).</w:t>
      </w:r>
    </w:p>
    <w:p w:rsidR="008A7F89" w:rsidRDefault="008A7F89" w:rsidP="008A7F89">
      <w:pPr>
        <w:spacing w:line="480" w:lineRule="auto"/>
      </w:pPr>
    </w:p>
    <w:p w:rsidR="008A7F89" w:rsidRDefault="008A7F89" w:rsidP="008A7F89">
      <w:pPr>
        <w:spacing w:line="480" w:lineRule="auto"/>
        <w:rPr>
          <w:rFonts w:ascii="Times New Roman" w:hAnsi="Times New Roman" w:cs="Times New Roman"/>
          <w:b/>
          <w:color w:val="000000" w:themeColor="text1"/>
          <w:sz w:val="24"/>
        </w:rPr>
      </w:pPr>
      <w:r w:rsidRPr="008A7F89">
        <w:rPr>
          <w:rFonts w:ascii="Times New Roman" w:hAnsi="Times New Roman" w:cs="Times New Roman"/>
          <w:b/>
          <w:color w:val="000000" w:themeColor="text1"/>
          <w:sz w:val="24"/>
        </w:rPr>
        <w:t xml:space="preserve">Immunostaining of iPSCs and </w:t>
      </w:r>
      <w:proofErr w:type="spellStart"/>
      <w:r w:rsidRPr="008A7F89">
        <w:rPr>
          <w:rFonts w:ascii="Times New Roman" w:hAnsi="Times New Roman" w:cs="Times New Roman"/>
          <w:b/>
          <w:color w:val="000000" w:themeColor="text1"/>
          <w:sz w:val="24"/>
        </w:rPr>
        <w:t>iPSNs</w:t>
      </w:r>
      <w:proofErr w:type="spellEnd"/>
    </w:p>
    <w:p w:rsidR="008A7F89" w:rsidRDefault="008A7F89" w:rsidP="008A7F89">
      <w:pPr>
        <w:spacing w:line="480" w:lineRule="auto"/>
        <w:ind w:firstLine="720"/>
        <w:rPr>
          <w:rFonts w:ascii="Times New Roman" w:hAnsi="Times New Roman" w:cs="Times New Roman"/>
          <w:color w:val="000000" w:themeColor="text1"/>
          <w:sz w:val="24"/>
        </w:rPr>
      </w:pPr>
      <w:r w:rsidRPr="008A7F89">
        <w:rPr>
          <w:rFonts w:ascii="Times New Roman" w:hAnsi="Times New Roman" w:cs="Times New Roman"/>
          <w:color w:val="000000" w:themeColor="text1"/>
          <w:sz w:val="24"/>
        </w:rPr>
        <w:t xml:space="preserve">For immunostaining of iPSCs and </w:t>
      </w:r>
      <w:proofErr w:type="spellStart"/>
      <w:r w:rsidRPr="008A7F89">
        <w:rPr>
          <w:rFonts w:ascii="Times New Roman" w:hAnsi="Times New Roman" w:cs="Times New Roman"/>
          <w:color w:val="000000" w:themeColor="text1"/>
          <w:sz w:val="24"/>
        </w:rPr>
        <w:t>iPSNs</w:t>
      </w:r>
      <w:proofErr w:type="spellEnd"/>
      <w:r w:rsidRPr="008A7F89">
        <w:rPr>
          <w:rFonts w:ascii="Times New Roman" w:hAnsi="Times New Roman" w:cs="Times New Roman"/>
          <w:color w:val="000000" w:themeColor="text1"/>
          <w:sz w:val="24"/>
        </w:rPr>
        <w:t>, the cells were fixed in 4% paraformaldehyde (pH 7.4) for 30 min at room temperature and rinsed with phosphate-buffered saline (PBS). The iPSCs were permeabilized in PBS containing 0.2% Triton X-100 for 10 min at room temperature, followed by rinsing with PBS. The denature step with 6M guanidine hydrochloride (</w:t>
      </w:r>
      <w:proofErr w:type="spellStart"/>
      <w:r w:rsidRPr="008A7F89">
        <w:rPr>
          <w:rFonts w:ascii="Times New Roman" w:hAnsi="Times New Roman" w:cs="Times New Roman"/>
          <w:color w:val="000000" w:themeColor="text1"/>
          <w:sz w:val="24"/>
        </w:rPr>
        <w:t>GdnHCl</w:t>
      </w:r>
      <w:proofErr w:type="spellEnd"/>
      <w:r w:rsidRPr="008A7F89">
        <w:rPr>
          <w:rFonts w:ascii="Times New Roman" w:hAnsi="Times New Roman" w:cs="Times New Roman"/>
          <w:color w:val="000000" w:themeColor="text1"/>
          <w:sz w:val="24"/>
        </w:rPr>
        <w:t xml:space="preserve">) for 10min was added to </w:t>
      </w:r>
      <w:proofErr w:type="spellStart"/>
      <w:r w:rsidRPr="008A7F89">
        <w:rPr>
          <w:rFonts w:ascii="Times New Roman" w:hAnsi="Times New Roman" w:cs="Times New Roman"/>
          <w:color w:val="000000" w:themeColor="text1"/>
          <w:sz w:val="24"/>
        </w:rPr>
        <w:t>iPSNs</w:t>
      </w:r>
      <w:proofErr w:type="spellEnd"/>
      <w:r w:rsidRPr="008A7F89">
        <w:rPr>
          <w:rFonts w:ascii="Times New Roman" w:hAnsi="Times New Roman" w:cs="Times New Roman"/>
          <w:color w:val="000000" w:themeColor="text1"/>
          <w:sz w:val="24"/>
        </w:rPr>
        <w:t xml:space="preserve"> in order to unmask </w:t>
      </w:r>
      <w:proofErr w:type="spellStart"/>
      <w:r w:rsidRPr="008A7F89">
        <w:rPr>
          <w:rFonts w:ascii="Times New Roman" w:hAnsi="Times New Roman" w:cs="Times New Roman"/>
          <w:color w:val="000000" w:themeColor="text1"/>
          <w:sz w:val="24"/>
        </w:rPr>
        <w:t>PrP</w:t>
      </w:r>
      <w:proofErr w:type="spellEnd"/>
      <w:r w:rsidRPr="008A7F89">
        <w:rPr>
          <w:rFonts w:ascii="Times New Roman" w:hAnsi="Times New Roman" w:cs="Times New Roman"/>
          <w:color w:val="000000" w:themeColor="text1"/>
          <w:sz w:val="24"/>
        </w:rPr>
        <w:t xml:space="preserve"> epitopes [1-4]. After blocking with 5% bovine serum albumin for 60 min at room temperature, the cells were incubated with the following primary antibodies overnight at 4°C. The used antibodies were summarized as (clone, company, catalogue number). Unless otherwise stated, antibodies were </w:t>
      </w:r>
      <w:r w:rsidRPr="008A7F89">
        <w:rPr>
          <w:rFonts w:ascii="Times New Roman" w:hAnsi="Times New Roman" w:cs="Times New Roman"/>
          <w:color w:val="000000" w:themeColor="text1"/>
          <w:sz w:val="24"/>
        </w:rPr>
        <w:lastRenderedPageBreak/>
        <w:t>used at a 1:500 dilution: rabbit polyclonal anti-Nanog (REPROCELL, Inc., RCAB004P-F), mouse monoclonal anti-SSEA4 (</w:t>
      </w:r>
      <w:proofErr w:type="spellStart"/>
      <w:r w:rsidRPr="008A7F89">
        <w:rPr>
          <w:rFonts w:ascii="Times New Roman" w:hAnsi="Times New Roman" w:cs="Times New Roman"/>
          <w:color w:val="000000" w:themeColor="text1"/>
          <w:sz w:val="24"/>
        </w:rPr>
        <w:t>GeneTex</w:t>
      </w:r>
      <w:proofErr w:type="spellEnd"/>
      <w:r w:rsidRPr="008A7F89">
        <w:rPr>
          <w:rFonts w:ascii="Times New Roman" w:hAnsi="Times New Roman" w:cs="Times New Roman"/>
          <w:color w:val="000000" w:themeColor="text1"/>
          <w:sz w:val="24"/>
        </w:rPr>
        <w:t>, Irvine, CA, USA, MC-813-70), mouse monoclonal anti-MAP-2 (HM-2, Merck, M9942), rabbit polyclonal anti-MAP-2 (Merck, HPA008273), rabbit monoclonal anti-</w:t>
      </w:r>
      <w:proofErr w:type="spellStart"/>
      <w:r w:rsidRPr="008A7F89">
        <w:rPr>
          <w:rFonts w:ascii="Times New Roman" w:hAnsi="Times New Roman" w:cs="Times New Roman"/>
          <w:color w:val="000000" w:themeColor="text1"/>
          <w:sz w:val="24"/>
        </w:rPr>
        <w:t>ßΙΙΙ</w:t>
      </w:r>
      <w:proofErr w:type="spellEnd"/>
      <w:r w:rsidRPr="008A7F89">
        <w:rPr>
          <w:rFonts w:ascii="Times New Roman" w:hAnsi="Times New Roman" w:cs="Times New Roman"/>
          <w:color w:val="000000" w:themeColor="text1"/>
          <w:sz w:val="24"/>
        </w:rPr>
        <w:t>-tubulin (D71G9, Cell Signaling Technology, Danvers, MA, USA, 5568, used at a 1:2,000 dilution), rabbit monoclonal anti-SATB2 (Abcam, Cambridge, MA, USA, ab92446, used at a 1:250 dilution), rabbit polyclonal anti-TBR2 (</w:t>
      </w:r>
      <w:proofErr w:type="spellStart"/>
      <w:r w:rsidRPr="008A7F89">
        <w:rPr>
          <w:rFonts w:ascii="Times New Roman" w:hAnsi="Times New Roman" w:cs="Times New Roman"/>
          <w:color w:val="000000" w:themeColor="text1"/>
          <w:sz w:val="24"/>
        </w:rPr>
        <w:t>Proteintech</w:t>
      </w:r>
      <w:proofErr w:type="spellEnd"/>
      <w:r w:rsidRPr="008A7F89">
        <w:rPr>
          <w:rFonts w:ascii="Times New Roman" w:hAnsi="Times New Roman" w:cs="Times New Roman"/>
          <w:color w:val="000000" w:themeColor="text1"/>
          <w:sz w:val="24"/>
        </w:rPr>
        <w:t xml:space="preserve"> Group, Rosemont, IL, USA, ab23345, used at a 1:400 dilution), and mouse monoclonal anti-</w:t>
      </w:r>
      <w:proofErr w:type="spellStart"/>
      <w:r w:rsidRPr="008A7F89">
        <w:rPr>
          <w:rFonts w:ascii="Times New Roman" w:hAnsi="Times New Roman" w:cs="Times New Roman"/>
          <w:color w:val="000000" w:themeColor="text1"/>
          <w:sz w:val="24"/>
        </w:rPr>
        <w:t>PrP</w:t>
      </w:r>
      <w:proofErr w:type="spellEnd"/>
      <w:r w:rsidRPr="008A7F89">
        <w:rPr>
          <w:rFonts w:ascii="Times New Roman" w:hAnsi="Times New Roman" w:cs="Times New Roman"/>
          <w:color w:val="000000" w:themeColor="text1"/>
          <w:sz w:val="24"/>
        </w:rPr>
        <w:t xml:space="preserve"> (3F4, Merck, MAB1562). After three rinses with PBS, the cells were incubated with appropriate Alexa-Fluor-conjugated secondary antibodies for 1 h at room temperature, and DAPI (Life Technologies) was used to label nuclei.</w:t>
      </w:r>
    </w:p>
    <w:p w:rsidR="00543E80" w:rsidRDefault="00543E80" w:rsidP="00543E80">
      <w:pPr>
        <w:spacing w:line="480" w:lineRule="auto"/>
        <w:rPr>
          <w:rFonts w:ascii="Times New Roman" w:hAnsi="Times New Roman" w:cs="Times New Roman"/>
          <w:color w:val="000000" w:themeColor="text1"/>
          <w:sz w:val="24"/>
        </w:rPr>
      </w:pPr>
    </w:p>
    <w:p w:rsidR="00543E80" w:rsidRDefault="00543E80" w:rsidP="00543E80">
      <w:pPr>
        <w:spacing w:line="48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Western Blotting</w:t>
      </w:r>
    </w:p>
    <w:p w:rsidR="00543E80" w:rsidRPr="00543E80" w:rsidRDefault="00543E80" w:rsidP="00543E80">
      <w:pPr>
        <w:spacing w:line="48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ab/>
      </w:r>
      <w:r w:rsidR="00751538">
        <w:rPr>
          <w:rFonts w:ascii="Times New Roman" w:hAnsi="Times New Roman" w:cs="Times New Roman"/>
          <w:color w:val="000000" w:themeColor="text1"/>
          <w:sz w:val="24"/>
        </w:rPr>
        <w:t>S</w:t>
      </w:r>
      <w:r w:rsidR="00751538" w:rsidRPr="00C22E41">
        <w:rPr>
          <w:rFonts w:ascii="Times New Roman" w:hAnsi="Times New Roman" w:cs="Times New Roman"/>
          <w:color w:val="000000" w:themeColor="text1"/>
          <w:sz w:val="24"/>
        </w:rPr>
        <w:t xml:space="preserve">amples were homogenized to a final concentration of 10% in lysis buffer (100 mM Tris-HCl, 100 mM NaCl, 10 mM ethylenediamine </w:t>
      </w:r>
      <w:proofErr w:type="spellStart"/>
      <w:r w:rsidR="00751538" w:rsidRPr="00C22E41">
        <w:rPr>
          <w:rFonts w:ascii="Times New Roman" w:hAnsi="Times New Roman" w:cs="Times New Roman"/>
          <w:color w:val="000000" w:themeColor="text1"/>
          <w:sz w:val="24"/>
        </w:rPr>
        <w:t>tetraacetic</w:t>
      </w:r>
      <w:proofErr w:type="spellEnd"/>
      <w:r w:rsidR="00751538" w:rsidRPr="00C22E41">
        <w:rPr>
          <w:rFonts w:ascii="Times New Roman" w:hAnsi="Times New Roman" w:cs="Times New Roman"/>
          <w:color w:val="000000" w:themeColor="text1"/>
          <w:sz w:val="24"/>
        </w:rPr>
        <w:t xml:space="preserve"> acid, 0.5% </w:t>
      </w:r>
      <w:proofErr w:type="spellStart"/>
      <w:r w:rsidR="00751538" w:rsidRPr="00C22E41">
        <w:rPr>
          <w:rFonts w:ascii="Times New Roman" w:hAnsi="Times New Roman" w:cs="Times New Roman"/>
          <w:color w:val="000000" w:themeColor="text1"/>
          <w:sz w:val="24"/>
        </w:rPr>
        <w:t>Nonidet</w:t>
      </w:r>
      <w:proofErr w:type="spellEnd"/>
      <w:r w:rsidR="00751538" w:rsidRPr="00C22E41">
        <w:rPr>
          <w:rFonts w:ascii="Times New Roman" w:hAnsi="Times New Roman" w:cs="Times New Roman"/>
          <w:color w:val="000000" w:themeColor="text1"/>
          <w:sz w:val="24"/>
        </w:rPr>
        <w:t xml:space="preserve"> P-40, and 0.5% sodium deoxycholate, pH 7.6). To detect protease-resistant </w:t>
      </w:r>
      <w:proofErr w:type="spellStart"/>
      <w:r w:rsidR="00751538" w:rsidRPr="00C22E41">
        <w:rPr>
          <w:rFonts w:ascii="Times New Roman" w:hAnsi="Times New Roman" w:cs="Times New Roman"/>
          <w:color w:val="000000" w:themeColor="text1"/>
          <w:sz w:val="24"/>
        </w:rPr>
        <w:t>PrP</w:t>
      </w:r>
      <w:proofErr w:type="spellEnd"/>
      <w:r w:rsidR="00751538" w:rsidRPr="00C22E41">
        <w:rPr>
          <w:rFonts w:ascii="Times New Roman" w:hAnsi="Times New Roman" w:cs="Times New Roman"/>
          <w:color w:val="000000" w:themeColor="text1"/>
          <w:sz w:val="24"/>
        </w:rPr>
        <w:t xml:space="preserve"> (</w:t>
      </w:r>
      <w:proofErr w:type="spellStart"/>
      <w:r w:rsidR="00751538" w:rsidRPr="00C22E41">
        <w:rPr>
          <w:rFonts w:ascii="Times New Roman" w:hAnsi="Times New Roman" w:cs="Times New Roman"/>
          <w:color w:val="000000" w:themeColor="text1"/>
          <w:sz w:val="24"/>
        </w:rPr>
        <w:t>PrPres</w:t>
      </w:r>
      <w:proofErr w:type="spellEnd"/>
      <w:r w:rsidR="00751538" w:rsidRPr="00C22E41">
        <w:rPr>
          <w:rFonts w:ascii="Times New Roman" w:hAnsi="Times New Roman" w:cs="Times New Roman"/>
          <w:color w:val="000000" w:themeColor="text1"/>
          <w:sz w:val="24"/>
        </w:rPr>
        <w:t xml:space="preserve">), the prepared homogenates were treated with 15 </w:t>
      </w:r>
      <w:proofErr w:type="spellStart"/>
      <w:r w:rsidR="00751538" w:rsidRPr="00C22E41">
        <w:rPr>
          <w:rFonts w:ascii="Times New Roman" w:hAnsi="Times New Roman" w:cs="Times New Roman"/>
          <w:color w:val="000000" w:themeColor="text1"/>
          <w:sz w:val="24"/>
        </w:rPr>
        <w:t>μg</w:t>
      </w:r>
      <w:proofErr w:type="spellEnd"/>
      <w:r w:rsidR="00751538" w:rsidRPr="00C22E41">
        <w:rPr>
          <w:rFonts w:ascii="Times New Roman" w:hAnsi="Times New Roman" w:cs="Times New Roman"/>
          <w:color w:val="000000" w:themeColor="text1"/>
          <w:sz w:val="24"/>
        </w:rPr>
        <w:t xml:space="preserve">/mL proteinase K for 30 min at 37℃. Protease activity was then abolished by the addition of 1 mM </w:t>
      </w:r>
      <w:proofErr w:type="spellStart"/>
      <w:r w:rsidR="00751538" w:rsidRPr="00C22E41">
        <w:rPr>
          <w:rFonts w:ascii="Times New Roman" w:hAnsi="Times New Roman" w:cs="Times New Roman"/>
          <w:color w:val="000000" w:themeColor="text1"/>
          <w:sz w:val="24"/>
        </w:rPr>
        <w:t>Pefabloc</w:t>
      </w:r>
      <w:proofErr w:type="spellEnd"/>
      <w:r w:rsidR="00751538" w:rsidRPr="00C22E41">
        <w:rPr>
          <w:rFonts w:ascii="Times New Roman" w:hAnsi="Times New Roman" w:cs="Times New Roman"/>
          <w:color w:val="000000" w:themeColor="text1"/>
          <w:sz w:val="24"/>
        </w:rPr>
        <w:t xml:space="preserve"> SC (Roche, Indianapolis, IN, USA). To detect control </w:t>
      </w:r>
      <w:proofErr w:type="spellStart"/>
      <w:r w:rsidR="00751538" w:rsidRPr="00C22E41">
        <w:rPr>
          <w:rFonts w:ascii="Times New Roman" w:hAnsi="Times New Roman" w:cs="Times New Roman"/>
          <w:color w:val="000000" w:themeColor="text1"/>
          <w:sz w:val="24"/>
        </w:rPr>
        <w:t>PrP</w:t>
      </w:r>
      <w:proofErr w:type="spellEnd"/>
      <w:r w:rsidR="00751538" w:rsidRPr="00C22E41">
        <w:rPr>
          <w:rFonts w:ascii="Times New Roman" w:hAnsi="Times New Roman" w:cs="Times New Roman"/>
          <w:color w:val="000000" w:themeColor="text1"/>
          <w:sz w:val="24"/>
        </w:rPr>
        <w:t xml:space="preserve"> (</w:t>
      </w:r>
      <w:proofErr w:type="spellStart"/>
      <w:r w:rsidR="00751538" w:rsidRPr="00C22E41">
        <w:rPr>
          <w:rFonts w:ascii="Times New Roman" w:hAnsi="Times New Roman" w:cs="Times New Roman"/>
          <w:color w:val="000000" w:themeColor="text1"/>
          <w:sz w:val="24"/>
        </w:rPr>
        <w:t>PrPc</w:t>
      </w:r>
      <w:proofErr w:type="spellEnd"/>
      <w:r w:rsidR="00751538" w:rsidRPr="00C22E41">
        <w:rPr>
          <w:rFonts w:ascii="Times New Roman" w:hAnsi="Times New Roman" w:cs="Times New Roman"/>
          <w:color w:val="000000" w:themeColor="text1"/>
          <w:sz w:val="24"/>
        </w:rPr>
        <w:t xml:space="preserve">) and </w:t>
      </w:r>
      <w:proofErr w:type="spellStart"/>
      <w:r w:rsidR="00751538" w:rsidRPr="00C22E41">
        <w:rPr>
          <w:rFonts w:ascii="Times New Roman" w:hAnsi="Times New Roman" w:cs="Times New Roman"/>
          <w:color w:val="000000" w:themeColor="text1"/>
          <w:sz w:val="24"/>
        </w:rPr>
        <w:t>PrPres</w:t>
      </w:r>
      <w:proofErr w:type="spellEnd"/>
      <w:r w:rsidR="00751538" w:rsidRPr="00C22E41">
        <w:rPr>
          <w:rFonts w:ascii="Times New Roman" w:hAnsi="Times New Roman" w:cs="Times New Roman"/>
          <w:color w:val="000000" w:themeColor="text1"/>
          <w:sz w:val="24"/>
        </w:rPr>
        <w:t xml:space="preserve">, the samples were electrophoresed by sodium dodecyl sulfate polyacrylamide gel electrophoresis in preparative gels (Any </w:t>
      </w:r>
      <w:proofErr w:type="spellStart"/>
      <w:r w:rsidR="00751538" w:rsidRPr="00C22E41">
        <w:rPr>
          <w:rFonts w:ascii="Times New Roman" w:hAnsi="Times New Roman" w:cs="Times New Roman"/>
          <w:color w:val="000000" w:themeColor="text1"/>
          <w:sz w:val="24"/>
        </w:rPr>
        <w:t>kDa</w:t>
      </w:r>
      <w:proofErr w:type="spellEnd"/>
      <w:r w:rsidR="00751538" w:rsidRPr="00C22E41">
        <w:rPr>
          <w:rFonts w:ascii="Times New Roman" w:hAnsi="Times New Roman" w:cs="Times New Roman"/>
          <w:color w:val="000000" w:themeColor="text1"/>
          <w:sz w:val="24"/>
        </w:rPr>
        <w:t xml:space="preserve"> Precast Gel; Bio-Rad, Hercules, CA, USA) and transferred onto polyvinylidene difluoride membranes. </w:t>
      </w:r>
      <w:proofErr w:type="spellStart"/>
      <w:r w:rsidR="00751538" w:rsidRPr="00C22E41">
        <w:rPr>
          <w:rFonts w:ascii="Times New Roman" w:hAnsi="Times New Roman" w:cs="Times New Roman"/>
          <w:color w:val="000000" w:themeColor="text1"/>
          <w:sz w:val="24"/>
        </w:rPr>
        <w:t>PrPc</w:t>
      </w:r>
      <w:proofErr w:type="spellEnd"/>
      <w:r w:rsidR="00751538" w:rsidRPr="00C22E41">
        <w:rPr>
          <w:rFonts w:ascii="Times New Roman" w:hAnsi="Times New Roman" w:cs="Times New Roman"/>
          <w:color w:val="000000" w:themeColor="text1"/>
          <w:sz w:val="24"/>
        </w:rPr>
        <w:t xml:space="preserve"> and </w:t>
      </w:r>
      <w:proofErr w:type="spellStart"/>
      <w:r w:rsidR="00751538" w:rsidRPr="00C22E41">
        <w:rPr>
          <w:rFonts w:ascii="Times New Roman" w:hAnsi="Times New Roman" w:cs="Times New Roman"/>
          <w:color w:val="000000" w:themeColor="text1"/>
          <w:sz w:val="24"/>
        </w:rPr>
        <w:t>PrPres</w:t>
      </w:r>
      <w:proofErr w:type="spellEnd"/>
      <w:r w:rsidR="00751538" w:rsidRPr="00C22E41">
        <w:rPr>
          <w:rFonts w:ascii="Times New Roman" w:hAnsi="Times New Roman" w:cs="Times New Roman"/>
          <w:color w:val="000000" w:themeColor="text1"/>
          <w:sz w:val="24"/>
        </w:rPr>
        <w:t xml:space="preserve"> were detected using </w:t>
      </w:r>
      <w:proofErr w:type="gramStart"/>
      <w:r w:rsidR="00751538" w:rsidRPr="00C22E41">
        <w:rPr>
          <w:rFonts w:ascii="Times New Roman" w:hAnsi="Times New Roman" w:cs="Times New Roman"/>
          <w:color w:val="000000" w:themeColor="text1"/>
          <w:sz w:val="24"/>
        </w:rPr>
        <w:t>an</w:t>
      </w:r>
      <w:proofErr w:type="gramEnd"/>
      <w:r w:rsidR="00751538" w:rsidRPr="00C22E41">
        <w:rPr>
          <w:rFonts w:ascii="Times New Roman" w:hAnsi="Times New Roman" w:cs="Times New Roman"/>
          <w:color w:val="000000" w:themeColor="text1"/>
          <w:sz w:val="24"/>
        </w:rPr>
        <w:t xml:space="preserve"> mouse monoclonal anti-</w:t>
      </w:r>
      <w:proofErr w:type="spellStart"/>
      <w:r w:rsidR="00751538" w:rsidRPr="00C22E41">
        <w:rPr>
          <w:rFonts w:ascii="Times New Roman" w:hAnsi="Times New Roman" w:cs="Times New Roman"/>
          <w:color w:val="000000" w:themeColor="text1"/>
          <w:sz w:val="24"/>
        </w:rPr>
        <w:t>PrP</w:t>
      </w:r>
      <w:proofErr w:type="spellEnd"/>
      <w:r w:rsidR="00751538" w:rsidRPr="00C22E41">
        <w:rPr>
          <w:rFonts w:ascii="Times New Roman" w:hAnsi="Times New Roman" w:cs="Times New Roman"/>
          <w:color w:val="000000" w:themeColor="text1"/>
          <w:sz w:val="24"/>
        </w:rPr>
        <w:t xml:space="preserve"> antibody (used at a 1:1,000 dilution). Donkey polyclonal peroxidase-conjugated anti-mouse IgG (Merck</w:t>
      </w:r>
      <w:r w:rsidR="00751538" w:rsidRPr="00C22E41">
        <w:rPr>
          <w:rFonts w:ascii="Times New Roman" w:hAnsi="Times New Roman" w:cs="Times New Roman" w:hint="eastAsia"/>
          <w:color w:val="000000" w:themeColor="text1"/>
          <w:sz w:val="24"/>
        </w:rPr>
        <w:t>,</w:t>
      </w:r>
      <w:r w:rsidR="00751538" w:rsidRPr="00C22E41">
        <w:rPr>
          <w:rFonts w:ascii="Times New Roman" w:hAnsi="Times New Roman" w:cs="Times New Roman"/>
          <w:color w:val="000000" w:themeColor="text1"/>
          <w:sz w:val="24"/>
        </w:rPr>
        <w:t xml:space="preserve"> AP192P, used at a 1:2,500 dilution) was used as a secondary antibody. The immunoreaction was visualized using an ECL Plus Western Blotting Detection System (GE Healthcare, Buckinghamshire, UK).</w:t>
      </w:r>
    </w:p>
    <w:p w:rsidR="001B2F6A" w:rsidRDefault="001B2F6A" w:rsidP="001B2F6A">
      <w:pPr>
        <w:spacing w:line="480" w:lineRule="auto"/>
        <w:rPr>
          <w:rFonts w:ascii="Times New Roman" w:hAnsi="Times New Roman" w:cs="Times New Roman"/>
          <w:color w:val="000000" w:themeColor="text1"/>
          <w:sz w:val="24"/>
        </w:rPr>
      </w:pPr>
    </w:p>
    <w:p w:rsidR="001B2F6A" w:rsidRDefault="00717B1E" w:rsidP="001B2F6A">
      <w:pPr>
        <w:spacing w:line="480" w:lineRule="auto"/>
        <w:rPr>
          <w:rFonts w:ascii="Times New Roman" w:hAnsi="Times New Roman" w:cs="Times New Roman"/>
          <w:b/>
          <w:color w:val="000000" w:themeColor="text1"/>
          <w:sz w:val="24"/>
        </w:rPr>
      </w:pPr>
      <w:r w:rsidRPr="00717B1E">
        <w:rPr>
          <w:rFonts w:ascii="Times New Roman" w:hAnsi="Times New Roman" w:cs="Times New Roman"/>
          <w:b/>
          <w:color w:val="000000" w:themeColor="text1"/>
          <w:sz w:val="24"/>
        </w:rPr>
        <w:lastRenderedPageBreak/>
        <w:t>Neurotoxicity assays in the presence of oxidative stress</w:t>
      </w:r>
    </w:p>
    <w:p w:rsidR="00717B1E" w:rsidRDefault="00717B1E" w:rsidP="001B2F6A">
      <w:pPr>
        <w:spacing w:line="480" w:lineRule="auto"/>
        <w:rPr>
          <w:rFonts w:ascii="Times New Roman" w:hAnsi="Times New Roman" w:cs="Times New Roman"/>
          <w:color w:val="000000" w:themeColor="text1"/>
          <w:sz w:val="24"/>
        </w:rPr>
      </w:pPr>
      <w:r>
        <w:rPr>
          <w:rFonts w:ascii="Times New Roman" w:hAnsi="Times New Roman" w:cs="Times New Roman"/>
          <w:b/>
          <w:color w:val="000000" w:themeColor="text1"/>
          <w:sz w:val="24"/>
        </w:rPr>
        <w:tab/>
      </w:r>
      <w:r w:rsidR="000B4C8D" w:rsidRPr="000B4C8D">
        <w:rPr>
          <w:rFonts w:ascii="Times New Roman" w:hAnsi="Times New Roman" w:cs="Times New Roman"/>
          <w:color w:val="000000" w:themeColor="text1"/>
          <w:sz w:val="24"/>
        </w:rPr>
        <w:t>Cell viability was evaluating using a Cell Counting Kit-8 (</w:t>
      </w:r>
      <w:proofErr w:type="spellStart"/>
      <w:r w:rsidR="000B4C8D" w:rsidRPr="000B4C8D">
        <w:rPr>
          <w:rFonts w:ascii="Times New Roman" w:hAnsi="Times New Roman" w:cs="Times New Roman"/>
          <w:color w:val="000000" w:themeColor="text1"/>
          <w:sz w:val="24"/>
        </w:rPr>
        <w:t>Dojindo</w:t>
      </w:r>
      <w:proofErr w:type="spellEnd"/>
      <w:r w:rsidR="000B4C8D" w:rsidRPr="000B4C8D">
        <w:rPr>
          <w:rFonts w:ascii="Times New Roman" w:hAnsi="Times New Roman" w:cs="Times New Roman"/>
          <w:color w:val="000000" w:themeColor="text1"/>
          <w:sz w:val="24"/>
        </w:rPr>
        <w:t xml:space="preserve"> Laboratories Co., Ltd., Kumamoto, Japan) [5] and the absorbance of each well was read at 450 nm with a microplate reader (</w:t>
      </w:r>
      <w:proofErr w:type="spellStart"/>
      <w:r w:rsidR="000B4C8D" w:rsidRPr="000B4C8D">
        <w:rPr>
          <w:rFonts w:ascii="Times New Roman" w:hAnsi="Times New Roman" w:cs="Times New Roman"/>
          <w:color w:val="000000" w:themeColor="text1"/>
          <w:sz w:val="24"/>
        </w:rPr>
        <w:t>EnVision</w:t>
      </w:r>
      <w:proofErr w:type="spellEnd"/>
      <w:r w:rsidR="000B4C8D" w:rsidRPr="000B4C8D">
        <w:rPr>
          <w:rFonts w:ascii="Times New Roman" w:hAnsi="Times New Roman" w:cs="Times New Roman"/>
          <w:color w:val="000000" w:themeColor="text1"/>
          <w:sz w:val="24"/>
        </w:rPr>
        <w:t xml:space="preserve"> 2104 Multilabel Plate Reader; PerkinElmer). The MAP-2-positive </w:t>
      </w:r>
      <w:proofErr w:type="spellStart"/>
      <w:r w:rsidR="000B4C8D" w:rsidRPr="000B4C8D">
        <w:rPr>
          <w:rFonts w:ascii="Times New Roman" w:hAnsi="Times New Roman" w:cs="Times New Roman"/>
          <w:color w:val="000000" w:themeColor="text1"/>
          <w:sz w:val="24"/>
        </w:rPr>
        <w:t>iPSN</w:t>
      </w:r>
      <w:proofErr w:type="spellEnd"/>
      <w:r w:rsidR="000B4C8D" w:rsidRPr="000B4C8D">
        <w:rPr>
          <w:rFonts w:ascii="Times New Roman" w:hAnsi="Times New Roman" w:cs="Times New Roman"/>
          <w:color w:val="000000" w:themeColor="text1"/>
          <w:sz w:val="24"/>
        </w:rPr>
        <w:t xml:space="preserve"> cell number was detected by an Operetta CLS (PerkinElmer) and then quantified automatically with an Operetta CLS High Content Analysis System (PerkinElmer). Cell toxicity was evaluating using an LDH Cytotoxicity Assay Kit (</w:t>
      </w:r>
      <w:proofErr w:type="spellStart"/>
      <w:r w:rsidR="000B4C8D" w:rsidRPr="000B4C8D">
        <w:rPr>
          <w:rFonts w:ascii="Times New Roman" w:hAnsi="Times New Roman" w:cs="Times New Roman"/>
          <w:color w:val="000000" w:themeColor="text1"/>
          <w:sz w:val="24"/>
        </w:rPr>
        <w:t>Nacalai</w:t>
      </w:r>
      <w:proofErr w:type="spellEnd"/>
      <w:r w:rsidR="000B4C8D" w:rsidRPr="000B4C8D">
        <w:rPr>
          <w:rFonts w:ascii="Times New Roman" w:hAnsi="Times New Roman" w:cs="Times New Roman"/>
          <w:color w:val="000000" w:themeColor="text1"/>
          <w:sz w:val="24"/>
        </w:rPr>
        <w:t xml:space="preserve"> </w:t>
      </w:r>
      <w:proofErr w:type="spellStart"/>
      <w:r w:rsidR="000B4C8D" w:rsidRPr="000B4C8D">
        <w:rPr>
          <w:rFonts w:ascii="Times New Roman" w:hAnsi="Times New Roman" w:cs="Times New Roman"/>
          <w:color w:val="000000" w:themeColor="text1"/>
          <w:sz w:val="24"/>
        </w:rPr>
        <w:t>Tesque</w:t>
      </w:r>
      <w:proofErr w:type="spellEnd"/>
      <w:r w:rsidR="000B4C8D" w:rsidRPr="000B4C8D">
        <w:rPr>
          <w:rFonts w:ascii="Times New Roman" w:hAnsi="Times New Roman" w:cs="Times New Roman"/>
          <w:color w:val="000000" w:themeColor="text1"/>
          <w:sz w:val="24"/>
        </w:rPr>
        <w:t>, Kyoto, Japan) and the absorbance of each well was read at 490 nm with a microplate reader. ROS formation was evaluated with a ROS Assay Kit-Highly Sensitive DCFH-DA (</w:t>
      </w:r>
      <w:proofErr w:type="spellStart"/>
      <w:r w:rsidR="000B4C8D" w:rsidRPr="000B4C8D">
        <w:rPr>
          <w:rFonts w:ascii="Times New Roman" w:hAnsi="Times New Roman" w:cs="Times New Roman"/>
          <w:color w:val="000000" w:themeColor="text1"/>
          <w:sz w:val="24"/>
        </w:rPr>
        <w:t>Dojindo</w:t>
      </w:r>
      <w:proofErr w:type="spellEnd"/>
      <w:r w:rsidR="000B4C8D" w:rsidRPr="000B4C8D">
        <w:rPr>
          <w:rFonts w:ascii="Times New Roman" w:hAnsi="Times New Roman" w:cs="Times New Roman"/>
          <w:color w:val="000000" w:themeColor="text1"/>
          <w:sz w:val="24"/>
        </w:rPr>
        <w:t xml:space="preserve"> Laboratories Co., Ltd.) [6]; the positive response ratio was detected by an Operetta CLS (PerkinElmer) and then quantified automatically with an Operetta CLS High Content Analysis System (PerkinElmer). Pyocyanin was used as a positive control (100% ROS formation ratio), while N-acetyl cysteine was used as a negative control. Mitochondrial fat-soluble peroxide was evaluating with </w:t>
      </w:r>
      <w:proofErr w:type="spellStart"/>
      <w:r w:rsidR="000B4C8D" w:rsidRPr="000B4C8D">
        <w:rPr>
          <w:rFonts w:ascii="Times New Roman" w:hAnsi="Times New Roman" w:cs="Times New Roman"/>
          <w:color w:val="000000" w:themeColor="text1"/>
          <w:sz w:val="24"/>
        </w:rPr>
        <w:t>MitoPeDPP</w:t>
      </w:r>
      <w:proofErr w:type="spellEnd"/>
      <w:r w:rsidR="000B4C8D" w:rsidRPr="000B4C8D">
        <w:rPr>
          <w:rFonts w:ascii="Times New Roman" w:hAnsi="Times New Roman" w:cs="Times New Roman"/>
          <w:color w:val="000000" w:themeColor="text1"/>
          <w:sz w:val="24"/>
        </w:rPr>
        <w:t>, 3-[4-(</w:t>
      </w:r>
      <w:proofErr w:type="spellStart"/>
      <w:r w:rsidR="000B4C8D" w:rsidRPr="000B4C8D">
        <w:rPr>
          <w:rFonts w:ascii="Times New Roman" w:hAnsi="Times New Roman" w:cs="Times New Roman"/>
          <w:color w:val="000000" w:themeColor="text1"/>
          <w:sz w:val="24"/>
        </w:rPr>
        <w:t>perylenylphenylphosphino</w:t>
      </w:r>
      <w:proofErr w:type="spellEnd"/>
      <w:r w:rsidR="000B4C8D" w:rsidRPr="000B4C8D">
        <w:rPr>
          <w:rFonts w:ascii="Times New Roman" w:hAnsi="Times New Roman" w:cs="Times New Roman"/>
          <w:color w:val="000000" w:themeColor="text1"/>
          <w:sz w:val="24"/>
        </w:rPr>
        <w:t xml:space="preserve">) </w:t>
      </w:r>
      <w:proofErr w:type="gramStart"/>
      <w:r w:rsidR="000B4C8D" w:rsidRPr="000B4C8D">
        <w:rPr>
          <w:rFonts w:ascii="Times New Roman" w:hAnsi="Times New Roman" w:cs="Times New Roman"/>
          <w:color w:val="000000" w:themeColor="text1"/>
          <w:sz w:val="24"/>
        </w:rPr>
        <w:t>phenoxy]</w:t>
      </w:r>
      <w:proofErr w:type="spellStart"/>
      <w:r w:rsidR="000B4C8D" w:rsidRPr="000B4C8D">
        <w:rPr>
          <w:rFonts w:ascii="Times New Roman" w:hAnsi="Times New Roman" w:cs="Times New Roman"/>
          <w:color w:val="000000" w:themeColor="text1"/>
          <w:sz w:val="24"/>
        </w:rPr>
        <w:t>propyltriphenylphosphonium</w:t>
      </w:r>
      <w:proofErr w:type="spellEnd"/>
      <w:proofErr w:type="gramEnd"/>
      <w:r w:rsidR="000B4C8D" w:rsidRPr="000B4C8D">
        <w:rPr>
          <w:rFonts w:ascii="Times New Roman" w:hAnsi="Times New Roman" w:cs="Times New Roman"/>
          <w:color w:val="000000" w:themeColor="text1"/>
          <w:sz w:val="24"/>
        </w:rPr>
        <w:t xml:space="preserve"> iodide (</w:t>
      </w:r>
      <w:proofErr w:type="spellStart"/>
      <w:r w:rsidR="000B4C8D" w:rsidRPr="000B4C8D">
        <w:rPr>
          <w:rFonts w:ascii="Times New Roman" w:hAnsi="Times New Roman" w:cs="Times New Roman"/>
          <w:color w:val="000000" w:themeColor="text1"/>
          <w:sz w:val="24"/>
        </w:rPr>
        <w:t>Dojindo</w:t>
      </w:r>
      <w:proofErr w:type="spellEnd"/>
      <w:r w:rsidR="000B4C8D" w:rsidRPr="000B4C8D">
        <w:rPr>
          <w:rFonts w:ascii="Times New Roman" w:hAnsi="Times New Roman" w:cs="Times New Roman"/>
          <w:color w:val="000000" w:themeColor="text1"/>
          <w:sz w:val="24"/>
        </w:rPr>
        <w:t xml:space="preserve"> Laboratories Co., Ltd.) [7, </w:t>
      </w:r>
      <w:r w:rsidR="000B4C8D">
        <w:rPr>
          <w:rFonts w:ascii="Times New Roman" w:hAnsi="Times New Roman" w:cs="Times New Roman"/>
          <w:color w:val="000000" w:themeColor="text1"/>
          <w:sz w:val="24"/>
        </w:rPr>
        <w:t>8</w:t>
      </w:r>
      <w:r w:rsidR="000B4C8D" w:rsidRPr="000B4C8D">
        <w:rPr>
          <w:rFonts w:ascii="Times New Roman" w:hAnsi="Times New Roman" w:cs="Times New Roman"/>
          <w:color w:val="000000" w:themeColor="text1"/>
          <w:sz w:val="24"/>
        </w:rPr>
        <w:t>]; the positive response ratio was detected by an Operetta CLS (PerkinElmer) and then quantified automatically with an Operetta CLS High Content Analysis System (PerkinElmer).</w:t>
      </w:r>
    </w:p>
    <w:p w:rsidR="00945C16" w:rsidRDefault="00945C16" w:rsidP="001B2F6A">
      <w:pPr>
        <w:spacing w:line="480" w:lineRule="auto"/>
        <w:rPr>
          <w:rFonts w:ascii="Times New Roman" w:hAnsi="Times New Roman" w:cs="Times New Roman"/>
          <w:color w:val="000000" w:themeColor="text1"/>
          <w:sz w:val="24"/>
        </w:rPr>
      </w:pPr>
    </w:p>
    <w:p w:rsidR="00945C16" w:rsidRDefault="00945C16" w:rsidP="001B2F6A">
      <w:pPr>
        <w:spacing w:line="480" w:lineRule="auto"/>
        <w:rPr>
          <w:rFonts w:ascii="Times New Roman" w:hAnsi="Times New Roman" w:cs="Times New Roman"/>
          <w:b/>
          <w:color w:val="000000" w:themeColor="text1"/>
          <w:sz w:val="24"/>
        </w:rPr>
      </w:pPr>
      <w:proofErr w:type="spellStart"/>
      <w:r w:rsidRPr="00C22E41">
        <w:rPr>
          <w:rFonts w:ascii="Times New Roman" w:hAnsi="Times New Roman" w:cs="Times New Roman"/>
          <w:b/>
          <w:color w:val="000000" w:themeColor="text1"/>
          <w:sz w:val="24"/>
        </w:rPr>
        <w:t>Edaravone</w:t>
      </w:r>
      <w:proofErr w:type="spellEnd"/>
      <w:r w:rsidRPr="00C22E41">
        <w:rPr>
          <w:rFonts w:ascii="Times New Roman" w:hAnsi="Times New Roman" w:cs="Times New Roman"/>
          <w:b/>
          <w:color w:val="000000" w:themeColor="text1"/>
          <w:sz w:val="24"/>
        </w:rPr>
        <w:t xml:space="preserve"> treatment of a </w:t>
      </w:r>
      <w:r w:rsidRPr="00C22E41">
        <w:rPr>
          <w:rFonts w:ascii="Times New Roman" w:hAnsi="Times New Roman" w:cs="Times New Roman"/>
          <w:b/>
          <w:i/>
          <w:color w:val="000000" w:themeColor="text1"/>
          <w:sz w:val="24"/>
        </w:rPr>
        <w:t>PRNP</w:t>
      </w:r>
      <w:r w:rsidRPr="00C22E41">
        <w:rPr>
          <w:rFonts w:ascii="Times New Roman" w:hAnsi="Times New Roman" w:cs="Times New Roman"/>
          <w:b/>
          <w:color w:val="000000" w:themeColor="text1"/>
          <w:sz w:val="24"/>
        </w:rPr>
        <w:t xml:space="preserve"> Y162X patient</w:t>
      </w:r>
    </w:p>
    <w:p w:rsidR="00945C16" w:rsidRDefault="00946BA1" w:rsidP="00946BA1">
      <w:pPr>
        <w:spacing w:line="480" w:lineRule="auto"/>
        <w:ind w:firstLine="720"/>
        <w:rPr>
          <w:rFonts w:ascii="Times New Roman" w:hAnsi="Times New Roman" w:cs="Times New Roman"/>
          <w:color w:val="000000" w:themeColor="text1"/>
          <w:sz w:val="24"/>
        </w:rPr>
      </w:pPr>
      <w:r>
        <w:rPr>
          <w:rFonts w:ascii="Times New Roman" w:hAnsi="Times New Roman" w:cs="Times New Roman"/>
          <w:color w:val="000000" w:themeColor="text1"/>
          <w:sz w:val="24"/>
        </w:rPr>
        <w:t>Clinical patient status through this study</w:t>
      </w:r>
      <w:r w:rsidRPr="00C22E41">
        <w:rPr>
          <w:rFonts w:ascii="Times New Roman" w:hAnsi="Times New Roman" w:cs="Times New Roman"/>
          <w:color w:val="000000" w:themeColor="text1"/>
          <w:sz w:val="24"/>
        </w:rPr>
        <w:t xml:space="preserve"> were </w:t>
      </w:r>
      <w:r>
        <w:rPr>
          <w:rFonts w:ascii="Times New Roman" w:hAnsi="Times New Roman" w:cs="Times New Roman"/>
          <w:color w:val="000000" w:themeColor="text1"/>
          <w:sz w:val="24"/>
        </w:rPr>
        <w:t>validated</w:t>
      </w:r>
      <w:r w:rsidRPr="00C22E41">
        <w:rPr>
          <w:rFonts w:ascii="Times New Roman" w:hAnsi="Times New Roman" w:cs="Times New Roman"/>
          <w:color w:val="000000" w:themeColor="text1"/>
          <w:sz w:val="24"/>
        </w:rPr>
        <w:t xml:space="preserve"> with the body mass index, Barthel Index, Mini-Mental State Examination, Montreal Cognitive Assessment, blood examination values of albumin, pre-albumin, and transferrin, air blood gas examination, sural nerve sensory nerve action potential and median F wave appearance rate by nerve conduction study (these parameters were evaluated at 2 years and 1 year before </w:t>
      </w:r>
      <w:proofErr w:type="spellStart"/>
      <w:r w:rsidRPr="00C22E41">
        <w:rPr>
          <w:rFonts w:ascii="Times New Roman" w:hAnsi="Times New Roman" w:cs="Times New Roman"/>
          <w:color w:val="000000" w:themeColor="text1"/>
          <w:sz w:val="24"/>
        </w:rPr>
        <w:t>edaravone</w:t>
      </w:r>
      <w:proofErr w:type="spellEnd"/>
      <w:r w:rsidRPr="00C22E41">
        <w:rPr>
          <w:rFonts w:ascii="Times New Roman" w:hAnsi="Times New Roman" w:cs="Times New Roman"/>
          <w:color w:val="000000" w:themeColor="text1"/>
          <w:sz w:val="24"/>
        </w:rPr>
        <w:t xml:space="preserve"> initiation, at </w:t>
      </w:r>
      <w:proofErr w:type="spellStart"/>
      <w:r w:rsidRPr="00C22E41">
        <w:rPr>
          <w:rFonts w:ascii="Times New Roman" w:hAnsi="Times New Roman" w:cs="Times New Roman"/>
          <w:color w:val="000000" w:themeColor="text1"/>
          <w:sz w:val="24"/>
        </w:rPr>
        <w:t>edaravone</w:t>
      </w:r>
      <w:proofErr w:type="spellEnd"/>
      <w:r w:rsidRPr="00C22E41">
        <w:rPr>
          <w:rFonts w:ascii="Times New Roman" w:hAnsi="Times New Roman" w:cs="Times New Roman"/>
          <w:color w:val="000000" w:themeColor="text1"/>
          <w:sz w:val="24"/>
        </w:rPr>
        <w:t xml:space="preserve"> initiation, and at 1 year and 2 years after </w:t>
      </w:r>
      <w:proofErr w:type="spellStart"/>
      <w:r w:rsidRPr="00C22E41">
        <w:rPr>
          <w:rFonts w:ascii="Times New Roman" w:hAnsi="Times New Roman" w:cs="Times New Roman"/>
          <w:color w:val="000000" w:themeColor="text1"/>
          <w:sz w:val="24"/>
        </w:rPr>
        <w:t>edaravone</w:t>
      </w:r>
      <w:proofErr w:type="spellEnd"/>
      <w:r w:rsidRPr="00C22E41">
        <w:rPr>
          <w:rFonts w:ascii="Times New Roman" w:hAnsi="Times New Roman" w:cs="Times New Roman"/>
          <w:color w:val="000000" w:themeColor="text1"/>
          <w:sz w:val="24"/>
        </w:rPr>
        <w:t xml:space="preserve"> initiation), maximum blood </w:t>
      </w:r>
      <w:r w:rsidRPr="00C22E41">
        <w:rPr>
          <w:rFonts w:ascii="Times New Roman" w:hAnsi="Times New Roman" w:cs="Times New Roman"/>
          <w:color w:val="000000" w:themeColor="text1"/>
          <w:sz w:val="24"/>
        </w:rPr>
        <w:lastRenderedPageBreak/>
        <w:t xml:space="preserve">pressure coefficient of variation, mean blood pressure coefficient of variation, and minimum blood pressure coefficient of variation by ambulatory blood pressure monitoring, apnea hypopnea index by polysomnography, and the heart/mediastinum early and late ratios and heart washout rate by iodine-131-labeled </w:t>
      </w:r>
      <w:proofErr w:type="spellStart"/>
      <w:r w:rsidRPr="00C22E41">
        <w:rPr>
          <w:rFonts w:ascii="Times New Roman" w:hAnsi="Times New Roman" w:cs="Times New Roman"/>
          <w:color w:val="000000" w:themeColor="text1"/>
          <w:sz w:val="24"/>
        </w:rPr>
        <w:t>metaiodo-benzylguanidine</w:t>
      </w:r>
      <w:proofErr w:type="spellEnd"/>
      <w:r w:rsidRPr="00C22E41">
        <w:rPr>
          <w:rFonts w:ascii="Times New Roman" w:hAnsi="Times New Roman" w:cs="Times New Roman"/>
          <w:color w:val="000000" w:themeColor="text1"/>
          <w:sz w:val="24"/>
        </w:rPr>
        <w:t xml:space="preserve"> (</w:t>
      </w:r>
      <w:r w:rsidRPr="00C22E41">
        <w:rPr>
          <w:rFonts w:ascii="Times New Roman" w:hAnsi="Times New Roman" w:cs="Times New Roman"/>
          <w:color w:val="000000" w:themeColor="text1"/>
          <w:sz w:val="24"/>
          <w:vertAlign w:val="superscript"/>
        </w:rPr>
        <w:t>131</w:t>
      </w:r>
      <w:r w:rsidRPr="00C22E41">
        <w:rPr>
          <w:rFonts w:ascii="Times New Roman" w:hAnsi="Times New Roman" w:cs="Times New Roman"/>
          <w:color w:val="000000" w:themeColor="text1"/>
          <w:sz w:val="24"/>
        </w:rPr>
        <w:t xml:space="preserve">I-MIBG) scintigraphy (these parameters were evaluated at 2 years before </w:t>
      </w:r>
      <w:proofErr w:type="spellStart"/>
      <w:r w:rsidRPr="00C22E41">
        <w:rPr>
          <w:rFonts w:ascii="Times New Roman" w:hAnsi="Times New Roman" w:cs="Times New Roman"/>
          <w:color w:val="000000" w:themeColor="text1"/>
          <w:sz w:val="24"/>
        </w:rPr>
        <w:t>edaravone</w:t>
      </w:r>
      <w:proofErr w:type="spellEnd"/>
      <w:r w:rsidRPr="00C22E41">
        <w:rPr>
          <w:rFonts w:ascii="Times New Roman" w:hAnsi="Times New Roman" w:cs="Times New Roman"/>
          <w:color w:val="000000" w:themeColor="text1"/>
          <w:sz w:val="24"/>
        </w:rPr>
        <w:t xml:space="preserve"> initiation, at </w:t>
      </w:r>
      <w:proofErr w:type="spellStart"/>
      <w:r w:rsidRPr="00C22E41">
        <w:rPr>
          <w:rFonts w:ascii="Times New Roman" w:hAnsi="Times New Roman" w:cs="Times New Roman"/>
          <w:color w:val="000000" w:themeColor="text1"/>
          <w:sz w:val="24"/>
        </w:rPr>
        <w:t>edaravone</w:t>
      </w:r>
      <w:proofErr w:type="spellEnd"/>
      <w:r w:rsidRPr="00C22E41">
        <w:rPr>
          <w:rFonts w:ascii="Times New Roman" w:hAnsi="Times New Roman" w:cs="Times New Roman"/>
          <w:color w:val="000000" w:themeColor="text1"/>
          <w:sz w:val="24"/>
        </w:rPr>
        <w:t xml:space="preserve"> initiation, and at 2 years after </w:t>
      </w:r>
      <w:proofErr w:type="spellStart"/>
      <w:r w:rsidRPr="00C22E41">
        <w:rPr>
          <w:rFonts w:ascii="Times New Roman" w:hAnsi="Times New Roman" w:cs="Times New Roman"/>
          <w:color w:val="000000" w:themeColor="text1"/>
          <w:sz w:val="24"/>
        </w:rPr>
        <w:t>edaravone</w:t>
      </w:r>
      <w:proofErr w:type="spellEnd"/>
      <w:r w:rsidRPr="00C22E41">
        <w:rPr>
          <w:rFonts w:ascii="Times New Roman" w:hAnsi="Times New Roman" w:cs="Times New Roman"/>
          <w:color w:val="000000" w:themeColor="text1"/>
          <w:sz w:val="24"/>
        </w:rPr>
        <w:t xml:space="preserve"> initiation).</w:t>
      </w:r>
    </w:p>
    <w:p w:rsidR="005E7388" w:rsidRDefault="005E7388" w:rsidP="005E7388">
      <w:pPr>
        <w:spacing w:line="480" w:lineRule="auto"/>
        <w:rPr>
          <w:rFonts w:ascii="Times New Roman" w:hAnsi="Times New Roman" w:cs="Times New Roman"/>
          <w:color w:val="000000" w:themeColor="text1"/>
          <w:sz w:val="24"/>
        </w:rPr>
      </w:pPr>
    </w:p>
    <w:p w:rsidR="000573B6" w:rsidRDefault="005E7388" w:rsidP="005E7388">
      <w:pPr>
        <w:spacing w:line="48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Discussion </w:t>
      </w:r>
    </w:p>
    <w:p w:rsidR="000573B6" w:rsidRDefault="000573B6" w:rsidP="005E7388">
      <w:pPr>
        <w:spacing w:line="480" w:lineRule="auto"/>
        <w:rPr>
          <w:rFonts w:ascii="Times New Roman" w:hAnsi="Times New Roman" w:cs="Times New Roman"/>
          <w:b/>
          <w:color w:val="000000" w:themeColor="text1"/>
          <w:sz w:val="24"/>
          <w:szCs w:val="24"/>
        </w:rPr>
      </w:pPr>
      <w:proofErr w:type="spellStart"/>
      <w:r w:rsidRPr="000573B6">
        <w:rPr>
          <w:rFonts w:ascii="Times New Roman" w:hAnsi="Times New Roman" w:cs="Times New Roman" w:hint="eastAsia"/>
          <w:b/>
          <w:color w:val="000000" w:themeColor="text1"/>
          <w:sz w:val="24"/>
          <w:szCs w:val="24"/>
        </w:rPr>
        <w:t>E</w:t>
      </w:r>
      <w:r w:rsidRPr="000573B6">
        <w:rPr>
          <w:rFonts w:ascii="Times New Roman" w:hAnsi="Times New Roman" w:cs="Times New Roman"/>
          <w:b/>
          <w:color w:val="000000" w:themeColor="text1"/>
          <w:sz w:val="24"/>
          <w:szCs w:val="24"/>
        </w:rPr>
        <w:t>daravone</w:t>
      </w:r>
      <w:proofErr w:type="spellEnd"/>
      <w:r w:rsidRPr="000573B6">
        <w:rPr>
          <w:rFonts w:ascii="Times New Roman" w:hAnsi="Times New Roman" w:cs="Times New Roman" w:hint="eastAsia"/>
          <w:b/>
          <w:color w:val="000000" w:themeColor="text1"/>
          <w:sz w:val="24"/>
          <w:szCs w:val="24"/>
        </w:rPr>
        <w:t xml:space="preserve"> </w:t>
      </w:r>
      <w:r w:rsidRPr="000573B6">
        <w:rPr>
          <w:rFonts w:ascii="Times New Roman" w:hAnsi="Times New Roman" w:cs="Times New Roman"/>
          <w:b/>
          <w:color w:val="000000" w:themeColor="text1"/>
          <w:sz w:val="24"/>
          <w:szCs w:val="24"/>
        </w:rPr>
        <w:t xml:space="preserve">pharmacological mechanism </w:t>
      </w:r>
    </w:p>
    <w:p w:rsidR="00D64351" w:rsidRPr="00B70218" w:rsidRDefault="00B70218" w:rsidP="005E7388">
      <w:pPr>
        <w:spacing w:line="480" w:lineRule="auto"/>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ab/>
      </w:r>
      <w:r w:rsidRPr="00B70218">
        <w:rPr>
          <w:rFonts w:ascii="Times New Roman" w:hAnsi="Times New Roman" w:cs="Times New Roman"/>
          <w:color w:val="000000" w:themeColor="text1"/>
          <w:sz w:val="24"/>
          <w:szCs w:val="24"/>
        </w:rPr>
        <w:t xml:space="preserve">Although prion diseases are considered to be associated with the oxidative response, no clinical trials have examined the efficacy of </w:t>
      </w:r>
      <w:proofErr w:type="spellStart"/>
      <w:r w:rsidRPr="00B70218">
        <w:rPr>
          <w:rFonts w:ascii="Times New Roman" w:hAnsi="Times New Roman" w:cs="Times New Roman"/>
          <w:color w:val="000000" w:themeColor="text1"/>
          <w:sz w:val="24"/>
          <w:szCs w:val="24"/>
        </w:rPr>
        <w:t>edaravone</w:t>
      </w:r>
      <w:proofErr w:type="spellEnd"/>
      <w:r w:rsidRPr="00B70218">
        <w:rPr>
          <w:rFonts w:ascii="Times New Roman" w:hAnsi="Times New Roman" w:cs="Times New Roman"/>
          <w:color w:val="000000" w:themeColor="text1"/>
          <w:sz w:val="24"/>
          <w:szCs w:val="24"/>
        </w:rPr>
        <w:t xml:space="preserve"> for prion diseases. </w:t>
      </w:r>
      <w:proofErr w:type="spellStart"/>
      <w:r w:rsidRPr="00B70218">
        <w:rPr>
          <w:rFonts w:ascii="Times New Roman" w:hAnsi="Times New Roman" w:cs="Times New Roman"/>
          <w:color w:val="000000" w:themeColor="text1"/>
          <w:sz w:val="24"/>
          <w:szCs w:val="24"/>
        </w:rPr>
        <w:t>Edaravone</w:t>
      </w:r>
      <w:proofErr w:type="spellEnd"/>
      <w:r w:rsidRPr="00B70218">
        <w:rPr>
          <w:rFonts w:ascii="Times New Roman" w:hAnsi="Times New Roman" w:cs="Times New Roman"/>
          <w:color w:val="000000" w:themeColor="text1"/>
          <w:sz w:val="24"/>
          <w:szCs w:val="24"/>
        </w:rPr>
        <w:t xml:space="preserve"> is a free-radical scavenger that shows anti-oxidative effects against water-soluble peroxyl radicals and lipid-soluble peroxyl radicals. </w:t>
      </w:r>
      <w:proofErr w:type="spellStart"/>
      <w:r w:rsidRPr="00B70218">
        <w:rPr>
          <w:rFonts w:ascii="Times New Roman" w:hAnsi="Times New Roman" w:cs="Times New Roman"/>
          <w:color w:val="000000" w:themeColor="text1"/>
          <w:sz w:val="24"/>
          <w:szCs w:val="24"/>
        </w:rPr>
        <w:t>Edaravone</w:t>
      </w:r>
      <w:proofErr w:type="spellEnd"/>
      <w:r w:rsidRPr="00B70218">
        <w:rPr>
          <w:rFonts w:ascii="Times New Roman" w:hAnsi="Times New Roman" w:cs="Times New Roman"/>
          <w:color w:val="000000" w:themeColor="text1"/>
          <w:sz w:val="24"/>
          <w:szCs w:val="24"/>
        </w:rPr>
        <w:t xml:space="preserve"> eliminates free radicals and decreases ROS formation through its electron-donating properties [</w:t>
      </w:r>
      <w:r>
        <w:rPr>
          <w:rFonts w:ascii="Times New Roman" w:hAnsi="Times New Roman" w:cs="Times New Roman"/>
          <w:color w:val="000000" w:themeColor="text1"/>
          <w:sz w:val="24"/>
          <w:szCs w:val="24"/>
        </w:rPr>
        <w:t>9</w:t>
      </w:r>
      <w:r w:rsidRPr="00B70218">
        <w:rPr>
          <w:rFonts w:ascii="Times New Roman" w:hAnsi="Times New Roman" w:cs="Times New Roman"/>
          <w:color w:val="000000" w:themeColor="text1"/>
          <w:sz w:val="24"/>
          <w:szCs w:val="24"/>
        </w:rPr>
        <w:t xml:space="preserve">]. In addition to its anti-oxidative effects, </w:t>
      </w:r>
      <w:proofErr w:type="spellStart"/>
      <w:r w:rsidRPr="00B70218">
        <w:rPr>
          <w:rFonts w:ascii="Times New Roman" w:hAnsi="Times New Roman" w:cs="Times New Roman"/>
          <w:color w:val="000000" w:themeColor="text1"/>
          <w:sz w:val="24"/>
          <w:szCs w:val="24"/>
        </w:rPr>
        <w:t>edaravone</w:t>
      </w:r>
      <w:proofErr w:type="spellEnd"/>
      <w:r w:rsidRPr="00B70218">
        <w:rPr>
          <w:rFonts w:ascii="Times New Roman" w:hAnsi="Times New Roman" w:cs="Times New Roman"/>
          <w:color w:val="000000" w:themeColor="text1"/>
          <w:sz w:val="24"/>
          <w:szCs w:val="24"/>
        </w:rPr>
        <w:t xml:space="preserve"> acts via multiple pharmacological pathways to induce neuroprotection [</w:t>
      </w:r>
      <w:r>
        <w:rPr>
          <w:rFonts w:ascii="Times New Roman" w:hAnsi="Times New Roman" w:cs="Times New Roman"/>
          <w:color w:val="000000" w:themeColor="text1"/>
          <w:sz w:val="24"/>
          <w:szCs w:val="24"/>
        </w:rPr>
        <w:t>10</w:t>
      </w:r>
      <w:r w:rsidRPr="00B70218">
        <w:rPr>
          <w:rFonts w:ascii="Times New Roman" w:hAnsi="Times New Roman" w:cs="Times New Roman"/>
          <w:color w:val="000000" w:themeColor="text1"/>
          <w:sz w:val="24"/>
          <w:szCs w:val="24"/>
        </w:rPr>
        <w:t xml:space="preserve">]. Our results demonstrated the effect of </w:t>
      </w:r>
      <w:proofErr w:type="spellStart"/>
      <w:r w:rsidRPr="00B70218">
        <w:rPr>
          <w:rFonts w:ascii="Times New Roman" w:hAnsi="Times New Roman" w:cs="Times New Roman"/>
          <w:color w:val="000000" w:themeColor="text1"/>
          <w:sz w:val="24"/>
          <w:szCs w:val="24"/>
        </w:rPr>
        <w:t>edaravone</w:t>
      </w:r>
      <w:proofErr w:type="spellEnd"/>
      <w:r w:rsidRPr="00B70218">
        <w:rPr>
          <w:rFonts w:ascii="Times New Roman" w:hAnsi="Times New Roman" w:cs="Times New Roman"/>
          <w:color w:val="000000" w:themeColor="text1"/>
          <w:sz w:val="24"/>
          <w:szCs w:val="24"/>
        </w:rPr>
        <w:t xml:space="preserve"> on </w:t>
      </w:r>
      <w:r w:rsidRPr="001A2FD9">
        <w:rPr>
          <w:rFonts w:ascii="Times New Roman" w:hAnsi="Times New Roman" w:cs="Times New Roman"/>
          <w:i/>
          <w:color w:val="000000" w:themeColor="text1"/>
          <w:sz w:val="24"/>
          <w:szCs w:val="24"/>
        </w:rPr>
        <w:t>PRNP</w:t>
      </w:r>
      <w:r w:rsidRPr="00B70218">
        <w:rPr>
          <w:rFonts w:ascii="Times New Roman" w:hAnsi="Times New Roman" w:cs="Times New Roman"/>
          <w:color w:val="000000" w:themeColor="text1"/>
          <w:sz w:val="24"/>
          <w:szCs w:val="24"/>
        </w:rPr>
        <w:t xml:space="preserve"> Y162X in </w:t>
      </w:r>
      <w:proofErr w:type="spellStart"/>
      <w:r w:rsidRPr="00B70218">
        <w:rPr>
          <w:rFonts w:ascii="Times New Roman" w:hAnsi="Times New Roman" w:cs="Times New Roman"/>
          <w:color w:val="000000" w:themeColor="text1"/>
          <w:sz w:val="24"/>
          <w:szCs w:val="24"/>
        </w:rPr>
        <w:t>iPSNs</w:t>
      </w:r>
      <w:proofErr w:type="spellEnd"/>
      <w:r w:rsidRPr="00B70218">
        <w:rPr>
          <w:rFonts w:ascii="Times New Roman" w:hAnsi="Times New Roman" w:cs="Times New Roman"/>
          <w:color w:val="000000" w:themeColor="text1"/>
          <w:sz w:val="24"/>
          <w:szCs w:val="24"/>
        </w:rPr>
        <w:t xml:space="preserve"> in vitro and clinically. Our study proves the effectiveness of iPSC technology for identifying treatments for rare progressive neurological diseases. </w:t>
      </w:r>
      <w:r w:rsidRPr="001A2FD9">
        <w:rPr>
          <w:rFonts w:ascii="Times New Roman" w:hAnsi="Times New Roman" w:cs="Times New Roman"/>
          <w:i/>
          <w:color w:val="000000" w:themeColor="text1"/>
          <w:sz w:val="24"/>
          <w:szCs w:val="24"/>
        </w:rPr>
        <w:t>PRNP</w:t>
      </w:r>
      <w:r w:rsidRPr="00B70218">
        <w:rPr>
          <w:rFonts w:ascii="Times New Roman" w:hAnsi="Times New Roman" w:cs="Times New Roman"/>
          <w:color w:val="000000" w:themeColor="text1"/>
          <w:sz w:val="24"/>
          <w:szCs w:val="24"/>
        </w:rPr>
        <w:t xml:space="preserve"> Y162X patients are very rare, with 10 or less in the world, and only one person with the </w:t>
      </w:r>
      <w:r w:rsidRPr="00745495">
        <w:rPr>
          <w:rFonts w:ascii="Times New Roman" w:hAnsi="Times New Roman" w:cs="Times New Roman"/>
          <w:i/>
          <w:color w:val="000000" w:themeColor="text1"/>
          <w:sz w:val="24"/>
          <w:szCs w:val="24"/>
        </w:rPr>
        <w:t>PRNP</w:t>
      </w:r>
      <w:r w:rsidRPr="00B70218">
        <w:rPr>
          <w:rFonts w:ascii="Times New Roman" w:hAnsi="Times New Roman" w:cs="Times New Roman"/>
          <w:color w:val="000000" w:themeColor="text1"/>
          <w:sz w:val="24"/>
          <w:szCs w:val="24"/>
        </w:rPr>
        <w:t xml:space="preserve"> Y162X mutatio</w:t>
      </w:r>
      <w:bookmarkStart w:id="0" w:name="_GoBack"/>
      <w:bookmarkEnd w:id="0"/>
      <w:r w:rsidRPr="00B70218">
        <w:rPr>
          <w:rFonts w:ascii="Times New Roman" w:hAnsi="Times New Roman" w:cs="Times New Roman"/>
          <w:color w:val="000000" w:themeColor="text1"/>
          <w:sz w:val="24"/>
          <w:szCs w:val="24"/>
        </w:rPr>
        <w:t xml:space="preserve">n survives in Japan, i.e., the present case. Previously, it was impossible to develop treatment for such rare diseases because modeling, such as with an animal model, was unrealistic. We propose the effectiveness of </w:t>
      </w:r>
      <w:proofErr w:type="spellStart"/>
      <w:r w:rsidRPr="00B70218">
        <w:rPr>
          <w:rFonts w:ascii="Times New Roman" w:hAnsi="Times New Roman" w:cs="Times New Roman"/>
          <w:color w:val="000000" w:themeColor="text1"/>
          <w:sz w:val="24"/>
          <w:szCs w:val="24"/>
        </w:rPr>
        <w:t>iPSN</w:t>
      </w:r>
      <w:proofErr w:type="spellEnd"/>
      <w:r w:rsidRPr="00B70218">
        <w:rPr>
          <w:rFonts w:ascii="Times New Roman" w:hAnsi="Times New Roman" w:cs="Times New Roman"/>
          <w:color w:val="000000" w:themeColor="text1"/>
          <w:sz w:val="24"/>
          <w:szCs w:val="24"/>
        </w:rPr>
        <w:t xml:space="preserve"> models for diseases caused by very rare mutations.</w:t>
      </w:r>
    </w:p>
    <w:p w:rsidR="000573B6" w:rsidRDefault="000573B6" w:rsidP="005E7388">
      <w:pPr>
        <w:spacing w:line="480" w:lineRule="auto"/>
        <w:rPr>
          <w:rFonts w:ascii="Times New Roman" w:hAnsi="Times New Roman" w:cs="Times New Roman"/>
          <w:b/>
          <w:color w:val="000000" w:themeColor="text1"/>
          <w:sz w:val="28"/>
          <w:szCs w:val="28"/>
        </w:rPr>
      </w:pPr>
    </w:p>
    <w:p w:rsidR="005E7388" w:rsidRDefault="000573B6" w:rsidP="005E7388">
      <w:pPr>
        <w:spacing w:line="480" w:lineRule="auto"/>
        <w:rPr>
          <w:rFonts w:ascii="Times New Roman" w:hAnsi="Times New Roman" w:cs="Times New Roman"/>
          <w:b/>
          <w:color w:val="000000" w:themeColor="text1"/>
          <w:sz w:val="24"/>
          <w:szCs w:val="24"/>
        </w:rPr>
      </w:pPr>
      <w:r w:rsidRPr="00D64351">
        <w:rPr>
          <w:rFonts w:ascii="Times New Roman" w:hAnsi="Times New Roman" w:cs="Times New Roman"/>
          <w:b/>
          <w:color w:val="000000" w:themeColor="text1"/>
          <w:sz w:val="24"/>
          <w:szCs w:val="24"/>
        </w:rPr>
        <w:t>Limitations of this study</w:t>
      </w:r>
    </w:p>
    <w:p w:rsidR="007E14BF" w:rsidRPr="00D64351" w:rsidRDefault="007E14BF" w:rsidP="007E14BF">
      <w:pPr>
        <w:spacing w:line="480" w:lineRule="auto"/>
        <w:ind w:firstLine="720"/>
        <w:rPr>
          <w:rFonts w:ascii="Times New Roman" w:hAnsi="Times New Roman" w:cs="Times New Roman"/>
          <w:b/>
          <w:color w:val="000000" w:themeColor="text1"/>
          <w:sz w:val="24"/>
          <w:szCs w:val="24"/>
        </w:rPr>
      </w:pPr>
      <w:r w:rsidRPr="00C22E41">
        <w:rPr>
          <w:rFonts w:ascii="Times New Roman" w:hAnsi="Times New Roman" w:cs="Times New Roman"/>
          <w:color w:val="000000" w:themeColor="text1"/>
          <w:sz w:val="24"/>
        </w:rPr>
        <w:t xml:space="preserve">First, the </w:t>
      </w:r>
      <w:r w:rsidRPr="00C22E41">
        <w:rPr>
          <w:rFonts w:ascii="Times New Roman" w:hAnsi="Times New Roman" w:cs="Times New Roman"/>
          <w:i/>
          <w:color w:val="000000" w:themeColor="text1"/>
          <w:sz w:val="24"/>
        </w:rPr>
        <w:t>PRNP</w:t>
      </w:r>
      <w:r w:rsidRPr="00C22E41">
        <w:rPr>
          <w:rFonts w:ascii="Times New Roman" w:hAnsi="Times New Roman" w:cs="Times New Roman"/>
          <w:color w:val="000000" w:themeColor="text1"/>
          <w:sz w:val="24"/>
        </w:rPr>
        <w:t xml:space="preserve"> Y162X </w:t>
      </w:r>
      <w:proofErr w:type="spellStart"/>
      <w:r w:rsidRPr="00C22E41">
        <w:rPr>
          <w:rFonts w:ascii="Times New Roman" w:hAnsi="Times New Roman" w:cs="Times New Roman"/>
          <w:color w:val="000000" w:themeColor="text1"/>
          <w:sz w:val="24"/>
        </w:rPr>
        <w:t>iPSNs</w:t>
      </w:r>
      <w:proofErr w:type="spellEnd"/>
      <w:r w:rsidRPr="00C22E41">
        <w:rPr>
          <w:rFonts w:ascii="Times New Roman" w:hAnsi="Times New Roman" w:cs="Times New Roman"/>
          <w:color w:val="000000" w:themeColor="text1"/>
          <w:sz w:val="24"/>
        </w:rPr>
        <w:t xml:space="preserve"> were generated from a single patient. However, as </w:t>
      </w:r>
      <w:r w:rsidRPr="00C22E41">
        <w:rPr>
          <w:rFonts w:ascii="Times New Roman" w:hAnsi="Times New Roman" w:cs="Times New Roman"/>
          <w:color w:val="000000" w:themeColor="text1"/>
          <w:sz w:val="24"/>
        </w:rPr>
        <w:lastRenderedPageBreak/>
        <w:t xml:space="preserve">mentioned above, there is only one surviving subject with the </w:t>
      </w:r>
      <w:r w:rsidRPr="00C22E41">
        <w:rPr>
          <w:rFonts w:ascii="Times New Roman" w:hAnsi="Times New Roman" w:cs="Times New Roman"/>
          <w:i/>
          <w:color w:val="000000" w:themeColor="text1"/>
          <w:sz w:val="24"/>
        </w:rPr>
        <w:t>PRNP</w:t>
      </w:r>
      <w:r w:rsidRPr="00C22E41">
        <w:rPr>
          <w:rFonts w:ascii="Times New Roman" w:hAnsi="Times New Roman" w:cs="Times New Roman"/>
          <w:color w:val="000000" w:themeColor="text1"/>
          <w:sz w:val="24"/>
        </w:rPr>
        <w:t xml:space="preserve"> Y162X mutation in Japan, and recruiting more subjects was impossible. Second, screening with drugs other than </w:t>
      </w:r>
      <w:proofErr w:type="spellStart"/>
      <w:r w:rsidRPr="00C22E41">
        <w:rPr>
          <w:rFonts w:ascii="Times New Roman" w:hAnsi="Times New Roman" w:cs="Times New Roman"/>
          <w:color w:val="000000" w:themeColor="text1"/>
          <w:sz w:val="24"/>
        </w:rPr>
        <w:t>edaravone</w:t>
      </w:r>
      <w:proofErr w:type="spellEnd"/>
      <w:r w:rsidRPr="00C22E41">
        <w:rPr>
          <w:rFonts w:ascii="Times New Roman" w:hAnsi="Times New Roman" w:cs="Times New Roman"/>
          <w:color w:val="000000" w:themeColor="text1"/>
          <w:sz w:val="24"/>
        </w:rPr>
        <w:t xml:space="preserve"> was not performed, and there may be other candidate drugs showing more effectiveness compared to </w:t>
      </w:r>
      <w:proofErr w:type="spellStart"/>
      <w:r w:rsidRPr="00C22E41">
        <w:rPr>
          <w:rFonts w:ascii="Times New Roman" w:hAnsi="Times New Roman" w:cs="Times New Roman"/>
          <w:color w:val="000000" w:themeColor="text1"/>
          <w:sz w:val="24"/>
        </w:rPr>
        <w:t>edaravone</w:t>
      </w:r>
      <w:proofErr w:type="spellEnd"/>
      <w:r w:rsidRPr="00C22E41">
        <w:rPr>
          <w:rFonts w:ascii="Times New Roman" w:hAnsi="Times New Roman" w:cs="Times New Roman"/>
          <w:color w:val="000000" w:themeColor="text1"/>
          <w:sz w:val="24"/>
        </w:rPr>
        <w:t xml:space="preserve">. </w:t>
      </w:r>
      <w:r w:rsidRPr="00C22E41">
        <w:rPr>
          <w:rFonts w:ascii="Times New Roman" w:hAnsi="Times New Roman" w:cs="Times New Roman" w:hint="eastAsia"/>
          <w:color w:val="000000" w:themeColor="text1"/>
          <w:sz w:val="24"/>
        </w:rPr>
        <w:t>Finally, t</w:t>
      </w:r>
      <w:r w:rsidRPr="00C22E41">
        <w:rPr>
          <w:rFonts w:ascii="Times New Roman" w:hAnsi="Times New Roman" w:cs="Times New Roman"/>
          <w:color w:val="000000" w:themeColor="text1"/>
          <w:sz w:val="24"/>
        </w:rPr>
        <w:t xml:space="preserve">he specific pathology underlying the sensitivity of </w:t>
      </w:r>
      <w:r w:rsidRPr="00C22E41">
        <w:rPr>
          <w:rFonts w:ascii="Times New Roman" w:hAnsi="Times New Roman" w:cs="Times New Roman"/>
          <w:i/>
          <w:iCs/>
          <w:color w:val="000000" w:themeColor="text1"/>
          <w:sz w:val="24"/>
        </w:rPr>
        <w:t>PRNP</w:t>
      </w:r>
      <w:r w:rsidRPr="00C22E41">
        <w:rPr>
          <w:rFonts w:ascii="Times New Roman" w:hAnsi="Times New Roman" w:cs="Times New Roman"/>
          <w:color w:val="000000" w:themeColor="text1"/>
          <w:sz w:val="24"/>
        </w:rPr>
        <w:t xml:space="preserve"> Y162X </w:t>
      </w:r>
      <w:proofErr w:type="spellStart"/>
      <w:r w:rsidRPr="00C22E41">
        <w:rPr>
          <w:rFonts w:ascii="Times New Roman" w:hAnsi="Times New Roman" w:cs="Times New Roman"/>
          <w:color w:val="000000" w:themeColor="text1"/>
          <w:sz w:val="24"/>
        </w:rPr>
        <w:t>iPSNs</w:t>
      </w:r>
      <w:proofErr w:type="spellEnd"/>
      <w:r w:rsidRPr="00C22E41">
        <w:rPr>
          <w:rFonts w:ascii="Times New Roman" w:hAnsi="Times New Roman" w:cs="Times New Roman"/>
          <w:color w:val="000000" w:themeColor="text1"/>
          <w:sz w:val="24"/>
        </w:rPr>
        <w:t xml:space="preserve"> to oxidative stress was not clarified in this study. We only </w:t>
      </w:r>
      <w:r w:rsidRPr="00C22E41">
        <w:rPr>
          <w:rFonts w:ascii="Times New Roman" w:hAnsi="Times New Roman" w:cs="Times New Roman" w:hint="eastAsia"/>
          <w:color w:val="000000" w:themeColor="text1"/>
          <w:sz w:val="24"/>
        </w:rPr>
        <w:t xml:space="preserve">found </w:t>
      </w:r>
      <w:r w:rsidRPr="00C22E41">
        <w:rPr>
          <w:rFonts w:ascii="Times New Roman" w:hAnsi="Times New Roman" w:cs="Times New Roman"/>
          <w:color w:val="000000" w:themeColor="text1"/>
          <w:sz w:val="24"/>
        </w:rPr>
        <w:t xml:space="preserve">that </w:t>
      </w:r>
      <w:r w:rsidRPr="00C22E41">
        <w:rPr>
          <w:rFonts w:ascii="Times New Roman" w:hAnsi="Times New Roman" w:cs="Times New Roman"/>
          <w:i/>
          <w:iCs/>
          <w:color w:val="000000" w:themeColor="text1"/>
          <w:sz w:val="24"/>
        </w:rPr>
        <w:t>PRNP</w:t>
      </w:r>
      <w:r w:rsidRPr="00C22E41">
        <w:rPr>
          <w:rFonts w:ascii="Times New Roman" w:hAnsi="Times New Roman" w:cs="Times New Roman"/>
          <w:color w:val="000000" w:themeColor="text1"/>
          <w:sz w:val="24"/>
        </w:rPr>
        <w:t xml:space="preserve"> Y162X </w:t>
      </w:r>
      <w:proofErr w:type="spellStart"/>
      <w:r w:rsidRPr="00C22E41">
        <w:rPr>
          <w:rFonts w:ascii="Times New Roman" w:hAnsi="Times New Roman" w:cs="Times New Roman"/>
          <w:color w:val="000000" w:themeColor="text1"/>
          <w:sz w:val="24"/>
        </w:rPr>
        <w:t>iPSNs</w:t>
      </w:r>
      <w:proofErr w:type="spellEnd"/>
      <w:r w:rsidRPr="00C22E41">
        <w:rPr>
          <w:rFonts w:ascii="Times New Roman" w:hAnsi="Times New Roman" w:cs="Times New Roman"/>
          <w:color w:val="000000" w:themeColor="text1"/>
          <w:sz w:val="24"/>
        </w:rPr>
        <w:t xml:space="preserve"> exhibit sensitivity to oxidative stress, and that </w:t>
      </w:r>
      <w:proofErr w:type="spellStart"/>
      <w:r w:rsidRPr="00C22E41">
        <w:rPr>
          <w:rFonts w:ascii="Times New Roman" w:hAnsi="Times New Roman" w:cs="Times New Roman"/>
          <w:color w:val="000000" w:themeColor="text1"/>
          <w:sz w:val="24"/>
        </w:rPr>
        <w:t>edaravone</w:t>
      </w:r>
      <w:proofErr w:type="spellEnd"/>
      <w:r w:rsidRPr="00C22E41">
        <w:rPr>
          <w:rFonts w:ascii="Times New Roman" w:hAnsi="Times New Roman" w:cs="Times New Roman"/>
          <w:color w:val="000000" w:themeColor="text1"/>
          <w:sz w:val="24"/>
        </w:rPr>
        <w:t xml:space="preserve"> is effective for </w:t>
      </w:r>
      <w:r w:rsidRPr="00C22E41">
        <w:rPr>
          <w:rFonts w:ascii="Times New Roman" w:hAnsi="Times New Roman" w:cs="Times New Roman"/>
          <w:i/>
          <w:iCs/>
          <w:color w:val="000000" w:themeColor="text1"/>
          <w:sz w:val="24"/>
        </w:rPr>
        <w:t>PRNP</w:t>
      </w:r>
      <w:r w:rsidRPr="00C22E41">
        <w:rPr>
          <w:rFonts w:ascii="Times New Roman" w:hAnsi="Times New Roman" w:cs="Times New Roman"/>
          <w:color w:val="000000" w:themeColor="text1"/>
          <w:sz w:val="24"/>
        </w:rPr>
        <w:t xml:space="preserve"> Y162X both in vitro and in clinical settings.</w:t>
      </w:r>
    </w:p>
    <w:p w:rsidR="008A7F89" w:rsidRDefault="008A7F89" w:rsidP="008A7F89">
      <w:pPr>
        <w:spacing w:line="480" w:lineRule="auto"/>
        <w:rPr>
          <w:rFonts w:ascii="Times New Roman" w:hAnsi="Times New Roman" w:cs="Times New Roman"/>
          <w:color w:val="000000" w:themeColor="text1"/>
          <w:sz w:val="24"/>
        </w:rPr>
      </w:pPr>
    </w:p>
    <w:p w:rsidR="00E72841" w:rsidRDefault="00E72841" w:rsidP="00E72841">
      <w:pPr>
        <w:spacing w:line="360" w:lineRule="auto"/>
        <w:jc w:val="left"/>
        <w:outlineLvl w:val="0"/>
        <w:rPr>
          <w:rFonts w:ascii="Times New Roman" w:hAnsi="Times New Roman"/>
          <w:b/>
          <w:sz w:val="24"/>
        </w:rPr>
      </w:pPr>
      <w:r>
        <w:rPr>
          <w:rFonts w:ascii="Times New Roman" w:hAnsi="Times New Roman" w:hint="eastAsia"/>
          <w:b/>
          <w:sz w:val="24"/>
        </w:rPr>
        <w:t>R</w:t>
      </w:r>
      <w:r>
        <w:rPr>
          <w:rFonts w:ascii="Times New Roman" w:hAnsi="Times New Roman"/>
          <w:b/>
          <w:sz w:val="24"/>
        </w:rPr>
        <w:t>eferences</w:t>
      </w:r>
    </w:p>
    <w:p w:rsidR="00B75213" w:rsidRPr="007644A2" w:rsidRDefault="00B75213" w:rsidP="00B75213">
      <w:pPr>
        <w:pStyle w:val="EndNoteBibliography"/>
        <w:spacing w:line="360" w:lineRule="auto"/>
        <w:ind w:left="720" w:hanging="720"/>
        <w:rPr>
          <w:rFonts w:ascii="Times New Roman" w:hAnsi="Times New Roman"/>
          <w:color w:val="000000" w:themeColor="text1"/>
          <w:sz w:val="24"/>
        </w:rPr>
      </w:pPr>
      <w:r>
        <w:rPr>
          <w:rFonts w:ascii="Times New Roman" w:hAnsi="Times New Roman"/>
          <w:color w:val="000000" w:themeColor="text1"/>
          <w:sz w:val="24"/>
        </w:rPr>
        <w:t>1.</w:t>
      </w:r>
      <w:r>
        <w:rPr>
          <w:rFonts w:ascii="Times New Roman" w:hAnsi="Times New Roman"/>
          <w:color w:val="000000" w:themeColor="text1"/>
          <w:sz w:val="24"/>
        </w:rPr>
        <w:tab/>
      </w:r>
      <w:r w:rsidRPr="007644A2">
        <w:rPr>
          <w:rFonts w:ascii="Times New Roman" w:hAnsi="Times New Roman"/>
          <w:color w:val="000000" w:themeColor="text1"/>
          <w:sz w:val="24"/>
        </w:rPr>
        <w:t>Taraboulos A, Serban D, Prusiner SB</w:t>
      </w:r>
      <w:r>
        <w:rPr>
          <w:rFonts w:ascii="Times New Roman" w:hAnsi="Times New Roman"/>
          <w:color w:val="000000" w:themeColor="text1"/>
          <w:sz w:val="24"/>
        </w:rPr>
        <w:t xml:space="preserve"> (1990)</w:t>
      </w:r>
      <w:r w:rsidRPr="007644A2">
        <w:rPr>
          <w:rFonts w:ascii="Times New Roman" w:hAnsi="Times New Roman"/>
          <w:color w:val="000000" w:themeColor="text1"/>
          <w:sz w:val="24"/>
        </w:rPr>
        <w:t xml:space="preserve"> Scrapie prion proteins accumulate in the cytoplasm of persistently infected cultured cells.</w:t>
      </w:r>
      <w:r w:rsidRPr="007644A2">
        <w:rPr>
          <w:rFonts w:ascii="Times New Roman" w:hAnsi="Times New Roman" w:hint="eastAsia"/>
          <w:color w:val="000000" w:themeColor="text1"/>
          <w:sz w:val="24"/>
        </w:rPr>
        <w:t xml:space="preserve"> </w:t>
      </w:r>
      <w:r w:rsidRPr="00FC4DB0">
        <w:rPr>
          <w:rFonts w:ascii="Times New Roman" w:hAnsi="Times New Roman"/>
          <w:color w:val="000000" w:themeColor="text1"/>
          <w:sz w:val="24"/>
        </w:rPr>
        <w:t>J Cell Biol</w:t>
      </w:r>
      <w:r w:rsidRPr="007644A2">
        <w:rPr>
          <w:rFonts w:ascii="Times New Roman" w:hAnsi="Times New Roman"/>
          <w:color w:val="000000" w:themeColor="text1"/>
          <w:sz w:val="24"/>
        </w:rPr>
        <w:t xml:space="preserve"> </w:t>
      </w:r>
      <w:r w:rsidRPr="00FC4DB0">
        <w:rPr>
          <w:rFonts w:ascii="Times New Roman" w:hAnsi="Times New Roman"/>
          <w:color w:val="000000" w:themeColor="text1"/>
          <w:sz w:val="24"/>
        </w:rPr>
        <w:t>110:</w:t>
      </w:r>
      <w:r w:rsidRPr="007644A2">
        <w:rPr>
          <w:rFonts w:ascii="Times New Roman" w:hAnsi="Times New Roman"/>
          <w:color w:val="000000" w:themeColor="text1"/>
          <w:sz w:val="24"/>
        </w:rPr>
        <w:t xml:space="preserve"> 2117-2132.</w:t>
      </w:r>
    </w:p>
    <w:p w:rsidR="00B75213" w:rsidRPr="007644A2" w:rsidRDefault="00B75213" w:rsidP="00B75213">
      <w:pPr>
        <w:pStyle w:val="EndNoteBibliography"/>
        <w:spacing w:line="360" w:lineRule="auto"/>
        <w:ind w:left="720" w:hanging="720"/>
        <w:rPr>
          <w:rFonts w:ascii="Times New Roman" w:hAnsi="Times New Roman"/>
          <w:color w:val="000000" w:themeColor="text1"/>
          <w:sz w:val="24"/>
        </w:rPr>
      </w:pPr>
      <w:r w:rsidRPr="007644A2">
        <w:rPr>
          <w:rFonts w:ascii="Times New Roman" w:hAnsi="Times New Roman"/>
          <w:color w:val="000000" w:themeColor="text1"/>
          <w:sz w:val="24"/>
        </w:rPr>
        <w:t>2.</w:t>
      </w:r>
      <w:r w:rsidRPr="007644A2">
        <w:rPr>
          <w:rFonts w:ascii="Times New Roman" w:hAnsi="Times New Roman"/>
          <w:color w:val="000000" w:themeColor="text1"/>
          <w:sz w:val="24"/>
        </w:rPr>
        <w:tab/>
        <w:t xml:space="preserve">Veith NM, Plattner H, Stuermer CA </w:t>
      </w:r>
      <w:r w:rsidRPr="00FC4DB0">
        <w:rPr>
          <w:rFonts w:ascii="Times New Roman" w:hAnsi="Times New Roman"/>
          <w:color w:val="000000" w:themeColor="text1"/>
          <w:sz w:val="24"/>
        </w:rPr>
        <w:t>et al</w:t>
      </w:r>
      <w:r>
        <w:rPr>
          <w:rFonts w:ascii="Times New Roman" w:hAnsi="Times New Roman"/>
          <w:color w:val="000000" w:themeColor="text1"/>
          <w:sz w:val="24"/>
        </w:rPr>
        <w:t xml:space="preserve"> (2009)</w:t>
      </w:r>
      <w:r w:rsidRPr="00FC4DB0">
        <w:rPr>
          <w:rFonts w:ascii="Times New Roman" w:hAnsi="Times New Roman"/>
          <w:color w:val="000000" w:themeColor="text1"/>
          <w:sz w:val="24"/>
        </w:rPr>
        <w:t xml:space="preserve"> </w:t>
      </w:r>
      <w:r w:rsidRPr="007644A2">
        <w:rPr>
          <w:rFonts w:ascii="Times New Roman" w:hAnsi="Times New Roman"/>
          <w:color w:val="000000" w:themeColor="text1"/>
          <w:sz w:val="24"/>
        </w:rPr>
        <w:t xml:space="preserve">Immunolocalisation of PrPSc in scrapie-infected N2a mouse neuroblastoma cells by light and electron microscopy. </w:t>
      </w:r>
      <w:r w:rsidRPr="00FC4DB0">
        <w:rPr>
          <w:rFonts w:ascii="Times New Roman" w:hAnsi="Times New Roman"/>
          <w:color w:val="000000" w:themeColor="text1"/>
          <w:sz w:val="24"/>
        </w:rPr>
        <w:t>Eur J Cell Biol</w:t>
      </w:r>
      <w:r w:rsidRPr="007644A2">
        <w:rPr>
          <w:rFonts w:ascii="Times New Roman" w:hAnsi="Times New Roman"/>
          <w:color w:val="000000" w:themeColor="text1"/>
          <w:sz w:val="24"/>
        </w:rPr>
        <w:t xml:space="preserve"> </w:t>
      </w:r>
      <w:r w:rsidRPr="00FC4DB0">
        <w:rPr>
          <w:rFonts w:ascii="Times New Roman" w:hAnsi="Times New Roman"/>
          <w:color w:val="000000" w:themeColor="text1"/>
          <w:sz w:val="24"/>
        </w:rPr>
        <w:t>88:</w:t>
      </w:r>
      <w:r w:rsidRPr="007644A2">
        <w:rPr>
          <w:rFonts w:ascii="Times New Roman" w:hAnsi="Times New Roman"/>
          <w:color w:val="000000" w:themeColor="text1"/>
          <w:sz w:val="24"/>
        </w:rPr>
        <w:t xml:space="preserve"> 45-63.</w:t>
      </w:r>
    </w:p>
    <w:p w:rsidR="00B75213" w:rsidRPr="007644A2" w:rsidRDefault="00B75213" w:rsidP="00B75213">
      <w:pPr>
        <w:pStyle w:val="EndNoteBibliography"/>
        <w:spacing w:line="360" w:lineRule="auto"/>
        <w:ind w:left="720" w:hanging="720"/>
        <w:rPr>
          <w:rFonts w:ascii="Times New Roman" w:hAnsi="Times New Roman"/>
          <w:color w:val="000000" w:themeColor="text1"/>
          <w:sz w:val="24"/>
        </w:rPr>
      </w:pPr>
      <w:r w:rsidRPr="007644A2">
        <w:rPr>
          <w:rFonts w:ascii="Times New Roman" w:hAnsi="Times New Roman"/>
          <w:color w:val="000000" w:themeColor="text1"/>
          <w:sz w:val="24"/>
        </w:rPr>
        <w:t>3.</w:t>
      </w:r>
      <w:r w:rsidRPr="007644A2">
        <w:rPr>
          <w:rFonts w:ascii="Times New Roman" w:hAnsi="Times New Roman"/>
          <w:color w:val="000000" w:themeColor="text1"/>
          <w:sz w:val="24"/>
        </w:rPr>
        <w:tab/>
        <w:t xml:space="preserve">Rouvinski A, Karniely S, Kounin M </w:t>
      </w:r>
      <w:r w:rsidRPr="00A03351">
        <w:rPr>
          <w:rFonts w:ascii="Times New Roman" w:hAnsi="Times New Roman"/>
          <w:color w:val="000000" w:themeColor="text1"/>
          <w:sz w:val="24"/>
        </w:rPr>
        <w:t xml:space="preserve">et al </w:t>
      </w:r>
      <w:r>
        <w:rPr>
          <w:rFonts w:ascii="Times New Roman" w:hAnsi="Times New Roman"/>
          <w:color w:val="000000" w:themeColor="text1"/>
          <w:sz w:val="24"/>
        </w:rPr>
        <w:t>(2014)</w:t>
      </w:r>
      <w:r w:rsidRPr="007644A2">
        <w:rPr>
          <w:rFonts w:ascii="Times New Roman" w:hAnsi="Times New Roman"/>
          <w:color w:val="000000" w:themeColor="text1"/>
          <w:sz w:val="24"/>
        </w:rPr>
        <w:t xml:space="preserve"> Live imaging of prions reveals nascent PrPSc in cell-surface, raft-associated amyloid strings and webs. </w:t>
      </w:r>
      <w:r w:rsidRPr="00A03351">
        <w:rPr>
          <w:rFonts w:ascii="Times New Roman" w:hAnsi="Times New Roman"/>
          <w:color w:val="000000" w:themeColor="text1"/>
          <w:sz w:val="24"/>
        </w:rPr>
        <w:t>J Cell Biol</w:t>
      </w:r>
      <w:r w:rsidRPr="007644A2">
        <w:rPr>
          <w:rFonts w:ascii="Times New Roman" w:hAnsi="Times New Roman"/>
          <w:color w:val="000000" w:themeColor="text1"/>
          <w:sz w:val="24"/>
        </w:rPr>
        <w:t xml:space="preserve"> </w:t>
      </w:r>
      <w:r w:rsidRPr="00A03351">
        <w:rPr>
          <w:rFonts w:ascii="Times New Roman" w:hAnsi="Times New Roman"/>
          <w:color w:val="000000" w:themeColor="text1"/>
          <w:sz w:val="24"/>
        </w:rPr>
        <w:t>204:</w:t>
      </w:r>
      <w:r w:rsidRPr="007644A2">
        <w:rPr>
          <w:rFonts w:ascii="Times New Roman" w:hAnsi="Times New Roman"/>
          <w:color w:val="000000" w:themeColor="text1"/>
          <w:sz w:val="24"/>
        </w:rPr>
        <w:t xml:space="preserve"> 423-441.</w:t>
      </w:r>
    </w:p>
    <w:p w:rsidR="0020789B" w:rsidRDefault="00B75213" w:rsidP="00B75213">
      <w:pPr>
        <w:spacing w:line="360" w:lineRule="auto"/>
        <w:ind w:left="720" w:hanging="720"/>
        <w:jc w:val="left"/>
        <w:outlineLvl w:val="0"/>
        <w:rPr>
          <w:rFonts w:ascii="Times New Roman" w:hAnsi="Times New Roman"/>
          <w:color w:val="000000" w:themeColor="text1"/>
          <w:sz w:val="24"/>
        </w:rPr>
      </w:pPr>
      <w:r w:rsidRPr="007644A2">
        <w:rPr>
          <w:rFonts w:ascii="Times New Roman" w:hAnsi="Times New Roman"/>
          <w:color w:val="000000" w:themeColor="text1"/>
          <w:sz w:val="24"/>
        </w:rPr>
        <w:t>4.</w:t>
      </w:r>
      <w:r w:rsidRPr="007644A2">
        <w:rPr>
          <w:rFonts w:ascii="Times New Roman" w:hAnsi="Times New Roman"/>
          <w:color w:val="000000" w:themeColor="text1"/>
          <w:sz w:val="24"/>
        </w:rPr>
        <w:tab/>
      </w:r>
      <w:proofErr w:type="spellStart"/>
      <w:r w:rsidRPr="007644A2">
        <w:rPr>
          <w:rFonts w:ascii="Times New Roman" w:hAnsi="Times New Roman"/>
          <w:color w:val="000000" w:themeColor="text1"/>
          <w:sz w:val="24"/>
        </w:rPr>
        <w:t>Ribes</w:t>
      </w:r>
      <w:proofErr w:type="spellEnd"/>
      <w:r w:rsidRPr="007644A2">
        <w:rPr>
          <w:rFonts w:ascii="Times New Roman" w:hAnsi="Times New Roman"/>
          <w:color w:val="000000" w:themeColor="text1"/>
          <w:sz w:val="24"/>
        </w:rPr>
        <w:t xml:space="preserve"> JM, Patel MP, Halim HA </w:t>
      </w:r>
      <w:r w:rsidRPr="00A03351">
        <w:rPr>
          <w:rFonts w:ascii="Times New Roman" w:hAnsi="Times New Roman"/>
          <w:color w:val="000000" w:themeColor="text1"/>
          <w:sz w:val="24"/>
        </w:rPr>
        <w:t>et al</w:t>
      </w:r>
      <w:r>
        <w:rPr>
          <w:rFonts w:ascii="Times New Roman" w:hAnsi="Times New Roman"/>
          <w:color w:val="000000" w:themeColor="text1"/>
          <w:sz w:val="24"/>
        </w:rPr>
        <w:t xml:space="preserve"> (2023)</w:t>
      </w:r>
      <w:r w:rsidRPr="007644A2">
        <w:rPr>
          <w:rFonts w:ascii="Times New Roman" w:hAnsi="Times New Roman"/>
          <w:color w:val="000000" w:themeColor="text1"/>
          <w:sz w:val="24"/>
        </w:rPr>
        <w:t xml:space="preserve"> Prion protein conversion at two distinct cellular sites precedes </w:t>
      </w:r>
      <w:proofErr w:type="spellStart"/>
      <w:r w:rsidRPr="007644A2">
        <w:rPr>
          <w:rFonts w:ascii="Times New Roman" w:hAnsi="Times New Roman"/>
          <w:color w:val="000000" w:themeColor="text1"/>
          <w:sz w:val="24"/>
        </w:rPr>
        <w:t>fibrillisation</w:t>
      </w:r>
      <w:proofErr w:type="spellEnd"/>
      <w:r w:rsidRPr="007644A2">
        <w:rPr>
          <w:rFonts w:ascii="Times New Roman" w:hAnsi="Times New Roman"/>
          <w:color w:val="000000" w:themeColor="text1"/>
          <w:sz w:val="24"/>
        </w:rPr>
        <w:t xml:space="preserve">. </w:t>
      </w:r>
      <w:r w:rsidRPr="00A03351">
        <w:rPr>
          <w:rFonts w:ascii="Times New Roman" w:hAnsi="Times New Roman"/>
          <w:color w:val="000000" w:themeColor="text1"/>
          <w:sz w:val="24"/>
        </w:rPr>
        <w:t xml:space="preserve">Nat </w:t>
      </w:r>
      <w:proofErr w:type="spellStart"/>
      <w:r w:rsidRPr="00A03351">
        <w:rPr>
          <w:rFonts w:ascii="Times New Roman" w:hAnsi="Times New Roman"/>
          <w:color w:val="000000" w:themeColor="text1"/>
          <w:sz w:val="24"/>
        </w:rPr>
        <w:t>Commun</w:t>
      </w:r>
      <w:proofErr w:type="spellEnd"/>
      <w:r w:rsidRPr="007644A2">
        <w:rPr>
          <w:rFonts w:ascii="Times New Roman" w:hAnsi="Times New Roman"/>
          <w:color w:val="000000" w:themeColor="text1"/>
          <w:sz w:val="24"/>
        </w:rPr>
        <w:t xml:space="preserve"> </w:t>
      </w:r>
      <w:r w:rsidRPr="00A03351">
        <w:rPr>
          <w:rFonts w:ascii="Times New Roman" w:hAnsi="Times New Roman"/>
          <w:color w:val="000000" w:themeColor="text1"/>
          <w:sz w:val="24"/>
        </w:rPr>
        <w:t>14:</w:t>
      </w:r>
      <w:r w:rsidRPr="007644A2">
        <w:rPr>
          <w:rFonts w:ascii="Times New Roman" w:hAnsi="Times New Roman"/>
          <w:color w:val="000000" w:themeColor="text1"/>
          <w:sz w:val="24"/>
        </w:rPr>
        <w:t xml:space="preserve"> 8354.</w:t>
      </w:r>
    </w:p>
    <w:p w:rsidR="00DB14C0" w:rsidRPr="00DB14C0" w:rsidRDefault="000B4C8D" w:rsidP="00DB14C0">
      <w:pPr>
        <w:spacing w:line="360" w:lineRule="auto"/>
        <w:ind w:left="720" w:hanging="720"/>
        <w:jc w:val="left"/>
        <w:outlineLvl w:val="0"/>
        <w:rPr>
          <w:rFonts w:ascii="Times New Roman" w:hAnsi="Times New Roman"/>
          <w:sz w:val="24"/>
        </w:rPr>
      </w:pPr>
      <w:r w:rsidRPr="000B4C8D">
        <w:rPr>
          <w:rFonts w:ascii="Times New Roman" w:hAnsi="Times New Roman"/>
          <w:sz w:val="24"/>
        </w:rPr>
        <w:t>5.</w:t>
      </w:r>
      <w:r w:rsidRPr="000B4C8D">
        <w:rPr>
          <w:rFonts w:ascii="Times New Roman" w:hAnsi="Times New Roman"/>
          <w:sz w:val="24"/>
        </w:rPr>
        <w:tab/>
      </w:r>
      <w:r w:rsidR="00DB14C0" w:rsidRPr="00DB14C0">
        <w:rPr>
          <w:rFonts w:ascii="Times New Roman" w:hAnsi="Times New Roman"/>
          <w:sz w:val="24"/>
        </w:rPr>
        <w:t xml:space="preserve">Ishiyama M, Miyazono Y, </w:t>
      </w:r>
      <w:proofErr w:type="spellStart"/>
      <w:r w:rsidR="00DB14C0" w:rsidRPr="00DB14C0">
        <w:rPr>
          <w:rFonts w:ascii="Times New Roman" w:hAnsi="Times New Roman"/>
          <w:sz w:val="24"/>
        </w:rPr>
        <w:t>Sasamoto</w:t>
      </w:r>
      <w:proofErr w:type="spellEnd"/>
      <w:r w:rsidR="00DB14C0" w:rsidRPr="00DB14C0">
        <w:rPr>
          <w:rFonts w:ascii="Times New Roman" w:hAnsi="Times New Roman"/>
          <w:sz w:val="24"/>
        </w:rPr>
        <w:t xml:space="preserve"> K et al (1997) A highly water-soluble </w:t>
      </w:r>
      <w:proofErr w:type="spellStart"/>
      <w:r w:rsidR="00DB14C0" w:rsidRPr="00DB14C0">
        <w:rPr>
          <w:rFonts w:ascii="Times New Roman" w:hAnsi="Times New Roman"/>
          <w:sz w:val="24"/>
        </w:rPr>
        <w:t>disulfonated</w:t>
      </w:r>
      <w:proofErr w:type="spellEnd"/>
      <w:r w:rsidR="00DB14C0" w:rsidRPr="00DB14C0">
        <w:rPr>
          <w:rFonts w:ascii="Times New Roman" w:hAnsi="Times New Roman"/>
          <w:sz w:val="24"/>
        </w:rPr>
        <w:t xml:space="preserve"> tetrazolium salt as a chromogenic indicator for NADH as well as cell viability. </w:t>
      </w:r>
      <w:proofErr w:type="spellStart"/>
      <w:r w:rsidR="00DB14C0" w:rsidRPr="00DB14C0">
        <w:rPr>
          <w:rFonts w:ascii="Times New Roman" w:hAnsi="Times New Roman"/>
          <w:sz w:val="24"/>
        </w:rPr>
        <w:t>Talanta</w:t>
      </w:r>
      <w:proofErr w:type="spellEnd"/>
      <w:r w:rsidR="00DB14C0" w:rsidRPr="00DB14C0">
        <w:rPr>
          <w:rFonts w:ascii="Times New Roman" w:hAnsi="Times New Roman"/>
          <w:sz w:val="24"/>
        </w:rPr>
        <w:t xml:space="preserve"> 44: 1299-1305.</w:t>
      </w:r>
    </w:p>
    <w:p w:rsidR="00DB14C0" w:rsidRPr="00DB14C0" w:rsidRDefault="00DB14C0" w:rsidP="00DB14C0">
      <w:pPr>
        <w:spacing w:line="360" w:lineRule="auto"/>
        <w:ind w:left="720" w:hanging="720"/>
        <w:jc w:val="left"/>
        <w:outlineLvl w:val="0"/>
        <w:rPr>
          <w:rFonts w:ascii="Times New Roman" w:hAnsi="Times New Roman"/>
          <w:sz w:val="24"/>
        </w:rPr>
      </w:pPr>
      <w:r w:rsidRPr="00DB14C0">
        <w:rPr>
          <w:rFonts w:ascii="Times New Roman" w:hAnsi="Times New Roman"/>
          <w:sz w:val="24"/>
        </w:rPr>
        <w:t>6.</w:t>
      </w:r>
      <w:r w:rsidRPr="00DB14C0">
        <w:rPr>
          <w:rFonts w:ascii="Times New Roman" w:hAnsi="Times New Roman"/>
          <w:sz w:val="24"/>
        </w:rPr>
        <w:tab/>
        <w:t>Li J, Cao F, Yin HL et al (2020) Ferroptosis: past, present and future. Cell Death Dis 11: 88.</w:t>
      </w:r>
    </w:p>
    <w:p w:rsidR="00DB14C0" w:rsidRPr="00DB14C0" w:rsidRDefault="00DB14C0" w:rsidP="00DB14C0">
      <w:pPr>
        <w:spacing w:line="360" w:lineRule="auto"/>
        <w:ind w:left="720" w:hanging="720"/>
        <w:jc w:val="left"/>
        <w:outlineLvl w:val="0"/>
        <w:rPr>
          <w:rFonts w:ascii="Times New Roman" w:hAnsi="Times New Roman"/>
          <w:sz w:val="24"/>
        </w:rPr>
      </w:pPr>
      <w:r w:rsidRPr="00DB14C0">
        <w:rPr>
          <w:rFonts w:ascii="Times New Roman" w:hAnsi="Times New Roman"/>
          <w:sz w:val="24"/>
        </w:rPr>
        <w:t>7.</w:t>
      </w:r>
      <w:r w:rsidRPr="00DB14C0">
        <w:rPr>
          <w:rFonts w:ascii="Times New Roman" w:hAnsi="Times New Roman"/>
          <w:sz w:val="24"/>
        </w:rPr>
        <w:tab/>
      </w:r>
      <w:proofErr w:type="spellStart"/>
      <w:r w:rsidRPr="00DB14C0">
        <w:rPr>
          <w:rFonts w:ascii="Times New Roman" w:hAnsi="Times New Roman"/>
          <w:sz w:val="24"/>
        </w:rPr>
        <w:t>Shioji</w:t>
      </w:r>
      <w:proofErr w:type="spellEnd"/>
      <w:r w:rsidRPr="00DB14C0">
        <w:rPr>
          <w:rFonts w:ascii="Times New Roman" w:hAnsi="Times New Roman"/>
          <w:sz w:val="24"/>
        </w:rPr>
        <w:t xml:space="preserve"> K, </w:t>
      </w:r>
      <w:proofErr w:type="spellStart"/>
      <w:r w:rsidRPr="00DB14C0">
        <w:rPr>
          <w:rFonts w:ascii="Times New Roman" w:hAnsi="Times New Roman"/>
          <w:sz w:val="24"/>
        </w:rPr>
        <w:t>Oyama</w:t>
      </w:r>
      <w:proofErr w:type="spellEnd"/>
      <w:r w:rsidRPr="00DB14C0">
        <w:rPr>
          <w:rFonts w:ascii="Times New Roman" w:hAnsi="Times New Roman"/>
          <w:sz w:val="24"/>
        </w:rPr>
        <w:t xml:space="preserve"> Y, Okuma K et al (2010) Synthesis and properties of fluorescence probe for detection of peroxides in mitochondria. </w:t>
      </w:r>
      <w:proofErr w:type="spellStart"/>
      <w:r w:rsidRPr="00DB14C0">
        <w:rPr>
          <w:rFonts w:ascii="Times New Roman" w:hAnsi="Times New Roman"/>
          <w:sz w:val="24"/>
        </w:rPr>
        <w:t>Bioorg</w:t>
      </w:r>
      <w:proofErr w:type="spellEnd"/>
      <w:r w:rsidRPr="00DB14C0">
        <w:rPr>
          <w:rFonts w:ascii="Times New Roman" w:hAnsi="Times New Roman"/>
          <w:sz w:val="24"/>
        </w:rPr>
        <w:t xml:space="preserve"> Med Chem Lett 20: 3911-3915.</w:t>
      </w:r>
    </w:p>
    <w:p w:rsidR="00B6444F" w:rsidRPr="000B4C8D" w:rsidRDefault="00DB14C0" w:rsidP="00B6444F">
      <w:pPr>
        <w:spacing w:line="360" w:lineRule="auto"/>
        <w:ind w:left="720" w:hanging="720"/>
        <w:jc w:val="left"/>
        <w:outlineLvl w:val="0"/>
        <w:rPr>
          <w:rFonts w:ascii="Times New Roman" w:hAnsi="Times New Roman"/>
          <w:sz w:val="24"/>
        </w:rPr>
      </w:pPr>
      <w:r w:rsidRPr="00DB14C0">
        <w:rPr>
          <w:rFonts w:ascii="Times New Roman" w:hAnsi="Times New Roman"/>
          <w:sz w:val="24"/>
        </w:rPr>
        <w:t>8.</w:t>
      </w:r>
      <w:r w:rsidRPr="00DB14C0">
        <w:rPr>
          <w:rFonts w:ascii="Times New Roman" w:hAnsi="Times New Roman"/>
          <w:sz w:val="24"/>
        </w:rPr>
        <w:tab/>
        <w:t xml:space="preserve">Iwashita H, Torii S, </w:t>
      </w:r>
      <w:proofErr w:type="spellStart"/>
      <w:r w:rsidRPr="00DB14C0">
        <w:rPr>
          <w:rFonts w:ascii="Times New Roman" w:hAnsi="Times New Roman"/>
          <w:sz w:val="24"/>
        </w:rPr>
        <w:t>Nagahora</w:t>
      </w:r>
      <w:proofErr w:type="spellEnd"/>
      <w:r w:rsidRPr="00DB14C0">
        <w:rPr>
          <w:rFonts w:ascii="Times New Roman" w:hAnsi="Times New Roman"/>
          <w:sz w:val="24"/>
        </w:rPr>
        <w:t xml:space="preserve"> N et al (2017) Live Cell Imaging of Mitochondrial Autophagy with a Novel Fluorescent Small Molecule. ACS Chem Biol 12: 2546-2551.</w:t>
      </w:r>
    </w:p>
    <w:p w:rsidR="00B6444F" w:rsidRPr="002517D8" w:rsidRDefault="00B6444F" w:rsidP="00B6444F">
      <w:pPr>
        <w:pStyle w:val="EndNoteBibliography"/>
        <w:spacing w:line="360" w:lineRule="auto"/>
        <w:ind w:left="720" w:hanging="720"/>
        <w:rPr>
          <w:rFonts w:ascii="Times New Roman" w:hAnsi="Times New Roman"/>
          <w:sz w:val="24"/>
        </w:rPr>
      </w:pPr>
      <w:r>
        <w:rPr>
          <w:rFonts w:ascii="Times New Roman" w:hAnsi="Times New Roman"/>
          <w:sz w:val="24"/>
        </w:rPr>
        <w:t>9.</w:t>
      </w:r>
      <w:r>
        <w:rPr>
          <w:rFonts w:ascii="Times New Roman" w:hAnsi="Times New Roman"/>
          <w:sz w:val="24"/>
        </w:rPr>
        <w:tab/>
      </w:r>
      <w:r w:rsidRPr="002517D8">
        <w:rPr>
          <w:rFonts w:ascii="Times New Roman" w:hAnsi="Times New Roman"/>
          <w:sz w:val="24"/>
        </w:rPr>
        <w:t>Watanabe K, Tanaka M, Yuki S</w:t>
      </w:r>
      <w:r w:rsidRPr="00317740">
        <w:rPr>
          <w:rFonts w:ascii="Times New Roman" w:hAnsi="Times New Roman"/>
          <w:sz w:val="24"/>
        </w:rPr>
        <w:t xml:space="preserve"> et al</w:t>
      </w:r>
      <w:r>
        <w:rPr>
          <w:rFonts w:ascii="Times New Roman" w:hAnsi="Times New Roman"/>
          <w:sz w:val="24"/>
        </w:rPr>
        <w:t xml:space="preserve"> (2018)</w:t>
      </w:r>
      <w:r w:rsidRPr="002517D8">
        <w:rPr>
          <w:rFonts w:ascii="Times New Roman" w:hAnsi="Times New Roman"/>
          <w:sz w:val="24"/>
        </w:rPr>
        <w:t xml:space="preserve"> How is edaravone effective against acute </w:t>
      </w:r>
      <w:r w:rsidRPr="002517D8">
        <w:rPr>
          <w:rFonts w:ascii="Times New Roman" w:hAnsi="Times New Roman"/>
          <w:sz w:val="24"/>
        </w:rPr>
        <w:lastRenderedPageBreak/>
        <w:t xml:space="preserve">ischemic stroke and amyotrophic lateral sclerosis? </w:t>
      </w:r>
      <w:r w:rsidRPr="00317740">
        <w:rPr>
          <w:rFonts w:ascii="Times New Roman" w:hAnsi="Times New Roman"/>
          <w:sz w:val="24"/>
        </w:rPr>
        <w:t>J Clin Biochem Nutr 62:</w:t>
      </w:r>
      <w:r>
        <w:rPr>
          <w:rFonts w:ascii="Times New Roman" w:hAnsi="Times New Roman" w:hint="eastAsia"/>
          <w:sz w:val="24"/>
        </w:rPr>
        <w:t xml:space="preserve"> </w:t>
      </w:r>
      <w:r w:rsidRPr="002517D8">
        <w:rPr>
          <w:rFonts w:ascii="Times New Roman" w:hAnsi="Times New Roman"/>
          <w:sz w:val="24"/>
        </w:rPr>
        <w:t>20-38.</w:t>
      </w:r>
    </w:p>
    <w:p w:rsidR="008A7F89" w:rsidRDefault="00B6444F" w:rsidP="00B6444F">
      <w:pPr>
        <w:spacing w:line="480" w:lineRule="auto"/>
        <w:ind w:left="720" w:hanging="720"/>
        <w:rPr>
          <w:rFonts w:ascii="Times New Roman" w:hAnsi="Times New Roman" w:cs="Times New Roman"/>
          <w:b/>
          <w:color w:val="000000" w:themeColor="text1"/>
          <w:sz w:val="24"/>
        </w:rPr>
      </w:pPr>
      <w:r>
        <w:rPr>
          <w:rFonts w:ascii="Times New Roman" w:hAnsi="Times New Roman"/>
          <w:sz w:val="24"/>
        </w:rPr>
        <w:t>10</w:t>
      </w:r>
      <w:r w:rsidRPr="002517D8">
        <w:rPr>
          <w:rFonts w:ascii="Times New Roman" w:hAnsi="Times New Roman"/>
          <w:sz w:val="24"/>
        </w:rPr>
        <w:t>.</w:t>
      </w:r>
      <w:r w:rsidRPr="002517D8">
        <w:rPr>
          <w:rFonts w:ascii="Times New Roman" w:hAnsi="Times New Roman"/>
          <w:sz w:val="24"/>
        </w:rPr>
        <w:tab/>
      </w:r>
      <w:proofErr w:type="spellStart"/>
      <w:r w:rsidRPr="002517D8">
        <w:rPr>
          <w:rFonts w:ascii="Times New Roman" w:hAnsi="Times New Roman"/>
          <w:sz w:val="24"/>
        </w:rPr>
        <w:t>Soejima</w:t>
      </w:r>
      <w:proofErr w:type="spellEnd"/>
      <w:r w:rsidRPr="002517D8">
        <w:rPr>
          <w:rFonts w:ascii="Times New Roman" w:hAnsi="Times New Roman"/>
          <w:sz w:val="24"/>
        </w:rPr>
        <w:t>-Kusunoki A, Okada K, Saito R</w:t>
      </w:r>
      <w:r w:rsidRPr="00EA0C85">
        <w:rPr>
          <w:rFonts w:ascii="Times New Roman" w:hAnsi="Times New Roman"/>
          <w:i/>
          <w:sz w:val="24"/>
        </w:rPr>
        <w:t xml:space="preserve"> </w:t>
      </w:r>
      <w:r w:rsidRPr="00476FFA">
        <w:rPr>
          <w:rFonts w:ascii="Times New Roman" w:hAnsi="Times New Roman"/>
          <w:sz w:val="24"/>
        </w:rPr>
        <w:t>et al</w:t>
      </w:r>
      <w:r>
        <w:rPr>
          <w:rFonts w:ascii="Times New Roman" w:hAnsi="Times New Roman"/>
          <w:sz w:val="24"/>
        </w:rPr>
        <w:t xml:space="preserve"> (2022)</w:t>
      </w:r>
      <w:r w:rsidRPr="002517D8">
        <w:rPr>
          <w:rFonts w:ascii="Times New Roman" w:hAnsi="Times New Roman"/>
          <w:sz w:val="24"/>
        </w:rPr>
        <w:t xml:space="preserve"> The Protective Effect of </w:t>
      </w:r>
      <w:proofErr w:type="spellStart"/>
      <w:r w:rsidRPr="002517D8">
        <w:rPr>
          <w:rFonts w:ascii="Times New Roman" w:hAnsi="Times New Roman"/>
          <w:sz w:val="24"/>
        </w:rPr>
        <w:t>Edaravone</w:t>
      </w:r>
      <w:proofErr w:type="spellEnd"/>
      <w:r w:rsidRPr="002517D8">
        <w:rPr>
          <w:rFonts w:ascii="Times New Roman" w:hAnsi="Times New Roman"/>
          <w:sz w:val="24"/>
        </w:rPr>
        <w:t xml:space="preserve"> on TDP-43 Plus Oxidative Stress-Induced Neurotoxicity in Neuronal Cells: Analysis of Its Neuroprotective Mechanisms Using RNA Sequencing. </w:t>
      </w:r>
      <w:r w:rsidRPr="00476FFA">
        <w:rPr>
          <w:rFonts w:ascii="Times New Roman" w:hAnsi="Times New Roman"/>
          <w:sz w:val="24"/>
        </w:rPr>
        <w:t>Pharmaceuticals</w:t>
      </w:r>
      <w:r>
        <w:rPr>
          <w:rFonts w:ascii="Times New Roman" w:hAnsi="Times New Roman"/>
          <w:sz w:val="24"/>
        </w:rPr>
        <w:t xml:space="preserve"> 15: 842</w:t>
      </w:r>
      <w:r w:rsidRPr="002517D8">
        <w:rPr>
          <w:rFonts w:ascii="Times New Roman" w:hAnsi="Times New Roman"/>
          <w:sz w:val="24"/>
        </w:rPr>
        <w:t>.</w:t>
      </w:r>
    </w:p>
    <w:p w:rsidR="008A7F89" w:rsidRPr="008A7F89" w:rsidRDefault="008A7F89" w:rsidP="008A7F89">
      <w:pPr>
        <w:spacing w:line="480" w:lineRule="auto"/>
        <w:rPr>
          <w:rFonts w:ascii="Times New Roman" w:hAnsi="Times New Roman" w:cs="Times New Roman"/>
          <w:color w:val="000000" w:themeColor="text1"/>
          <w:sz w:val="24"/>
        </w:rPr>
      </w:pPr>
    </w:p>
    <w:sectPr w:rsidR="008A7F89" w:rsidRPr="008A7F89">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5C16" w:rsidRDefault="00945C16" w:rsidP="00945C16">
      <w:r>
        <w:separator/>
      </w:r>
    </w:p>
  </w:endnote>
  <w:endnote w:type="continuationSeparator" w:id="0">
    <w:p w:rsidR="00945C16" w:rsidRDefault="00945C16" w:rsidP="00945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4000ACF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0698970"/>
      <w:docPartObj>
        <w:docPartGallery w:val="Page Numbers (Bottom of Page)"/>
        <w:docPartUnique/>
      </w:docPartObj>
    </w:sdtPr>
    <w:sdtEndPr>
      <w:rPr>
        <w:noProof/>
      </w:rPr>
    </w:sdtEndPr>
    <w:sdtContent>
      <w:p w:rsidR="00945C16" w:rsidRDefault="00945C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945C16" w:rsidRDefault="00945C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5C16" w:rsidRDefault="00945C16" w:rsidP="00945C16">
      <w:r>
        <w:separator/>
      </w:r>
    </w:p>
  </w:footnote>
  <w:footnote w:type="continuationSeparator" w:id="0">
    <w:p w:rsidR="00945C16" w:rsidRDefault="00945C16" w:rsidP="00945C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FCC"/>
    <w:rsid w:val="00014EDF"/>
    <w:rsid w:val="00031D50"/>
    <w:rsid w:val="000573B6"/>
    <w:rsid w:val="000B4C8D"/>
    <w:rsid w:val="001A2FD9"/>
    <w:rsid w:val="001B2F6A"/>
    <w:rsid w:val="0020789B"/>
    <w:rsid w:val="00310F71"/>
    <w:rsid w:val="0039396B"/>
    <w:rsid w:val="00543E80"/>
    <w:rsid w:val="005E7388"/>
    <w:rsid w:val="00717B1E"/>
    <w:rsid w:val="00745495"/>
    <w:rsid w:val="00751538"/>
    <w:rsid w:val="007E14BF"/>
    <w:rsid w:val="008A7F89"/>
    <w:rsid w:val="00945C16"/>
    <w:rsid w:val="00946BA1"/>
    <w:rsid w:val="00A0722E"/>
    <w:rsid w:val="00B6444F"/>
    <w:rsid w:val="00B70218"/>
    <w:rsid w:val="00B75213"/>
    <w:rsid w:val="00BF6FCC"/>
    <w:rsid w:val="00D64351"/>
    <w:rsid w:val="00DB14C0"/>
    <w:rsid w:val="00E7284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2D86E6-284E-42C1-81A3-912C08CA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6FCC"/>
    <w:pPr>
      <w:widowControl w:val="0"/>
      <w:spacing w:after="0" w:line="240" w:lineRule="auto"/>
      <w:jc w:val="both"/>
    </w:pPr>
    <w:rPr>
      <w:kern w:val="2"/>
      <w:sz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0"/>
    <w:rsid w:val="00B75213"/>
    <w:rPr>
      <w:rFonts w:ascii="Yu Mincho" w:eastAsia="Yu Mincho" w:hAnsi="Yu Mincho" w:cs="Times New Roman"/>
      <w:noProof/>
      <w:sz w:val="20"/>
      <w:szCs w:val="24"/>
    </w:rPr>
  </w:style>
  <w:style w:type="character" w:customStyle="1" w:styleId="EndNoteBibliography0">
    <w:name w:val="EndNote Bibliography (文字)"/>
    <w:link w:val="EndNoteBibliography"/>
    <w:rsid w:val="00B75213"/>
    <w:rPr>
      <w:rFonts w:ascii="Yu Mincho" w:eastAsia="Yu Mincho" w:hAnsi="Yu Mincho" w:cs="Times New Roman"/>
      <w:noProof/>
      <w:kern w:val="2"/>
      <w:sz w:val="20"/>
      <w:szCs w:val="24"/>
      <w:lang w:val="en-US"/>
    </w:rPr>
  </w:style>
  <w:style w:type="paragraph" w:styleId="Header">
    <w:name w:val="header"/>
    <w:basedOn w:val="Normal"/>
    <w:link w:val="HeaderChar"/>
    <w:uiPriority w:val="99"/>
    <w:unhideWhenUsed/>
    <w:rsid w:val="00945C16"/>
    <w:pPr>
      <w:tabs>
        <w:tab w:val="center" w:pos="4513"/>
        <w:tab w:val="right" w:pos="9026"/>
      </w:tabs>
    </w:pPr>
  </w:style>
  <w:style w:type="character" w:customStyle="1" w:styleId="HeaderChar">
    <w:name w:val="Header Char"/>
    <w:basedOn w:val="DefaultParagraphFont"/>
    <w:link w:val="Header"/>
    <w:uiPriority w:val="99"/>
    <w:rsid w:val="00945C16"/>
    <w:rPr>
      <w:kern w:val="2"/>
      <w:sz w:val="21"/>
      <w:lang w:val="en-US"/>
    </w:rPr>
  </w:style>
  <w:style w:type="paragraph" w:styleId="Footer">
    <w:name w:val="footer"/>
    <w:basedOn w:val="Normal"/>
    <w:link w:val="FooterChar"/>
    <w:uiPriority w:val="99"/>
    <w:unhideWhenUsed/>
    <w:rsid w:val="00945C16"/>
    <w:pPr>
      <w:tabs>
        <w:tab w:val="center" w:pos="4513"/>
        <w:tab w:val="right" w:pos="9026"/>
      </w:tabs>
    </w:pPr>
  </w:style>
  <w:style w:type="character" w:customStyle="1" w:styleId="FooterChar">
    <w:name w:val="Footer Char"/>
    <w:basedOn w:val="DefaultParagraphFont"/>
    <w:link w:val="Footer"/>
    <w:uiPriority w:val="99"/>
    <w:rsid w:val="00945C16"/>
    <w:rPr>
      <w:kern w:val="2"/>
      <w:sz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7</Pages>
  <Words>1714</Words>
  <Characters>9771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Kosuke Matsuzono</dc:creator>
  <cp:keywords/>
  <dc:description/>
  <cp:lastModifiedBy>Kosuke Matsuzono</cp:lastModifiedBy>
  <cp:revision>24</cp:revision>
  <dcterms:created xsi:type="dcterms:W3CDTF">2025-03-26T10:28:00Z</dcterms:created>
  <dcterms:modified xsi:type="dcterms:W3CDTF">2025-03-27T17:18:00Z</dcterms:modified>
</cp:coreProperties>
</file>