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7192B" w14:textId="584826BB" w:rsidR="00A53F8C" w:rsidRPr="00F1104E" w:rsidRDefault="00A53F8C" w:rsidP="00A53F8C">
      <w:pPr>
        <w:pStyle w:val="Heading2"/>
      </w:pPr>
      <w:bookmarkStart w:id="0" w:name="_Toc72859586"/>
      <w:r>
        <w:t xml:space="preserve">Supplementary Information: </w:t>
      </w:r>
      <w:r w:rsidRPr="00F1104E">
        <w:t>Institutional “Paris Agreement Compatible” Mitigation Scenarios Evaluated Against the Paris Agreement 1.5°C Goal</w:t>
      </w:r>
      <w:bookmarkEnd w:id="0"/>
    </w:p>
    <w:p w14:paraId="290D6508" w14:textId="77777777" w:rsidR="00A53F8C" w:rsidRDefault="00A53F8C" w:rsidP="00A53F8C">
      <w:pPr>
        <w:rPr>
          <w:b/>
          <w:sz w:val="28"/>
          <w:szCs w:val="28"/>
        </w:rPr>
      </w:pPr>
    </w:p>
    <w:p w14:paraId="01E9B8A7" w14:textId="52E0DD89" w:rsidR="00A53F8C" w:rsidRPr="00512873" w:rsidRDefault="00A53F8C" w:rsidP="0045173D">
      <w:r w:rsidRPr="00512873">
        <w:t>Robert J. Brecha</w:t>
      </w:r>
      <w:r w:rsidRPr="00512873">
        <w:rPr>
          <w:vertAlign w:val="superscript"/>
        </w:rPr>
        <w:t>1,2,*</w:t>
      </w:r>
      <w:r w:rsidRPr="00512873">
        <w:t>, Gaurav Ganti</w:t>
      </w:r>
      <w:r w:rsidRPr="00512873">
        <w:rPr>
          <w:vertAlign w:val="superscript"/>
        </w:rPr>
        <w:t>1</w:t>
      </w:r>
      <w:r w:rsidRPr="00512873">
        <w:t>, Robin D. Lamboll</w:t>
      </w:r>
      <w:r w:rsidRPr="00512873">
        <w:rPr>
          <w:vertAlign w:val="superscript"/>
        </w:rPr>
        <w:t>3</w:t>
      </w:r>
      <w:r w:rsidRPr="00512873">
        <w:t>, Zebedee Nicholls</w:t>
      </w:r>
      <w:r w:rsidRPr="00512873">
        <w:rPr>
          <w:vertAlign w:val="superscript"/>
        </w:rPr>
        <w:t>4,5,6</w:t>
      </w:r>
      <w:r w:rsidRPr="00512873">
        <w:t>, Bill Hare</w:t>
      </w:r>
      <w:r w:rsidRPr="00512873">
        <w:rPr>
          <w:vertAlign w:val="superscript"/>
        </w:rPr>
        <w:t>1</w:t>
      </w:r>
      <w:r w:rsidRPr="00512873">
        <w:t>, Jared Lewis</w:t>
      </w:r>
      <w:r w:rsidRPr="00512873">
        <w:rPr>
          <w:vertAlign w:val="superscript"/>
        </w:rPr>
        <w:t>5,6</w:t>
      </w:r>
      <w:r w:rsidRPr="00512873">
        <w:t>, Malte Meinshausen</w:t>
      </w:r>
      <w:r w:rsidRPr="00512873">
        <w:rPr>
          <w:vertAlign w:val="superscript"/>
        </w:rPr>
        <w:t>4,5,6</w:t>
      </w:r>
      <w:r w:rsidRPr="00512873">
        <w:t>, Michiel Schaeffer</w:t>
      </w:r>
      <w:r w:rsidRPr="00512873">
        <w:rPr>
          <w:vertAlign w:val="superscript"/>
        </w:rPr>
        <w:t>1,7</w:t>
      </w:r>
      <w:r w:rsidRPr="00512873">
        <w:t>, Matthew J. Gidden</w:t>
      </w:r>
      <w:r w:rsidRPr="00512873">
        <w:rPr>
          <w:vertAlign w:val="superscript"/>
        </w:rPr>
        <w:t>1,8</w:t>
      </w:r>
    </w:p>
    <w:p w14:paraId="7E5DA2D9" w14:textId="77777777" w:rsidR="00A53F8C" w:rsidRPr="00512873" w:rsidRDefault="00A53F8C" w:rsidP="0045173D"/>
    <w:p w14:paraId="693D6A46" w14:textId="77777777" w:rsidR="00A53F8C" w:rsidRDefault="00A53F8C" w:rsidP="0045173D">
      <w:pPr>
        <w:rPr>
          <w:sz w:val="20"/>
          <w:szCs w:val="20"/>
        </w:rPr>
      </w:pPr>
      <w:r w:rsidRPr="008B7DBD">
        <w:rPr>
          <w:bCs/>
          <w:sz w:val="20"/>
          <w:szCs w:val="20"/>
          <w:vertAlign w:val="superscript"/>
        </w:rPr>
        <w:t>1</w:t>
      </w:r>
      <w:r>
        <w:rPr>
          <w:b/>
          <w:sz w:val="20"/>
          <w:szCs w:val="20"/>
        </w:rPr>
        <w:t xml:space="preserve"> </w:t>
      </w:r>
      <w:r>
        <w:rPr>
          <w:sz w:val="20"/>
          <w:szCs w:val="20"/>
        </w:rPr>
        <w:t>Climate Analytics, Berlin, Germany</w:t>
      </w:r>
    </w:p>
    <w:p w14:paraId="7422F18B" w14:textId="77777777" w:rsidR="00A53F8C" w:rsidRDefault="00A53F8C" w:rsidP="0045173D">
      <w:pPr>
        <w:rPr>
          <w:sz w:val="20"/>
          <w:szCs w:val="20"/>
        </w:rPr>
      </w:pPr>
      <w:r w:rsidRPr="008B7DBD">
        <w:rPr>
          <w:bCs/>
          <w:sz w:val="20"/>
          <w:szCs w:val="20"/>
          <w:vertAlign w:val="superscript"/>
        </w:rPr>
        <w:t>2</w:t>
      </w:r>
      <w:r>
        <w:rPr>
          <w:b/>
          <w:sz w:val="20"/>
          <w:szCs w:val="20"/>
          <w:vertAlign w:val="superscript"/>
        </w:rPr>
        <w:t xml:space="preserve"> </w:t>
      </w:r>
      <w:r>
        <w:rPr>
          <w:sz w:val="20"/>
          <w:szCs w:val="20"/>
        </w:rPr>
        <w:t>Hanley Sustainability Institute, Renewable and Clean Energy Program and Physics Dept., University of Dayton, Dayton, OH, USA</w:t>
      </w:r>
    </w:p>
    <w:p w14:paraId="7B9953D5" w14:textId="77777777" w:rsidR="00A53F8C" w:rsidRDefault="00A53F8C" w:rsidP="0045173D">
      <w:pPr>
        <w:rPr>
          <w:sz w:val="20"/>
          <w:szCs w:val="20"/>
        </w:rPr>
      </w:pPr>
      <w:r>
        <w:rPr>
          <w:b/>
          <w:sz w:val="20"/>
          <w:szCs w:val="20"/>
          <w:vertAlign w:val="superscript"/>
        </w:rPr>
        <w:t>3</w:t>
      </w:r>
      <w:r>
        <w:rPr>
          <w:b/>
          <w:sz w:val="20"/>
          <w:szCs w:val="20"/>
        </w:rPr>
        <w:t xml:space="preserve"> </w:t>
      </w:r>
      <w:r>
        <w:rPr>
          <w:sz w:val="20"/>
          <w:szCs w:val="20"/>
        </w:rPr>
        <w:t>Grantham Institute for Climate Change and the Environment, Imperial College London, UK</w:t>
      </w:r>
    </w:p>
    <w:p w14:paraId="443219C6" w14:textId="77777777" w:rsidR="00A53F8C" w:rsidRDefault="00A53F8C" w:rsidP="0045173D">
      <w:pPr>
        <w:rPr>
          <w:sz w:val="20"/>
          <w:szCs w:val="20"/>
        </w:rPr>
      </w:pPr>
      <w:r w:rsidRPr="008B7DBD">
        <w:rPr>
          <w:bCs/>
          <w:sz w:val="20"/>
          <w:szCs w:val="20"/>
          <w:vertAlign w:val="superscript"/>
        </w:rPr>
        <w:t xml:space="preserve">4 </w:t>
      </w:r>
      <w:r>
        <w:rPr>
          <w:sz w:val="20"/>
          <w:szCs w:val="20"/>
        </w:rPr>
        <w:t>Australian-German Climate and Energy College, The University of Melbourne, Australia</w:t>
      </w:r>
    </w:p>
    <w:p w14:paraId="5113A376" w14:textId="77777777" w:rsidR="00A53F8C" w:rsidRDefault="00A53F8C" w:rsidP="0045173D">
      <w:pPr>
        <w:rPr>
          <w:sz w:val="20"/>
          <w:szCs w:val="20"/>
        </w:rPr>
      </w:pPr>
      <w:r w:rsidRPr="000F66E5">
        <w:rPr>
          <w:bCs/>
          <w:sz w:val="20"/>
          <w:szCs w:val="20"/>
          <w:vertAlign w:val="superscript"/>
        </w:rPr>
        <w:t>5</w:t>
      </w:r>
      <w:r>
        <w:rPr>
          <w:b/>
          <w:sz w:val="20"/>
          <w:szCs w:val="20"/>
          <w:vertAlign w:val="superscript"/>
        </w:rPr>
        <w:t xml:space="preserve"> </w:t>
      </w:r>
      <w:r>
        <w:rPr>
          <w:sz w:val="20"/>
          <w:szCs w:val="20"/>
        </w:rPr>
        <w:t>School of Geography, Earth an Atmospheric Sciences, The University of Melbourne, Australia</w:t>
      </w:r>
    </w:p>
    <w:p w14:paraId="7972BA3C" w14:textId="77777777" w:rsidR="00A53F8C" w:rsidRPr="008B7DBD" w:rsidRDefault="00A53F8C" w:rsidP="0045173D">
      <w:pPr>
        <w:rPr>
          <w:sz w:val="20"/>
          <w:szCs w:val="20"/>
        </w:rPr>
      </w:pPr>
      <w:r>
        <w:rPr>
          <w:sz w:val="20"/>
          <w:szCs w:val="20"/>
          <w:vertAlign w:val="superscript"/>
        </w:rPr>
        <w:t>6</w:t>
      </w:r>
      <w:r>
        <w:rPr>
          <w:sz w:val="20"/>
          <w:szCs w:val="20"/>
        </w:rPr>
        <w:t xml:space="preserve"> Climate Resource, Melbourne, Australia</w:t>
      </w:r>
    </w:p>
    <w:p w14:paraId="415F7DDE" w14:textId="77777777" w:rsidR="00A53F8C" w:rsidRDefault="00A53F8C" w:rsidP="0045173D">
      <w:pPr>
        <w:rPr>
          <w:sz w:val="20"/>
          <w:szCs w:val="20"/>
        </w:rPr>
      </w:pPr>
      <w:r>
        <w:rPr>
          <w:bCs/>
          <w:sz w:val="20"/>
          <w:szCs w:val="20"/>
          <w:vertAlign w:val="superscript"/>
        </w:rPr>
        <w:t>7</w:t>
      </w:r>
      <w:r>
        <w:rPr>
          <w:b/>
          <w:sz w:val="20"/>
          <w:szCs w:val="20"/>
          <w:vertAlign w:val="superscript"/>
        </w:rPr>
        <w:t xml:space="preserve"> </w:t>
      </w:r>
      <w:r>
        <w:rPr>
          <w:sz w:val="20"/>
          <w:szCs w:val="20"/>
        </w:rPr>
        <w:t>The Global Center on Adaptation, the Netherlands</w:t>
      </w:r>
    </w:p>
    <w:p w14:paraId="076C810C" w14:textId="77777777" w:rsidR="00A53F8C" w:rsidRDefault="00A53F8C" w:rsidP="0045173D">
      <w:pPr>
        <w:rPr>
          <w:sz w:val="20"/>
          <w:szCs w:val="20"/>
        </w:rPr>
      </w:pPr>
      <w:r>
        <w:rPr>
          <w:bCs/>
          <w:sz w:val="20"/>
          <w:szCs w:val="20"/>
          <w:vertAlign w:val="superscript"/>
        </w:rPr>
        <w:t>8</w:t>
      </w:r>
      <w:r>
        <w:rPr>
          <w:b/>
          <w:sz w:val="20"/>
          <w:szCs w:val="20"/>
        </w:rPr>
        <w:t xml:space="preserve"> </w:t>
      </w:r>
      <w:r>
        <w:rPr>
          <w:sz w:val="20"/>
          <w:szCs w:val="20"/>
        </w:rPr>
        <w:t>International Institute for Applied Systems Analysis, Laxenburg, Austria</w:t>
      </w:r>
    </w:p>
    <w:p w14:paraId="689F6334" w14:textId="77777777" w:rsidR="00A53F8C" w:rsidRDefault="00A53F8C" w:rsidP="00A53F8C">
      <w:pPr>
        <w:spacing w:line="360" w:lineRule="auto"/>
        <w:rPr>
          <w:sz w:val="20"/>
          <w:szCs w:val="20"/>
        </w:rPr>
      </w:pPr>
    </w:p>
    <w:p w14:paraId="45ADA46C" w14:textId="77777777" w:rsidR="00A53F8C" w:rsidRDefault="00A53F8C" w:rsidP="00A53F8C">
      <w:pPr>
        <w:spacing w:line="360" w:lineRule="auto"/>
        <w:rPr>
          <w:sz w:val="20"/>
          <w:szCs w:val="20"/>
        </w:rPr>
      </w:pPr>
      <w:r>
        <w:rPr>
          <w:sz w:val="20"/>
          <w:szCs w:val="20"/>
        </w:rPr>
        <w:t xml:space="preserve">*Corresponding author: </w:t>
      </w:r>
      <w:hyperlink r:id="rId8">
        <w:r>
          <w:rPr>
            <w:color w:val="1155CC"/>
            <w:sz w:val="20"/>
            <w:szCs w:val="20"/>
            <w:u w:val="single"/>
          </w:rPr>
          <w:t>robert.brecha@climateanalytics.org</w:t>
        </w:r>
      </w:hyperlink>
      <w:r>
        <w:rPr>
          <w:sz w:val="20"/>
          <w:szCs w:val="20"/>
        </w:rPr>
        <w:t xml:space="preserve"> </w:t>
      </w:r>
    </w:p>
    <w:sdt>
      <w:sdtPr>
        <w:rPr>
          <w:rFonts w:asciiTheme="minorHAnsi" w:eastAsia="Times New Roman" w:hAnsiTheme="minorHAnsi" w:cs="Times New Roman"/>
          <w:b w:val="0"/>
          <w:bCs w:val="0"/>
          <w:color w:val="auto"/>
          <w:sz w:val="22"/>
          <w:szCs w:val="24"/>
          <w:lang w:val="en-GB"/>
        </w:rPr>
        <w:id w:val="-1486466236"/>
        <w:docPartObj>
          <w:docPartGallery w:val="Table of Contents"/>
          <w:docPartUnique/>
        </w:docPartObj>
      </w:sdtPr>
      <w:sdtEndPr>
        <w:rPr>
          <w:noProof/>
        </w:rPr>
      </w:sdtEndPr>
      <w:sdtContent>
        <w:p w14:paraId="2A1D4121" w14:textId="26D8514C" w:rsidR="008636C4" w:rsidRDefault="008636C4">
          <w:pPr>
            <w:pStyle w:val="TOCHeading"/>
          </w:pPr>
          <w:r>
            <w:t>Table of Contents</w:t>
          </w:r>
        </w:p>
        <w:p w14:paraId="46316B8F" w14:textId="741537BE" w:rsidR="00D347F6" w:rsidRPr="00F70AB7" w:rsidRDefault="008636C4">
          <w:pPr>
            <w:pStyle w:val="TOC2"/>
            <w:tabs>
              <w:tab w:val="right" w:leader="dot" w:pos="9060"/>
            </w:tabs>
            <w:rPr>
              <w:rFonts w:eastAsiaTheme="minorEastAsia"/>
              <w:b w:val="0"/>
              <w:bCs w:val="0"/>
              <w:noProof/>
              <w:sz w:val="24"/>
              <w:szCs w:val="24"/>
              <w:lang w:val="en-DE" w:eastAsia="en-GB"/>
            </w:rPr>
          </w:pPr>
          <w:r>
            <w:rPr>
              <w:b w:val="0"/>
              <w:bCs w:val="0"/>
            </w:rPr>
            <w:fldChar w:fldCharType="begin"/>
          </w:r>
          <w:r>
            <w:instrText xml:space="preserve"> TOC \o "1-3" \h \z \u </w:instrText>
          </w:r>
          <w:r>
            <w:rPr>
              <w:b w:val="0"/>
              <w:bCs w:val="0"/>
            </w:rPr>
            <w:fldChar w:fldCharType="separate"/>
          </w:r>
          <w:hyperlink w:anchor="_Toc72859586" w:history="1">
            <w:r w:rsidR="00D347F6" w:rsidRPr="00F70AB7">
              <w:rPr>
                <w:rStyle w:val="Hyperlink"/>
                <w:rFonts w:asciiTheme="minorHAnsi" w:hAnsiTheme="minorHAnsi"/>
                <w:noProof/>
              </w:rPr>
              <w:t>Supplementary Information: Institutional “Paris Agreement Compatible” Mitigation Scenarios Evaluated Against the Paris Agreement 1.5°C Goal</w:t>
            </w:r>
            <w:r w:rsidR="00D347F6" w:rsidRPr="00F70AB7">
              <w:rPr>
                <w:noProof/>
                <w:webHidden/>
              </w:rPr>
              <w:tab/>
            </w:r>
            <w:r w:rsidR="00D347F6" w:rsidRPr="00F70AB7">
              <w:rPr>
                <w:noProof/>
                <w:webHidden/>
              </w:rPr>
              <w:fldChar w:fldCharType="begin"/>
            </w:r>
            <w:r w:rsidR="00D347F6" w:rsidRPr="00F70AB7">
              <w:rPr>
                <w:noProof/>
                <w:webHidden/>
              </w:rPr>
              <w:instrText xml:space="preserve"> PAGEREF _Toc72859586 \h </w:instrText>
            </w:r>
            <w:r w:rsidR="00D347F6" w:rsidRPr="00F70AB7">
              <w:rPr>
                <w:noProof/>
                <w:webHidden/>
              </w:rPr>
            </w:r>
            <w:r w:rsidR="00D347F6" w:rsidRPr="00F70AB7">
              <w:rPr>
                <w:noProof/>
                <w:webHidden/>
              </w:rPr>
              <w:fldChar w:fldCharType="separate"/>
            </w:r>
            <w:r w:rsidR="00D347F6" w:rsidRPr="00F70AB7">
              <w:rPr>
                <w:noProof/>
                <w:webHidden/>
              </w:rPr>
              <w:t>1</w:t>
            </w:r>
            <w:r w:rsidR="00D347F6" w:rsidRPr="00F70AB7">
              <w:rPr>
                <w:noProof/>
                <w:webHidden/>
              </w:rPr>
              <w:fldChar w:fldCharType="end"/>
            </w:r>
          </w:hyperlink>
        </w:p>
        <w:p w14:paraId="70F82357" w14:textId="1D1E23F5" w:rsidR="00D347F6" w:rsidRPr="00F70AB7" w:rsidRDefault="003C13B1">
          <w:pPr>
            <w:pStyle w:val="TOC3"/>
            <w:tabs>
              <w:tab w:val="left" w:pos="880"/>
              <w:tab w:val="right" w:leader="dot" w:pos="9060"/>
            </w:tabs>
            <w:rPr>
              <w:rFonts w:eastAsiaTheme="minorEastAsia"/>
              <w:noProof/>
              <w:sz w:val="24"/>
              <w:szCs w:val="24"/>
              <w:lang w:val="en-DE" w:eastAsia="en-GB"/>
            </w:rPr>
          </w:pPr>
          <w:hyperlink w:anchor="_Toc72859587" w:history="1">
            <w:r w:rsidR="00D347F6" w:rsidRPr="00F70AB7">
              <w:rPr>
                <w:rStyle w:val="Hyperlink"/>
                <w:rFonts w:asciiTheme="minorHAnsi" w:hAnsiTheme="minorHAnsi"/>
                <w:noProof/>
              </w:rPr>
              <w:t>1.</w:t>
            </w:r>
            <w:r w:rsidR="00D347F6" w:rsidRPr="00F70AB7">
              <w:rPr>
                <w:rFonts w:eastAsiaTheme="minorEastAsia"/>
                <w:noProof/>
                <w:sz w:val="24"/>
                <w:szCs w:val="24"/>
                <w:lang w:val="en-DE" w:eastAsia="en-GB"/>
              </w:rPr>
              <w:tab/>
            </w:r>
            <w:r w:rsidR="00D347F6" w:rsidRPr="00F70AB7">
              <w:rPr>
                <w:rStyle w:val="Hyperlink"/>
                <w:rFonts w:asciiTheme="minorHAnsi" w:hAnsiTheme="minorHAnsi"/>
                <w:noProof/>
              </w:rPr>
              <w:t>Evaluating the Constant Quantile Extension (CQE) method</w:t>
            </w:r>
            <w:r w:rsidR="00D347F6" w:rsidRPr="00F70AB7">
              <w:rPr>
                <w:noProof/>
                <w:webHidden/>
              </w:rPr>
              <w:tab/>
            </w:r>
            <w:r w:rsidR="00D347F6" w:rsidRPr="00F70AB7">
              <w:rPr>
                <w:noProof/>
                <w:webHidden/>
              </w:rPr>
              <w:fldChar w:fldCharType="begin"/>
            </w:r>
            <w:r w:rsidR="00D347F6" w:rsidRPr="00F70AB7">
              <w:rPr>
                <w:noProof/>
                <w:webHidden/>
              </w:rPr>
              <w:instrText xml:space="preserve"> PAGEREF _Toc72859587 \h </w:instrText>
            </w:r>
            <w:r w:rsidR="00D347F6" w:rsidRPr="00F70AB7">
              <w:rPr>
                <w:noProof/>
                <w:webHidden/>
              </w:rPr>
            </w:r>
            <w:r w:rsidR="00D347F6" w:rsidRPr="00F70AB7">
              <w:rPr>
                <w:noProof/>
                <w:webHidden/>
              </w:rPr>
              <w:fldChar w:fldCharType="separate"/>
            </w:r>
            <w:r w:rsidR="00D347F6" w:rsidRPr="00F70AB7">
              <w:rPr>
                <w:noProof/>
                <w:webHidden/>
              </w:rPr>
              <w:t>2</w:t>
            </w:r>
            <w:r w:rsidR="00D347F6" w:rsidRPr="00F70AB7">
              <w:rPr>
                <w:noProof/>
                <w:webHidden/>
              </w:rPr>
              <w:fldChar w:fldCharType="end"/>
            </w:r>
          </w:hyperlink>
        </w:p>
        <w:p w14:paraId="7A70AB00" w14:textId="5A699085" w:rsidR="00D347F6" w:rsidRPr="00F70AB7" w:rsidRDefault="003C13B1">
          <w:pPr>
            <w:pStyle w:val="TOC3"/>
            <w:tabs>
              <w:tab w:val="left" w:pos="880"/>
              <w:tab w:val="right" w:leader="dot" w:pos="9060"/>
            </w:tabs>
            <w:rPr>
              <w:rFonts w:eastAsiaTheme="minorEastAsia"/>
              <w:noProof/>
              <w:sz w:val="24"/>
              <w:szCs w:val="24"/>
              <w:lang w:val="en-DE" w:eastAsia="en-GB"/>
            </w:rPr>
          </w:pPr>
          <w:hyperlink w:anchor="_Toc72859588" w:history="1">
            <w:r w:rsidR="00D347F6" w:rsidRPr="00F70AB7">
              <w:rPr>
                <w:rStyle w:val="Hyperlink"/>
                <w:rFonts w:asciiTheme="minorHAnsi" w:hAnsiTheme="minorHAnsi"/>
                <w:noProof/>
              </w:rPr>
              <w:t>2.</w:t>
            </w:r>
            <w:r w:rsidR="00D347F6" w:rsidRPr="00F70AB7">
              <w:rPr>
                <w:rFonts w:eastAsiaTheme="minorEastAsia"/>
                <w:noProof/>
                <w:sz w:val="24"/>
                <w:szCs w:val="24"/>
                <w:lang w:val="en-DE" w:eastAsia="en-GB"/>
              </w:rPr>
              <w:tab/>
            </w:r>
            <w:r w:rsidR="00D347F6" w:rsidRPr="00F70AB7">
              <w:rPr>
                <w:rStyle w:val="Hyperlink"/>
                <w:rFonts w:asciiTheme="minorHAnsi" w:hAnsiTheme="minorHAnsi"/>
                <w:noProof/>
              </w:rPr>
              <w:t>Evaluating uncertainty due to the infilling method</w:t>
            </w:r>
            <w:r w:rsidR="00D347F6" w:rsidRPr="00F70AB7">
              <w:rPr>
                <w:noProof/>
                <w:webHidden/>
              </w:rPr>
              <w:tab/>
            </w:r>
            <w:r w:rsidR="00D347F6" w:rsidRPr="00F70AB7">
              <w:rPr>
                <w:noProof/>
                <w:webHidden/>
              </w:rPr>
              <w:fldChar w:fldCharType="begin"/>
            </w:r>
            <w:r w:rsidR="00D347F6" w:rsidRPr="00F70AB7">
              <w:rPr>
                <w:noProof/>
                <w:webHidden/>
              </w:rPr>
              <w:instrText xml:space="preserve"> PAGEREF _Toc72859588 \h </w:instrText>
            </w:r>
            <w:r w:rsidR="00D347F6" w:rsidRPr="00F70AB7">
              <w:rPr>
                <w:noProof/>
                <w:webHidden/>
              </w:rPr>
            </w:r>
            <w:r w:rsidR="00D347F6" w:rsidRPr="00F70AB7">
              <w:rPr>
                <w:noProof/>
                <w:webHidden/>
              </w:rPr>
              <w:fldChar w:fldCharType="separate"/>
            </w:r>
            <w:r w:rsidR="00D347F6" w:rsidRPr="00F70AB7">
              <w:rPr>
                <w:noProof/>
                <w:webHidden/>
              </w:rPr>
              <w:t>3</w:t>
            </w:r>
            <w:r w:rsidR="00D347F6" w:rsidRPr="00F70AB7">
              <w:rPr>
                <w:noProof/>
                <w:webHidden/>
              </w:rPr>
              <w:fldChar w:fldCharType="end"/>
            </w:r>
          </w:hyperlink>
        </w:p>
        <w:p w14:paraId="4F5D1C81" w14:textId="767FC31C" w:rsidR="00D347F6" w:rsidRPr="00F70AB7" w:rsidRDefault="003C13B1">
          <w:pPr>
            <w:pStyle w:val="TOC3"/>
            <w:tabs>
              <w:tab w:val="left" w:pos="880"/>
              <w:tab w:val="right" w:leader="dot" w:pos="9060"/>
            </w:tabs>
            <w:rPr>
              <w:rFonts w:eastAsiaTheme="minorEastAsia"/>
              <w:noProof/>
              <w:sz w:val="24"/>
              <w:szCs w:val="24"/>
              <w:lang w:val="en-DE" w:eastAsia="en-GB"/>
            </w:rPr>
          </w:pPr>
          <w:hyperlink w:anchor="_Toc72859589" w:history="1">
            <w:r w:rsidR="00D347F6" w:rsidRPr="00F70AB7">
              <w:rPr>
                <w:rStyle w:val="Hyperlink"/>
                <w:rFonts w:asciiTheme="minorHAnsi" w:hAnsiTheme="minorHAnsi"/>
                <w:noProof/>
              </w:rPr>
              <w:t>3.</w:t>
            </w:r>
            <w:r w:rsidR="00D347F6" w:rsidRPr="00F70AB7">
              <w:rPr>
                <w:rFonts w:eastAsiaTheme="minorEastAsia"/>
                <w:noProof/>
                <w:sz w:val="24"/>
                <w:szCs w:val="24"/>
                <w:lang w:val="en-DE" w:eastAsia="en-GB"/>
              </w:rPr>
              <w:tab/>
            </w:r>
            <w:r w:rsidR="00D347F6" w:rsidRPr="00F70AB7">
              <w:rPr>
                <w:rStyle w:val="Hyperlink"/>
                <w:rFonts w:asciiTheme="minorHAnsi" w:hAnsiTheme="minorHAnsi"/>
                <w:noProof/>
              </w:rPr>
              <w:t>Climate assessment – key characteristics of the pathways</w:t>
            </w:r>
            <w:r w:rsidR="00D347F6" w:rsidRPr="00F70AB7">
              <w:rPr>
                <w:noProof/>
                <w:webHidden/>
              </w:rPr>
              <w:tab/>
            </w:r>
            <w:r w:rsidR="00D347F6" w:rsidRPr="00F70AB7">
              <w:rPr>
                <w:noProof/>
                <w:webHidden/>
              </w:rPr>
              <w:fldChar w:fldCharType="begin"/>
            </w:r>
            <w:r w:rsidR="00D347F6" w:rsidRPr="00F70AB7">
              <w:rPr>
                <w:noProof/>
                <w:webHidden/>
              </w:rPr>
              <w:instrText xml:space="preserve"> PAGEREF _Toc72859589 \h </w:instrText>
            </w:r>
            <w:r w:rsidR="00D347F6" w:rsidRPr="00F70AB7">
              <w:rPr>
                <w:noProof/>
                <w:webHidden/>
              </w:rPr>
            </w:r>
            <w:r w:rsidR="00D347F6" w:rsidRPr="00F70AB7">
              <w:rPr>
                <w:noProof/>
                <w:webHidden/>
              </w:rPr>
              <w:fldChar w:fldCharType="separate"/>
            </w:r>
            <w:r w:rsidR="00D347F6" w:rsidRPr="00F70AB7">
              <w:rPr>
                <w:noProof/>
                <w:webHidden/>
              </w:rPr>
              <w:t>4</w:t>
            </w:r>
            <w:r w:rsidR="00D347F6" w:rsidRPr="00F70AB7">
              <w:rPr>
                <w:noProof/>
                <w:webHidden/>
              </w:rPr>
              <w:fldChar w:fldCharType="end"/>
            </w:r>
          </w:hyperlink>
        </w:p>
        <w:p w14:paraId="421B644B" w14:textId="5FFD9843" w:rsidR="00D347F6" w:rsidRPr="00F70AB7" w:rsidRDefault="003C13B1">
          <w:pPr>
            <w:pStyle w:val="TOC3"/>
            <w:tabs>
              <w:tab w:val="right" w:leader="dot" w:pos="9060"/>
            </w:tabs>
            <w:rPr>
              <w:rFonts w:eastAsiaTheme="minorEastAsia"/>
              <w:noProof/>
              <w:sz w:val="24"/>
              <w:szCs w:val="24"/>
              <w:lang w:val="en-DE" w:eastAsia="en-GB"/>
            </w:rPr>
          </w:pPr>
          <w:hyperlink w:anchor="_Toc72859590" w:history="1">
            <w:r w:rsidR="00D347F6" w:rsidRPr="00F70AB7">
              <w:rPr>
                <w:rStyle w:val="Hyperlink"/>
                <w:rFonts w:asciiTheme="minorHAnsi" w:hAnsiTheme="minorHAnsi"/>
                <w:noProof/>
              </w:rPr>
              <w:t>References</w:t>
            </w:r>
            <w:r w:rsidR="00D347F6" w:rsidRPr="00F70AB7">
              <w:rPr>
                <w:noProof/>
                <w:webHidden/>
              </w:rPr>
              <w:tab/>
            </w:r>
            <w:r w:rsidR="00D347F6" w:rsidRPr="00F70AB7">
              <w:rPr>
                <w:noProof/>
                <w:webHidden/>
              </w:rPr>
              <w:fldChar w:fldCharType="begin"/>
            </w:r>
            <w:r w:rsidR="00D347F6" w:rsidRPr="00F70AB7">
              <w:rPr>
                <w:noProof/>
                <w:webHidden/>
              </w:rPr>
              <w:instrText xml:space="preserve"> PAGEREF _Toc72859590 \h </w:instrText>
            </w:r>
            <w:r w:rsidR="00D347F6" w:rsidRPr="00F70AB7">
              <w:rPr>
                <w:noProof/>
                <w:webHidden/>
              </w:rPr>
            </w:r>
            <w:r w:rsidR="00D347F6" w:rsidRPr="00F70AB7">
              <w:rPr>
                <w:noProof/>
                <w:webHidden/>
              </w:rPr>
              <w:fldChar w:fldCharType="separate"/>
            </w:r>
            <w:r w:rsidR="00D347F6" w:rsidRPr="00F70AB7">
              <w:rPr>
                <w:noProof/>
                <w:webHidden/>
              </w:rPr>
              <w:t>5</w:t>
            </w:r>
            <w:r w:rsidR="00D347F6" w:rsidRPr="00F70AB7">
              <w:rPr>
                <w:noProof/>
                <w:webHidden/>
              </w:rPr>
              <w:fldChar w:fldCharType="end"/>
            </w:r>
          </w:hyperlink>
        </w:p>
        <w:p w14:paraId="3F585DBD" w14:textId="2FE36C83" w:rsidR="008636C4" w:rsidRDefault="008636C4">
          <w:r>
            <w:rPr>
              <w:b/>
              <w:bCs/>
              <w:noProof/>
            </w:rPr>
            <w:fldChar w:fldCharType="end"/>
          </w:r>
        </w:p>
      </w:sdtContent>
    </w:sdt>
    <w:p w14:paraId="7DADDEAB" w14:textId="77777777" w:rsidR="008636C4" w:rsidRPr="008636C4" w:rsidRDefault="008636C4" w:rsidP="008636C4"/>
    <w:p w14:paraId="11902E94" w14:textId="6357A673" w:rsidR="00A53F8C" w:rsidRDefault="00A53F8C" w:rsidP="00A53F8C"/>
    <w:p w14:paraId="62A938F9" w14:textId="77777777" w:rsidR="00A53F8C" w:rsidRDefault="00A53F8C" w:rsidP="00A53F8C">
      <w:pPr>
        <w:sectPr w:rsidR="00A53F8C">
          <w:headerReference w:type="default" r:id="rId9"/>
          <w:footerReference w:type="default" r:id="rId10"/>
          <w:pgSz w:w="11906" w:h="16838"/>
          <w:pgMar w:top="1418" w:right="1418" w:bottom="1418" w:left="1418" w:header="709" w:footer="709" w:gutter="0"/>
          <w:cols w:space="720"/>
        </w:sectPr>
      </w:pPr>
    </w:p>
    <w:p w14:paraId="34997CF1" w14:textId="0D9DF28E" w:rsidR="00A53F8C" w:rsidRDefault="008636C4" w:rsidP="00225385">
      <w:pPr>
        <w:pStyle w:val="Heading3"/>
        <w:numPr>
          <w:ilvl w:val="0"/>
          <w:numId w:val="34"/>
        </w:numPr>
      </w:pPr>
      <w:bookmarkStart w:id="1" w:name="_Toc72859587"/>
      <w:r>
        <w:lastRenderedPageBreak/>
        <w:t>Evaluating the Constant Quantile Extension (CQE) method</w:t>
      </w:r>
      <w:bookmarkEnd w:id="1"/>
    </w:p>
    <w:p w14:paraId="68AAA5BD" w14:textId="77777777" w:rsidR="00C93B1C" w:rsidRDefault="00C93B1C" w:rsidP="008636C4"/>
    <w:p w14:paraId="2F83A2AC" w14:textId="77777777" w:rsidR="00E94F57" w:rsidRDefault="00E94F57" w:rsidP="00E94F57">
      <w:pPr>
        <w:pStyle w:val="ListParagraph"/>
        <w:numPr>
          <w:ilvl w:val="0"/>
          <w:numId w:val="0"/>
        </w:numPr>
        <w:ind w:left="360"/>
      </w:pPr>
      <w:bookmarkStart w:id="2" w:name="_Toc72859588"/>
      <w:r>
        <w:t xml:space="preserve">As described in the </w:t>
      </w:r>
      <w:r w:rsidRPr="00E94F57">
        <w:rPr>
          <w:i/>
          <w:iCs/>
        </w:rPr>
        <w:t xml:space="preserve">Methods </w:t>
      </w:r>
      <w:r>
        <w:t xml:space="preserve">section of the main text we truncate each pathway (i.e., model and scenario combination) at 2050 and then use the CQE method to extend them till 2100 and calculate the error as: </w:t>
      </w:r>
    </w:p>
    <w:p w14:paraId="68046F15" w14:textId="77777777" w:rsidR="00E94F57" w:rsidRDefault="00E94F57" w:rsidP="00E94F57">
      <w:pPr>
        <w:pStyle w:val="ListParagraph"/>
        <w:numPr>
          <w:ilvl w:val="0"/>
          <w:numId w:val="0"/>
        </w:numPr>
        <w:ind w:left="360"/>
      </w:pPr>
    </w:p>
    <w:p w14:paraId="0D26673A" w14:textId="77777777" w:rsidR="00E94F57" w:rsidRPr="00E94F57" w:rsidRDefault="00E94F57" w:rsidP="00E94F57">
      <w:pPr>
        <w:pStyle w:val="ListParagraph"/>
        <w:numPr>
          <w:ilvl w:val="0"/>
          <w:numId w:val="0"/>
        </w:numPr>
        <w:spacing w:line="360" w:lineRule="auto"/>
        <w:ind w:left="360"/>
        <w:jc w:val="center"/>
        <w:rPr>
          <w:rFonts w:ascii="Arial" w:eastAsia="Arial" w:hAnsi="Arial" w:cs="Arial"/>
        </w:rPr>
      </w:pPr>
      <m:oMathPara>
        <m:oMath>
          <m:r>
            <w:rPr>
              <w:rFonts w:ascii="Cambria Math" w:hAnsi="Cambria Math"/>
            </w:rPr>
            <m:t>ϵ</m:t>
          </m:r>
          <m:r>
            <w:rPr>
              <w:rFonts w:ascii="Cambria Math" w:eastAsia="Arial" w:hAnsi="Cambria Math" w:cs="Arial"/>
            </w:rPr>
            <m:t>=</m:t>
          </m:r>
          <m:sSub>
            <m:sSubPr>
              <m:ctrlPr>
                <w:rPr>
                  <w:rFonts w:ascii="Cambria Math" w:eastAsia="Arial" w:hAnsi="Cambria Math" w:cs="Arial"/>
                </w:rPr>
              </m:ctrlPr>
            </m:sSubPr>
            <m:e>
              <m:r>
                <w:rPr>
                  <w:rFonts w:ascii="Cambria Math" w:eastAsia="Arial" w:hAnsi="Cambria Math" w:cs="Arial"/>
                </w:rPr>
                <m:t>Σ</m:t>
              </m:r>
            </m:e>
            <m:sub>
              <m:r>
                <w:rPr>
                  <w:rFonts w:ascii="Cambria Math" w:eastAsia="Arial" w:hAnsi="Cambria Math" w:cs="Arial"/>
                </w:rPr>
                <m:t>i</m:t>
              </m:r>
            </m:sub>
          </m:sSub>
          <m:rad>
            <m:radPr>
              <m:degHide m:val="1"/>
              <m:ctrlPr>
                <w:rPr>
                  <w:rFonts w:ascii="Cambria Math" w:eastAsia="Arial" w:hAnsi="Cambria Math" w:cs="Arial"/>
                </w:rPr>
              </m:ctrlPr>
            </m:radPr>
            <m:deg/>
            <m:e>
              <m:sSub>
                <m:sSubPr>
                  <m:ctrlPr>
                    <w:rPr>
                      <w:rFonts w:ascii="Cambria Math" w:eastAsia="Arial" w:hAnsi="Cambria Math" w:cs="Arial"/>
                    </w:rPr>
                  </m:ctrlPr>
                </m:sSubPr>
                <m:e>
                  <m:r>
                    <w:rPr>
                      <w:rFonts w:ascii="Cambria Math" w:eastAsia="Arial" w:hAnsi="Cambria Math" w:cs="Arial"/>
                    </w:rPr>
                    <m:t>Σ</m:t>
                  </m:r>
                </m:e>
                <m:sub>
                  <m:r>
                    <w:rPr>
                      <w:rFonts w:ascii="Cambria Math" w:eastAsia="Arial" w:hAnsi="Cambria Math" w:cs="Arial"/>
                    </w:rPr>
                    <m:t>t</m:t>
                  </m:r>
                </m:sub>
              </m:sSub>
              <m:f>
                <m:fPr>
                  <m:ctrlPr>
                    <w:rPr>
                      <w:rFonts w:ascii="Cambria Math" w:eastAsia="Arial" w:hAnsi="Cambria Math" w:cs="Arial"/>
                    </w:rPr>
                  </m:ctrlPr>
                </m:fPr>
                <m:num>
                  <m:r>
                    <w:rPr>
                      <w:rFonts w:ascii="Cambria Math" w:eastAsia="Arial" w:hAnsi="Cambria Math" w:cs="Arial"/>
                    </w:rPr>
                    <m:t>(</m:t>
                  </m:r>
                  <m:sSub>
                    <m:sSubPr>
                      <m:ctrlPr>
                        <w:rPr>
                          <w:rFonts w:ascii="Cambria Math" w:eastAsia="Arial" w:hAnsi="Cambria Math" w:cs="Arial"/>
                        </w:rPr>
                      </m:ctrlPr>
                    </m:sSubPr>
                    <m:e>
                      <m:r>
                        <w:rPr>
                          <w:rFonts w:ascii="Cambria Math" w:eastAsia="Arial" w:hAnsi="Cambria Math" w:cs="Arial"/>
                        </w:rPr>
                        <m:t>p</m:t>
                      </m:r>
                    </m:e>
                    <m:sub>
                      <m:r>
                        <w:rPr>
                          <w:rFonts w:ascii="Cambria Math" w:eastAsia="Arial" w:hAnsi="Cambria Math" w:cs="Arial"/>
                        </w:rPr>
                        <m:t>i,t</m:t>
                      </m:r>
                    </m:sub>
                  </m:sSub>
                  <m:r>
                    <w:rPr>
                      <w:rFonts w:ascii="Cambria Math" w:eastAsia="Arial" w:hAnsi="Cambria Math" w:cs="Arial"/>
                    </w:rPr>
                    <m:t>-</m:t>
                  </m:r>
                  <m:sSub>
                    <m:sSubPr>
                      <m:ctrlPr>
                        <w:rPr>
                          <w:rFonts w:ascii="Cambria Math" w:eastAsia="Arial" w:hAnsi="Cambria Math" w:cs="Arial"/>
                        </w:rPr>
                      </m:ctrlPr>
                    </m:sSubPr>
                    <m:e>
                      <m:r>
                        <w:rPr>
                          <w:rFonts w:ascii="Cambria Math" w:eastAsia="Arial" w:hAnsi="Cambria Math" w:cs="Arial"/>
                        </w:rPr>
                        <m:t>q</m:t>
                      </m:r>
                    </m:e>
                    <m:sub>
                      <m:r>
                        <w:rPr>
                          <w:rFonts w:ascii="Cambria Math" w:eastAsia="Arial" w:hAnsi="Cambria Math" w:cs="Arial"/>
                        </w:rPr>
                        <m:t>i,t</m:t>
                      </m:r>
                    </m:sub>
                  </m:sSub>
                  <m:sSup>
                    <m:sSupPr>
                      <m:ctrlPr>
                        <w:rPr>
                          <w:rFonts w:ascii="Cambria Math" w:eastAsia="Arial" w:hAnsi="Cambria Math" w:cs="Arial"/>
                        </w:rPr>
                      </m:ctrlPr>
                    </m:sSupPr>
                    <m:e>
                      <m:r>
                        <w:rPr>
                          <w:rFonts w:ascii="Cambria Math" w:eastAsia="Arial" w:hAnsi="Cambria Math" w:cs="Arial"/>
                        </w:rPr>
                        <m:t>)</m:t>
                      </m:r>
                    </m:e>
                    <m:sup>
                      <m:r>
                        <w:rPr>
                          <w:rFonts w:ascii="Cambria Math" w:eastAsia="Arial" w:hAnsi="Cambria Math" w:cs="Arial"/>
                        </w:rPr>
                        <m:t>2</m:t>
                      </m:r>
                    </m:sup>
                  </m:sSup>
                </m:num>
                <m:den>
                  <m:sSub>
                    <m:sSubPr>
                      <m:ctrlPr>
                        <w:rPr>
                          <w:rFonts w:ascii="Cambria Math" w:eastAsia="Arial" w:hAnsi="Cambria Math" w:cs="Arial"/>
                        </w:rPr>
                      </m:ctrlPr>
                    </m:sSubPr>
                    <m:e>
                      <m:r>
                        <w:rPr>
                          <w:rFonts w:ascii="Cambria Math" w:eastAsia="Arial" w:hAnsi="Cambria Math" w:cs="Arial"/>
                        </w:rPr>
                        <m:t>n</m:t>
                      </m:r>
                    </m:e>
                    <m:sub>
                      <m:r>
                        <w:rPr>
                          <w:rFonts w:ascii="Cambria Math" w:eastAsia="Arial" w:hAnsi="Cambria Math" w:cs="Arial"/>
                        </w:rPr>
                        <m:t xml:space="preserve">t </m:t>
                      </m:r>
                    </m:sub>
                  </m:sSub>
                  <m:sSubSup>
                    <m:sSubSupPr>
                      <m:ctrlPr>
                        <w:rPr>
                          <w:rFonts w:ascii="Cambria Math" w:eastAsia="Arial" w:hAnsi="Cambria Math" w:cs="Arial"/>
                          <w:i/>
                        </w:rPr>
                      </m:ctrlPr>
                    </m:sSubSupPr>
                    <m:e>
                      <m:r>
                        <w:rPr>
                          <w:rFonts w:ascii="Cambria Math" w:eastAsia="Arial" w:hAnsi="Cambria Math" w:cs="Arial"/>
                        </w:rPr>
                        <m:t>σ</m:t>
                      </m:r>
                    </m:e>
                    <m:sub>
                      <m:r>
                        <w:rPr>
                          <w:rFonts w:ascii="Cambria Math" w:eastAsia="Arial" w:hAnsi="Cambria Math" w:cs="Arial"/>
                        </w:rPr>
                        <m:t>t</m:t>
                      </m:r>
                    </m:sub>
                    <m:sup>
                      <m:r>
                        <w:rPr>
                          <w:rFonts w:ascii="Cambria Math" w:eastAsia="Arial" w:hAnsi="Cambria Math" w:cs="Arial"/>
                        </w:rPr>
                        <m:t>2</m:t>
                      </m:r>
                    </m:sup>
                  </m:sSubSup>
                </m:den>
              </m:f>
            </m:e>
          </m:rad>
          <m:r>
            <w:rPr>
              <w:rFonts w:ascii="Cambria Math" w:eastAsia="Arial" w:hAnsi="Cambria Math" w:cs="Arial"/>
            </w:rPr>
            <m:t>/</m:t>
          </m:r>
          <m:sSub>
            <m:sSubPr>
              <m:ctrlPr>
                <w:rPr>
                  <w:rFonts w:ascii="Cambria Math" w:eastAsia="Arial" w:hAnsi="Cambria Math" w:cs="Arial"/>
                </w:rPr>
              </m:ctrlPr>
            </m:sSubPr>
            <m:e>
              <m:r>
                <w:rPr>
                  <w:rFonts w:ascii="Cambria Math" w:eastAsia="Arial" w:hAnsi="Cambria Math" w:cs="Arial"/>
                </w:rPr>
                <m:t>n</m:t>
              </m:r>
            </m:e>
            <m:sub>
              <m:r>
                <w:rPr>
                  <w:rFonts w:ascii="Cambria Math" w:eastAsia="Arial" w:hAnsi="Cambria Math" w:cs="Arial"/>
                </w:rPr>
                <m:t xml:space="preserve">i </m:t>
              </m:r>
            </m:sub>
          </m:sSub>
        </m:oMath>
      </m:oMathPara>
    </w:p>
    <w:p w14:paraId="1552D372" w14:textId="77777777" w:rsidR="00E94F57" w:rsidRDefault="00E94F57" w:rsidP="00E94F57">
      <w:pPr>
        <w:pStyle w:val="ListParagraph"/>
        <w:numPr>
          <w:ilvl w:val="0"/>
          <w:numId w:val="0"/>
        </w:numPr>
        <w:ind w:left="360"/>
      </w:pPr>
      <w:r>
        <w:t xml:space="preserve">where </w:t>
      </w:r>
      <m:oMath>
        <m:r>
          <w:rPr>
            <w:rFonts w:ascii="Cambria Math" w:hAnsi="Cambria Math"/>
          </w:rPr>
          <m:t>ϵ</m:t>
        </m:r>
      </m:oMath>
      <w:r w:rsidRPr="00E94F57">
        <w:rPr>
          <w:rFonts w:ascii="Arial" w:eastAsia="Arial" w:hAnsi="Arial" w:cs="Arial"/>
        </w:rPr>
        <w:t xml:space="preserve"> </w:t>
      </w:r>
      <w:r>
        <w:t xml:space="preserve">is the error, </w:t>
      </w:r>
      <w:r w:rsidRPr="00E94F57">
        <w:rPr>
          <w:i/>
        </w:rPr>
        <w:t>p</w:t>
      </w:r>
      <w:r w:rsidRPr="00E94F57">
        <w:rPr>
          <w:i/>
          <w:vertAlign w:val="subscript"/>
        </w:rPr>
        <w:t>i,t</w:t>
      </w:r>
      <w:r>
        <w:t xml:space="preserve"> is the CQE-extended value of pathway </w:t>
      </w:r>
      <w:r w:rsidRPr="00E94F57">
        <w:rPr>
          <w:i/>
        </w:rPr>
        <w:t>i</w:t>
      </w:r>
      <w:r>
        <w:t xml:space="preserve"> at time </w:t>
      </w:r>
      <w:r w:rsidRPr="00E94F57">
        <w:rPr>
          <w:i/>
        </w:rPr>
        <w:t>t</w:t>
      </w:r>
      <w:r>
        <w:t xml:space="preserve">, </w:t>
      </w:r>
      <w:r w:rsidRPr="00E94F57">
        <w:rPr>
          <w:i/>
        </w:rPr>
        <w:t>q</w:t>
      </w:r>
      <w:r w:rsidRPr="00E94F57">
        <w:rPr>
          <w:i/>
          <w:vertAlign w:val="subscript"/>
        </w:rPr>
        <w:t>i,t</w:t>
      </w:r>
      <w:r>
        <w:t xml:space="preserve"> is the originally projected value at that time, </w:t>
      </w:r>
      <m:oMath>
        <m:sSub>
          <m:sSubPr>
            <m:ctrlPr>
              <w:rPr>
                <w:rFonts w:ascii="Cambria Math" w:hAnsi="Cambria Math"/>
                <w:i/>
              </w:rPr>
            </m:ctrlPr>
          </m:sSubPr>
          <m:e>
            <m:r>
              <w:rPr>
                <w:rFonts w:ascii="Cambria Math" w:hAnsi="Cambria Math"/>
              </w:rPr>
              <m:t>n</m:t>
            </m:r>
          </m:e>
          <m:sub>
            <m:r>
              <w:rPr>
                <w:rFonts w:ascii="Cambria Math" w:hAnsi="Cambria Math"/>
              </w:rPr>
              <m:t>i (t)</m:t>
            </m:r>
          </m:sub>
        </m:sSub>
      </m:oMath>
      <w:r>
        <w:t xml:space="preserve">is the number of pathways (times) being summed over and </w:t>
      </w:r>
      <m:oMath>
        <m:sSub>
          <m:sSubPr>
            <m:ctrlPr>
              <w:rPr>
                <w:rFonts w:ascii="Cambria Math" w:hAnsi="Cambria Math"/>
              </w:rPr>
            </m:ctrlPr>
          </m:sSubPr>
          <m:e>
            <m:r>
              <w:rPr>
                <w:rFonts w:ascii="Cambria Math" w:hAnsi="Cambria Math"/>
              </w:rPr>
              <m:t>σ</m:t>
            </m:r>
          </m:e>
          <m:sub>
            <m:r>
              <w:rPr>
                <w:rFonts w:ascii="Cambria Math" w:hAnsi="Cambria Math"/>
              </w:rPr>
              <m:t>t</m:t>
            </m:r>
          </m:sub>
        </m:sSub>
      </m:oMath>
      <w:r>
        <w:t xml:space="preserve">is the standard deviation of original projections at that time. </w:t>
      </w:r>
      <w:r w:rsidRPr="00512873">
        <w:rPr>
          <w:i/>
          <w:iCs/>
        </w:rPr>
        <w:t>Table S1</w:t>
      </w:r>
      <w:r>
        <w:t xml:space="preserve"> shows the relative errors of using the CQE method on the SR1.5 database. It indicates that the errors are generally low - on average 0.23 (0.30 excluding the HFCs), compared to values above 0.5 when using any of the infilling techniques that infer one species from another</w:t>
      </w:r>
      <w:r>
        <w:fldChar w:fldCharType="begin" w:fldLock="1"/>
      </w:r>
      <w:r>
        <w:instrText>ADDIN CSL_CITATION {"citationItems":[{"id":"ITEM-1","itemData":{"DOI":"10.5194/gmd-13-5259-2020","ISSN":"19919603","abstract":"Integrated assessment models (IAMs) project future anthropogenic emissions which can be used as input for climate models. However, the full list of climate-relevant emissions is lengthy and most IAMs do not model all of them. Here we present Silicone, an open-source Python package which infers anthropogenic emissions of unmodelled species based on other reported emissions projections. For example, it can infer nitrous oxide emissions in one scenario based on carbon dioxide emissions from that scenario plus the relationship between nitrous oxide and carbon dioxide emissions found in other scenarios. Infilling broadens the range of IAMs available for exploring projections of future climate change, and hence Silicone forms part of the opensource pipeline for assessments of the climate implications of IAM scenarios, led by the Integrated Assessment Modelling Consortium (IAMC). This paper presents a variety of infilling options and outlines their suitability for different cases. We recommend certain infilling techniques as good defaults but emphasise that considering the specifics of the model being infilled will produce better results. We demonstrate the package's utility with three examples: infilling all required gases for a pathway with data for only one emission species, splitting up a Kyoto emissions total into separate gases, and complementing a set of idealised emissions curves to provide a complete, consistent emissions portfolio. The code and notebooks explaining details of the package and how to use it are available on GitHub (https://github.com/GranthamImperial/silicone, last access: 2 November 2020). The repository with this paper's examples and uses of the code to complement existing research is available at https://github.com/GranthamImperial/silicone_examples (last access: 2 November 2020).","author":[{"dropping-particle":"","family":"Lamboll","given":"Robin D.","non-dropping-particle":"","parse-names":false,"suffix":""},{"dropping-particle":"","family":"Nicholls","given":"Zebedee R.J.","non-dropping-particle":"","parse-names":false,"suffix":""},{"dropping-particle":"","family":"Kikstra","given":"Jarmo S.","non-dropping-particle":"","parse-names":false,"suffix":""},{"dropping-particle":"","family":"Meinshausen","given":"Malte","non-dropping-particle":"","parse-names":false,"suffix":""},{"dropping-particle":"","family":"Rogelj","given":"Joeri","non-dropping-particle":"","parse-names":false,"suffix":""}],"container-title":"Geoscientific Model Development","id":"ITEM-1","issue":"11","issued":{"date-parts":[["2020"]]},"page":"5259-5275","title":"Silicone v1.0.0: An open-source Python package for inferring missing emissions data for climate change research","type":"article-journal","volume":"13"},"uris":["http://www.mendeley.com/documents/?uuid=f4a5606a-2001-42c1-83f8-7bdcf7dc4bd7"]}],"mendeley":{"formattedCitation":"&lt;sup&gt;19&lt;/sup&gt;","plainTextFormattedCitation":"19","previouslyFormattedCitation":"&lt;sup&gt;19&lt;/sup&gt;"},"properties":{"noteIndex":0},"schema":"https://github.com/citation-style-language/schema/raw/master/csl-citation.json"}</w:instrText>
      </w:r>
      <w:r>
        <w:fldChar w:fldCharType="separate"/>
      </w:r>
      <w:r w:rsidRPr="00E94F57">
        <w:rPr>
          <w:noProof/>
          <w:vertAlign w:val="superscript"/>
        </w:rPr>
        <w:t>19</w:t>
      </w:r>
      <w:r>
        <w:fldChar w:fldCharType="end"/>
      </w:r>
      <w:r>
        <w:t xml:space="preserve">. </w:t>
      </w:r>
    </w:p>
    <w:p w14:paraId="258678CF" w14:textId="77777777" w:rsidR="00E94F57" w:rsidRPr="00C93B1C" w:rsidRDefault="00E94F57" w:rsidP="009D1212">
      <w:pPr>
        <w:pStyle w:val="CaptionFigure"/>
        <w:ind w:left="360"/>
        <w:jc w:val="center"/>
      </w:pPr>
      <w:r w:rsidRPr="00225385">
        <w:rPr>
          <w:b/>
          <w:bCs/>
        </w:rPr>
        <w:t>Table S</w:t>
      </w:r>
      <w:r>
        <w:rPr>
          <w:b/>
          <w:bCs/>
        </w:rPr>
        <w:t>1</w:t>
      </w:r>
      <w:r w:rsidRPr="00225385">
        <w:t>: a measure of the average root mean squared errors arising from reconstructing the data in the SR1.5 database after 2050 using the Constant Quantile Extension method, normalised by the standard deviation of the data at each future time, for each emission category.</w:t>
      </w:r>
    </w:p>
    <w:tbl>
      <w:tblPr>
        <w:tblW w:w="58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28"/>
        <w:gridCol w:w="2684"/>
      </w:tblGrid>
      <w:tr w:rsidR="00E94F57" w14:paraId="0A9CD330"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20849F"/>
            <w:tcMar>
              <w:top w:w="100" w:type="dxa"/>
              <w:left w:w="100" w:type="dxa"/>
              <w:bottom w:w="100" w:type="dxa"/>
              <w:right w:w="100" w:type="dxa"/>
            </w:tcMar>
          </w:tcPr>
          <w:p w14:paraId="32D5601C" w14:textId="77777777" w:rsidR="00E94F57" w:rsidRPr="00225385" w:rsidRDefault="00E94F57" w:rsidP="00A35F01">
            <w:pPr>
              <w:widowControl w:val="0"/>
              <w:jc w:val="center"/>
              <w:rPr>
                <w:b/>
                <w:bCs/>
                <w:color w:val="FFFFFF" w:themeColor="background1"/>
                <w:sz w:val="16"/>
                <w:szCs w:val="16"/>
              </w:rPr>
            </w:pPr>
            <w:r w:rsidRPr="00225385">
              <w:rPr>
                <w:b/>
                <w:bCs/>
                <w:color w:val="FFFFFF" w:themeColor="background1"/>
                <w:sz w:val="16"/>
                <w:szCs w:val="16"/>
              </w:rPr>
              <w:t>Emission Species</w:t>
            </w:r>
          </w:p>
        </w:tc>
        <w:tc>
          <w:tcPr>
            <w:tcW w:w="2684" w:type="dxa"/>
            <w:tcBorders>
              <w:top w:val="single" w:sz="6" w:space="0" w:color="000000"/>
              <w:left w:val="single" w:sz="6" w:space="0" w:color="000000"/>
              <w:bottom w:val="single" w:sz="6" w:space="0" w:color="000000"/>
              <w:right w:val="single" w:sz="6" w:space="0" w:color="000000"/>
            </w:tcBorders>
            <w:shd w:val="clear" w:color="auto" w:fill="20849F"/>
            <w:tcMar>
              <w:top w:w="100" w:type="dxa"/>
              <w:left w:w="100" w:type="dxa"/>
              <w:bottom w:w="100" w:type="dxa"/>
              <w:right w:w="100" w:type="dxa"/>
            </w:tcMar>
          </w:tcPr>
          <w:p w14:paraId="3ED4F3E1" w14:textId="77777777" w:rsidR="00E94F57" w:rsidRPr="00225385" w:rsidRDefault="00E94F57" w:rsidP="00A35F01">
            <w:pPr>
              <w:widowControl w:val="0"/>
              <w:jc w:val="center"/>
              <w:rPr>
                <w:b/>
                <w:bCs/>
                <w:color w:val="FFFFFF" w:themeColor="background1"/>
                <w:sz w:val="16"/>
                <w:szCs w:val="16"/>
              </w:rPr>
            </w:pPr>
            <w:r w:rsidRPr="00225385">
              <w:rPr>
                <w:b/>
                <w:bCs/>
                <w:color w:val="FFFFFF" w:themeColor="background1"/>
                <w:sz w:val="16"/>
                <w:szCs w:val="16"/>
              </w:rPr>
              <w:t>Relative Error (</w:t>
            </w:r>
            <m:oMath>
              <m:r>
                <m:rPr>
                  <m:sty m:val="bi"/>
                </m:rPr>
                <w:rPr>
                  <w:rFonts w:ascii="Cambria Math" w:hAnsi="Cambria Math"/>
                  <w:color w:val="FFFFFF" w:themeColor="background1"/>
                  <w:sz w:val="16"/>
                  <w:szCs w:val="16"/>
                </w:rPr>
                <m:t>ϵ)</m:t>
              </m:r>
            </m:oMath>
          </w:p>
        </w:tc>
      </w:tr>
      <w:tr w:rsidR="00E94F57" w14:paraId="18F687E5"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3D5E80C0" w14:textId="77777777" w:rsidR="00E94F57" w:rsidRPr="00225385" w:rsidRDefault="00E94F57" w:rsidP="00A35F01">
            <w:pPr>
              <w:widowControl w:val="0"/>
              <w:jc w:val="center"/>
              <w:rPr>
                <w:sz w:val="16"/>
                <w:szCs w:val="16"/>
              </w:rPr>
            </w:pPr>
            <w:r w:rsidRPr="00225385">
              <w:rPr>
                <w:sz w:val="16"/>
                <w:szCs w:val="16"/>
              </w:rPr>
              <w:t>BC</w:t>
            </w:r>
          </w:p>
        </w:tc>
        <w:tc>
          <w:tcPr>
            <w:tcW w:w="2684" w:type="dxa"/>
            <w:shd w:val="clear" w:color="auto" w:fill="DEECF9"/>
            <w:tcMar>
              <w:top w:w="100" w:type="dxa"/>
              <w:left w:w="100" w:type="dxa"/>
              <w:bottom w:w="100" w:type="dxa"/>
              <w:right w:w="100" w:type="dxa"/>
            </w:tcMar>
          </w:tcPr>
          <w:p w14:paraId="6D7E14F2" w14:textId="77777777" w:rsidR="00E94F57" w:rsidRPr="00225385" w:rsidRDefault="00E94F57" w:rsidP="00A35F01">
            <w:pPr>
              <w:widowControl w:val="0"/>
              <w:jc w:val="center"/>
              <w:rPr>
                <w:sz w:val="16"/>
                <w:szCs w:val="16"/>
              </w:rPr>
            </w:pPr>
            <w:r w:rsidRPr="00225385">
              <w:rPr>
                <w:sz w:val="16"/>
                <w:szCs w:val="16"/>
              </w:rPr>
              <w:t>0.35805</w:t>
            </w:r>
          </w:p>
        </w:tc>
      </w:tr>
      <w:tr w:rsidR="00E94F57" w14:paraId="7C2A6393"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44C818F5" w14:textId="77777777" w:rsidR="00E94F57" w:rsidRPr="00225385" w:rsidRDefault="00E94F57" w:rsidP="00A35F01">
            <w:pPr>
              <w:widowControl w:val="0"/>
              <w:jc w:val="center"/>
              <w:rPr>
                <w:sz w:val="16"/>
                <w:szCs w:val="16"/>
              </w:rPr>
            </w:pPr>
            <w:r w:rsidRPr="00225385">
              <w:rPr>
                <w:sz w:val="16"/>
                <w:szCs w:val="16"/>
              </w:rPr>
              <w:t>CH4</w:t>
            </w:r>
          </w:p>
        </w:tc>
        <w:tc>
          <w:tcPr>
            <w:tcW w:w="2684" w:type="dxa"/>
            <w:shd w:val="clear" w:color="auto" w:fill="DEECF9"/>
            <w:tcMar>
              <w:top w:w="100" w:type="dxa"/>
              <w:left w:w="100" w:type="dxa"/>
              <w:bottom w:w="100" w:type="dxa"/>
              <w:right w:w="100" w:type="dxa"/>
            </w:tcMar>
          </w:tcPr>
          <w:p w14:paraId="4B7254C2" w14:textId="77777777" w:rsidR="00E94F57" w:rsidRPr="00225385" w:rsidRDefault="00E94F57" w:rsidP="00A35F01">
            <w:pPr>
              <w:widowControl w:val="0"/>
              <w:jc w:val="center"/>
              <w:rPr>
                <w:sz w:val="16"/>
                <w:szCs w:val="16"/>
              </w:rPr>
            </w:pPr>
            <w:r w:rsidRPr="00225385">
              <w:rPr>
                <w:sz w:val="16"/>
                <w:szCs w:val="16"/>
              </w:rPr>
              <w:t>0.177191</w:t>
            </w:r>
          </w:p>
        </w:tc>
      </w:tr>
      <w:tr w:rsidR="00E94F57" w14:paraId="18D672B7"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013AFB16" w14:textId="77777777" w:rsidR="00E94F57" w:rsidRPr="00225385" w:rsidRDefault="00E94F57" w:rsidP="00A35F01">
            <w:pPr>
              <w:widowControl w:val="0"/>
              <w:jc w:val="center"/>
              <w:rPr>
                <w:sz w:val="16"/>
                <w:szCs w:val="16"/>
              </w:rPr>
            </w:pPr>
            <w:r w:rsidRPr="00225385">
              <w:rPr>
                <w:sz w:val="16"/>
                <w:szCs w:val="16"/>
              </w:rPr>
              <w:t>CO2</w:t>
            </w:r>
          </w:p>
        </w:tc>
        <w:tc>
          <w:tcPr>
            <w:tcW w:w="2684" w:type="dxa"/>
            <w:shd w:val="clear" w:color="auto" w:fill="DEECF9"/>
            <w:tcMar>
              <w:top w:w="100" w:type="dxa"/>
              <w:left w:w="100" w:type="dxa"/>
              <w:bottom w:w="100" w:type="dxa"/>
              <w:right w:w="100" w:type="dxa"/>
            </w:tcMar>
          </w:tcPr>
          <w:p w14:paraId="4EBF380F" w14:textId="77777777" w:rsidR="00E94F57" w:rsidRPr="00225385" w:rsidRDefault="00E94F57" w:rsidP="00A35F01">
            <w:pPr>
              <w:widowControl w:val="0"/>
              <w:jc w:val="center"/>
              <w:rPr>
                <w:sz w:val="16"/>
                <w:szCs w:val="16"/>
              </w:rPr>
            </w:pPr>
            <w:r w:rsidRPr="00225385">
              <w:rPr>
                <w:sz w:val="16"/>
                <w:szCs w:val="16"/>
              </w:rPr>
              <w:t>0.21437</w:t>
            </w:r>
          </w:p>
        </w:tc>
      </w:tr>
      <w:tr w:rsidR="00E94F57" w14:paraId="599C7F3E"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75FB9E8F" w14:textId="77777777" w:rsidR="00E94F57" w:rsidRPr="00225385" w:rsidRDefault="00E94F57" w:rsidP="00A35F01">
            <w:pPr>
              <w:widowControl w:val="0"/>
              <w:jc w:val="center"/>
              <w:rPr>
                <w:sz w:val="16"/>
                <w:szCs w:val="16"/>
              </w:rPr>
            </w:pPr>
            <w:r w:rsidRPr="00225385">
              <w:rPr>
                <w:sz w:val="16"/>
                <w:szCs w:val="16"/>
              </w:rPr>
              <w:t>CO2|AFOLU</w:t>
            </w:r>
          </w:p>
        </w:tc>
        <w:tc>
          <w:tcPr>
            <w:tcW w:w="2684" w:type="dxa"/>
            <w:shd w:val="clear" w:color="auto" w:fill="DEECF9"/>
            <w:tcMar>
              <w:top w:w="100" w:type="dxa"/>
              <w:left w:w="100" w:type="dxa"/>
              <w:bottom w:w="100" w:type="dxa"/>
              <w:right w:w="100" w:type="dxa"/>
            </w:tcMar>
          </w:tcPr>
          <w:p w14:paraId="50FECA1C" w14:textId="77777777" w:rsidR="00E94F57" w:rsidRPr="00225385" w:rsidRDefault="00E94F57" w:rsidP="00A35F01">
            <w:pPr>
              <w:widowControl w:val="0"/>
              <w:jc w:val="center"/>
              <w:rPr>
                <w:sz w:val="16"/>
                <w:szCs w:val="16"/>
              </w:rPr>
            </w:pPr>
            <w:r w:rsidRPr="00225385">
              <w:rPr>
                <w:sz w:val="16"/>
                <w:szCs w:val="16"/>
              </w:rPr>
              <w:t>0.499959</w:t>
            </w:r>
          </w:p>
        </w:tc>
      </w:tr>
      <w:tr w:rsidR="00E94F57" w14:paraId="1336C84C"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63CA5D04" w14:textId="77777777" w:rsidR="00E94F57" w:rsidRPr="00225385" w:rsidRDefault="00E94F57" w:rsidP="00A35F01">
            <w:pPr>
              <w:widowControl w:val="0"/>
              <w:jc w:val="center"/>
              <w:rPr>
                <w:sz w:val="16"/>
                <w:szCs w:val="16"/>
              </w:rPr>
            </w:pPr>
            <w:r w:rsidRPr="00225385">
              <w:rPr>
                <w:sz w:val="16"/>
                <w:szCs w:val="16"/>
              </w:rPr>
              <w:t>CO2|Energy and Industrial Processes</w:t>
            </w:r>
          </w:p>
        </w:tc>
        <w:tc>
          <w:tcPr>
            <w:tcW w:w="2684" w:type="dxa"/>
            <w:shd w:val="clear" w:color="auto" w:fill="DEECF9"/>
            <w:tcMar>
              <w:top w:w="100" w:type="dxa"/>
              <w:left w:w="100" w:type="dxa"/>
              <w:bottom w:w="100" w:type="dxa"/>
              <w:right w:w="100" w:type="dxa"/>
            </w:tcMar>
          </w:tcPr>
          <w:p w14:paraId="655F4714" w14:textId="77777777" w:rsidR="00E94F57" w:rsidRPr="00225385" w:rsidRDefault="00E94F57" w:rsidP="00A35F01">
            <w:pPr>
              <w:widowControl w:val="0"/>
              <w:jc w:val="center"/>
              <w:rPr>
                <w:sz w:val="16"/>
                <w:szCs w:val="16"/>
              </w:rPr>
            </w:pPr>
            <w:r w:rsidRPr="00225385">
              <w:rPr>
                <w:sz w:val="16"/>
                <w:szCs w:val="16"/>
              </w:rPr>
              <w:t>0.224759</w:t>
            </w:r>
          </w:p>
        </w:tc>
      </w:tr>
      <w:tr w:rsidR="00E94F57" w14:paraId="25AFDA11"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37AED304" w14:textId="77777777" w:rsidR="00E94F57" w:rsidRPr="00225385" w:rsidRDefault="00E94F57" w:rsidP="00A35F01">
            <w:pPr>
              <w:widowControl w:val="0"/>
              <w:jc w:val="center"/>
              <w:rPr>
                <w:sz w:val="16"/>
                <w:szCs w:val="16"/>
              </w:rPr>
            </w:pPr>
            <w:r w:rsidRPr="00225385">
              <w:rPr>
                <w:sz w:val="16"/>
                <w:szCs w:val="16"/>
              </w:rPr>
              <w:t>CO</w:t>
            </w:r>
          </w:p>
        </w:tc>
        <w:tc>
          <w:tcPr>
            <w:tcW w:w="2684" w:type="dxa"/>
            <w:shd w:val="clear" w:color="auto" w:fill="DEECF9"/>
            <w:tcMar>
              <w:top w:w="100" w:type="dxa"/>
              <w:left w:w="100" w:type="dxa"/>
              <w:bottom w:w="100" w:type="dxa"/>
              <w:right w:w="100" w:type="dxa"/>
            </w:tcMar>
          </w:tcPr>
          <w:p w14:paraId="48E21E43" w14:textId="77777777" w:rsidR="00E94F57" w:rsidRPr="00225385" w:rsidRDefault="00E94F57" w:rsidP="00A35F01">
            <w:pPr>
              <w:widowControl w:val="0"/>
              <w:jc w:val="center"/>
              <w:rPr>
                <w:sz w:val="16"/>
                <w:szCs w:val="16"/>
              </w:rPr>
            </w:pPr>
            <w:r w:rsidRPr="00225385">
              <w:rPr>
                <w:sz w:val="16"/>
                <w:szCs w:val="16"/>
              </w:rPr>
              <w:t>0.518171</w:t>
            </w:r>
          </w:p>
        </w:tc>
      </w:tr>
      <w:tr w:rsidR="00E94F57" w14:paraId="6FAC897C"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664D7CF7" w14:textId="77777777" w:rsidR="00E94F57" w:rsidRPr="00225385" w:rsidRDefault="00E94F57" w:rsidP="00A35F01">
            <w:pPr>
              <w:widowControl w:val="0"/>
              <w:jc w:val="center"/>
              <w:rPr>
                <w:sz w:val="16"/>
                <w:szCs w:val="16"/>
              </w:rPr>
            </w:pPr>
            <w:r w:rsidRPr="00225385">
              <w:rPr>
                <w:sz w:val="16"/>
                <w:szCs w:val="16"/>
              </w:rPr>
              <w:t>HFC|HFC134a</w:t>
            </w:r>
          </w:p>
        </w:tc>
        <w:tc>
          <w:tcPr>
            <w:tcW w:w="2684" w:type="dxa"/>
            <w:shd w:val="clear" w:color="auto" w:fill="DEECF9"/>
            <w:tcMar>
              <w:top w:w="100" w:type="dxa"/>
              <w:left w:w="100" w:type="dxa"/>
              <w:bottom w:w="100" w:type="dxa"/>
              <w:right w:w="100" w:type="dxa"/>
            </w:tcMar>
          </w:tcPr>
          <w:p w14:paraId="45BFF1D0" w14:textId="77777777" w:rsidR="00E94F57" w:rsidRPr="00225385" w:rsidRDefault="00E94F57" w:rsidP="00A35F01">
            <w:pPr>
              <w:widowControl w:val="0"/>
              <w:jc w:val="center"/>
              <w:rPr>
                <w:sz w:val="16"/>
                <w:szCs w:val="16"/>
              </w:rPr>
            </w:pPr>
            <w:r w:rsidRPr="00225385">
              <w:rPr>
                <w:sz w:val="16"/>
                <w:szCs w:val="16"/>
              </w:rPr>
              <w:t>0.099771</w:t>
            </w:r>
          </w:p>
        </w:tc>
      </w:tr>
      <w:tr w:rsidR="00E94F57" w14:paraId="4D5B275A"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49233A7B" w14:textId="77777777" w:rsidR="00E94F57" w:rsidRPr="00225385" w:rsidRDefault="00E94F57" w:rsidP="00A35F01">
            <w:pPr>
              <w:widowControl w:val="0"/>
              <w:jc w:val="center"/>
              <w:rPr>
                <w:sz w:val="16"/>
                <w:szCs w:val="16"/>
              </w:rPr>
            </w:pPr>
            <w:r w:rsidRPr="00225385">
              <w:rPr>
                <w:sz w:val="16"/>
                <w:szCs w:val="16"/>
              </w:rPr>
              <w:t>HFC|HFC143a</w:t>
            </w:r>
          </w:p>
        </w:tc>
        <w:tc>
          <w:tcPr>
            <w:tcW w:w="2684" w:type="dxa"/>
            <w:shd w:val="clear" w:color="auto" w:fill="DEECF9"/>
            <w:tcMar>
              <w:top w:w="100" w:type="dxa"/>
              <w:left w:w="100" w:type="dxa"/>
              <w:bottom w:w="100" w:type="dxa"/>
              <w:right w:w="100" w:type="dxa"/>
            </w:tcMar>
          </w:tcPr>
          <w:p w14:paraId="678751D4" w14:textId="77777777" w:rsidR="00E94F57" w:rsidRPr="00225385" w:rsidRDefault="00E94F57" w:rsidP="00A35F01">
            <w:pPr>
              <w:widowControl w:val="0"/>
              <w:jc w:val="center"/>
              <w:rPr>
                <w:sz w:val="16"/>
                <w:szCs w:val="16"/>
              </w:rPr>
            </w:pPr>
            <w:r w:rsidRPr="00225385">
              <w:rPr>
                <w:sz w:val="16"/>
                <w:szCs w:val="16"/>
              </w:rPr>
              <w:t>0.083332</w:t>
            </w:r>
          </w:p>
        </w:tc>
      </w:tr>
      <w:tr w:rsidR="00E94F57" w14:paraId="3E1F894B"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3D0192C5" w14:textId="77777777" w:rsidR="00E94F57" w:rsidRPr="00225385" w:rsidRDefault="00E94F57" w:rsidP="00A35F01">
            <w:pPr>
              <w:widowControl w:val="0"/>
              <w:jc w:val="center"/>
              <w:rPr>
                <w:sz w:val="16"/>
                <w:szCs w:val="16"/>
              </w:rPr>
            </w:pPr>
            <w:r w:rsidRPr="00225385">
              <w:rPr>
                <w:sz w:val="16"/>
                <w:szCs w:val="16"/>
              </w:rPr>
              <w:t>HFC|HFC227ea</w:t>
            </w:r>
          </w:p>
        </w:tc>
        <w:tc>
          <w:tcPr>
            <w:tcW w:w="2684" w:type="dxa"/>
            <w:shd w:val="clear" w:color="auto" w:fill="DEECF9"/>
            <w:tcMar>
              <w:top w:w="100" w:type="dxa"/>
              <w:left w:w="100" w:type="dxa"/>
              <w:bottom w:w="100" w:type="dxa"/>
              <w:right w:w="100" w:type="dxa"/>
            </w:tcMar>
          </w:tcPr>
          <w:p w14:paraId="006858B3" w14:textId="77777777" w:rsidR="00E94F57" w:rsidRPr="00225385" w:rsidRDefault="00E94F57" w:rsidP="00A35F01">
            <w:pPr>
              <w:widowControl w:val="0"/>
              <w:jc w:val="center"/>
              <w:rPr>
                <w:sz w:val="16"/>
                <w:szCs w:val="16"/>
              </w:rPr>
            </w:pPr>
            <w:r w:rsidRPr="00225385">
              <w:rPr>
                <w:sz w:val="16"/>
                <w:szCs w:val="16"/>
              </w:rPr>
              <w:t>0.009422</w:t>
            </w:r>
          </w:p>
        </w:tc>
      </w:tr>
      <w:tr w:rsidR="00E94F57" w14:paraId="5507807D"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5AE2D9EA" w14:textId="77777777" w:rsidR="00E94F57" w:rsidRPr="00225385" w:rsidRDefault="00E94F57" w:rsidP="00A35F01">
            <w:pPr>
              <w:widowControl w:val="0"/>
              <w:jc w:val="center"/>
              <w:rPr>
                <w:sz w:val="16"/>
                <w:szCs w:val="16"/>
              </w:rPr>
            </w:pPr>
            <w:r w:rsidRPr="00225385">
              <w:rPr>
                <w:sz w:val="16"/>
                <w:szCs w:val="16"/>
              </w:rPr>
              <w:t>HFC|HFC23</w:t>
            </w:r>
          </w:p>
        </w:tc>
        <w:tc>
          <w:tcPr>
            <w:tcW w:w="2684" w:type="dxa"/>
            <w:shd w:val="clear" w:color="auto" w:fill="DEECF9"/>
            <w:tcMar>
              <w:top w:w="100" w:type="dxa"/>
              <w:left w:w="100" w:type="dxa"/>
              <w:bottom w:w="100" w:type="dxa"/>
              <w:right w:w="100" w:type="dxa"/>
            </w:tcMar>
          </w:tcPr>
          <w:p w14:paraId="4BCEBBCD" w14:textId="77777777" w:rsidR="00E94F57" w:rsidRPr="00225385" w:rsidRDefault="00E94F57" w:rsidP="00A35F01">
            <w:pPr>
              <w:widowControl w:val="0"/>
              <w:jc w:val="center"/>
              <w:rPr>
                <w:sz w:val="16"/>
                <w:szCs w:val="16"/>
              </w:rPr>
            </w:pPr>
            <w:r w:rsidRPr="00225385">
              <w:rPr>
                <w:sz w:val="16"/>
                <w:szCs w:val="16"/>
              </w:rPr>
              <w:t>0.113181</w:t>
            </w:r>
          </w:p>
        </w:tc>
      </w:tr>
      <w:tr w:rsidR="00E94F57" w14:paraId="0D01CFF0"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1BD90D29" w14:textId="77777777" w:rsidR="00E94F57" w:rsidRPr="00225385" w:rsidRDefault="00E94F57" w:rsidP="00A35F01">
            <w:pPr>
              <w:widowControl w:val="0"/>
              <w:jc w:val="center"/>
              <w:rPr>
                <w:sz w:val="16"/>
                <w:szCs w:val="16"/>
              </w:rPr>
            </w:pPr>
            <w:r w:rsidRPr="00225385">
              <w:rPr>
                <w:sz w:val="16"/>
                <w:szCs w:val="16"/>
              </w:rPr>
              <w:t>HFC|HFC32</w:t>
            </w:r>
          </w:p>
        </w:tc>
        <w:tc>
          <w:tcPr>
            <w:tcW w:w="2684" w:type="dxa"/>
            <w:shd w:val="clear" w:color="auto" w:fill="DEECF9"/>
            <w:tcMar>
              <w:top w:w="100" w:type="dxa"/>
              <w:left w:w="100" w:type="dxa"/>
              <w:bottom w:w="100" w:type="dxa"/>
              <w:right w:w="100" w:type="dxa"/>
            </w:tcMar>
          </w:tcPr>
          <w:p w14:paraId="70DA97E3" w14:textId="77777777" w:rsidR="00E94F57" w:rsidRPr="00225385" w:rsidRDefault="00E94F57" w:rsidP="00A35F01">
            <w:pPr>
              <w:widowControl w:val="0"/>
              <w:jc w:val="center"/>
              <w:rPr>
                <w:sz w:val="16"/>
                <w:szCs w:val="16"/>
              </w:rPr>
            </w:pPr>
            <w:r w:rsidRPr="00225385">
              <w:rPr>
                <w:sz w:val="16"/>
                <w:szCs w:val="16"/>
              </w:rPr>
              <w:t>0.158816</w:t>
            </w:r>
          </w:p>
        </w:tc>
      </w:tr>
      <w:tr w:rsidR="00E94F57" w14:paraId="2591D140"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1992D007" w14:textId="77777777" w:rsidR="00E94F57" w:rsidRPr="00225385" w:rsidRDefault="00E94F57" w:rsidP="00A35F01">
            <w:pPr>
              <w:widowControl w:val="0"/>
              <w:jc w:val="center"/>
              <w:rPr>
                <w:sz w:val="16"/>
                <w:szCs w:val="16"/>
              </w:rPr>
            </w:pPr>
            <w:r w:rsidRPr="00225385">
              <w:rPr>
                <w:sz w:val="16"/>
                <w:szCs w:val="16"/>
              </w:rPr>
              <w:t>HFC|HFC43-10</w:t>
            </w:r>
          </w:p>
        </w:tc>
        <w:tc>
          <w:tcPr>
            <w:tcW w:w="2684" w:type="dxa"/>
            <w:shd w:val="clear" w:color="auto" w:fill="DEECF9"/>
            <w:tcMar>
              <w:top w:w="100" w:type="dxa"/>
              <w:left w:w="100" w:type="dxa"/>
              <w:bottom w:w="100" w:type="dxa"/>
              <w:right w:w="100" w:type="dxa"/>
            </w:tcMar>
          </w:tcPr>
          <w:p w14:paraId="30436BF8" w14:textId="77777777" w:rsidR="00E94F57" w:rsidRPr="00225385" w:rsidRDefault="00E94F57" w:rsidP="00A35F01">
            <w:pPr>
              <w:widowControl w:val="0"/>
              <w:jc w:val="center"/>
              <w:rPr>
                <w:sz w:val="16"/>
                <w:szCs w:val="16"/>
              </w:rPr>
            </w:pPr>
            <w:r w:rsidRPr="00225385">
              <w:rPr>
                <w:sz w:val="16"/>
                <w:szCs w:val="16"/>
              </w:rPr>
              <w:t>0.096444</w:t>
            </w:r>
          </w:p>
        </w:tc>
      </w:tr>
      <w:tr w:rsidR="00E94F57" w14:paraId="3FF4726A"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66155B04" w14:textId="77777777" w:rsidR="00E94F57" w:rsidRPr="00225385" w:rsidRDefault="00E94F57" w:rsidP="00A35F01">
            <w:pPr>
              <w:widowControl w:val="0"/>
              <w:jc w:val="center"/>
              <w:rPr>
                <w:sz w:val="16"/>
                <w:szCs w:val="16"/>
              </w:rPr>
            </w:pPr>
            <w:r w:rsidRPr="00225385">
              <w:rPr>
                <w:sz w:val="16"/>
                <w:szCs w:val="16"/>
              </w:rPr>
              <w:t>HFC|HFC125</w:t>
            </w:r>
          </w:p>
        </w:tc>
        <w:tc>
          <w:tcPr>
            <w:tcW w:w="2684" w:type="dxa"/>
            <w:shd w:val="clear" w:color="auto" w:fill="DEECF9"/>
            <w:tcMar>
              <w:top w:w="100" w:type="dxa"/>
              <w:left w:w="100" w:type="dxa"/>
              <w:bottom w:w="100" w:type="dxa"/>
              <w:right w:w="100" w:type="dxa"/>
            </w:tcMar>
          </w:tcPr>
          <w:p w14:paraId="5C518F54" w14:textId="77777777" w:rsidR="00E94F57" w:rsidRPr="00225385" w:rsidRDefault="00E94F57" w:rsidP="00A35F01">
            <w:pPr>
              <w:widowControl w:val="0"/>
              <w:jc w:val="center"/>
              <w:rPr>
                <w:sz w:val="16"/>
                <w:szCs w:val="16"/>
              </w:rPr>
            </w:pPr>
            <w:r w:rsidRPr="00225385">
              <w:rPr>
                <w:sz w:val="16"/>
                <w:szCs w:val="16"/>
              </w:rPr>
              <w:t>0.083339</w:t>
            </w:r>
          </w:p>
        </w:tc>
      </w:tr>
      <w:tr w:rsidR="00E94F57" w14:paraId="427E3D22"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1FD631BD" w14:textId="77777777" w:rsidR="00E94F57" w:rsidRPr="00225385" w:rsidRDefault="00E94F57" w:rsidP="00A35F01">
            <w:pPr>
              <w:widowControl w:val="0"/>
              <w:jc w:val="center"/>
              <w:rPr>
                <w:sz w:val="16"/>
                <w:szCs w:val="16"/>
              </w:rPr>
            </w:pPr>
            <w:r w:rsidRPr="00225385">
              <w:rPr>
                <w:sz w:val="16"/>
                <w:szCs w:val="16"/>
              </w:rPr>
              <w:t>N2O</w:t>
            </w:r>
          </w:p>
        </w:tc>
        <w:tc>
          <w:tcPr>
            <w:tcW w:w="2684" w:type="dxa"/>
            <w:shd w:val="clear" w:color="auto" w:fill="DEECF9"/>
            <w:tcMar>
              <w:top w:w="100" w:type="dxa"/>
              <w:left w:w="100" w:type="dxa"/>
              <w:bottom w:w="100" w:type="dxa"/>
              <w:right w:w="100" w:type="dxa"/>
            </w:tcMar>
          </w:tcPr>
          <w:p w14:paraId="773EE258" w14:textId="77777777" w:rsidR="00E94F57" w:rsidRPr="00225385" w:rsidRDefault="00E94F57" w:rsidP="00A35F01">
            <w:pPr>
              <w:widowControl w:val="0"/>
              <w:jc w:val="center"/>
              <w:rPr>
                <w:sz w:val="16"/>
                <w:szCs w:val="16"/>
              </w:rPr>
            </w:pPr>
            <w:r w:rsidRPr="00225385">
              <w:rPr>
                <w:sz w:val="16"/>
                <w:szCs w:val="16"/>
              </w:rPr>
              <w:t>0.265455</w:t>
            </w:r>
          </w:p>
        </w:tc>
      </w:tr>
      <w:tr w:rsidR="00E94F57" w14:paraId="2F42F512"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7FFC223B" w14:textId="77777777" w:rsidR="00E94F57" w:rsidRPr="00225385" w:rsidRDefault="00E94F57" w:rsidP="00A35F01">
            <w:pPr>
              <w:widowControl w:val="0"/>
              <w:jc w:val="center"/>
              <w:rPr>
                <w:sz w:val="16"/>
                <w:szCs w:val="16"/>
              </w:rPr>
            </w:pPr>
            <w:r w:rsidRPr="00225385">
              <w:rPr>
                <w:sz w:val="16"/>
                <w:szCs w:val="16"/>
              </w:rPr>
              <w:t>NH3</w:t>
            </w:r>
          </w:p>
        </w:tc>
        <w:tc>
          <w:tcPr>
            <w:tcW w:w="2684" w:type="dxa"/>
            <w:shd w:val="clear" w:color="auto" w:fill="DEECF9"/>
            <w:tcMar>
              <w:top w:w="100" w:type="dxa"/>
              <w:left w:w="100" w:type="dxa"/>
              <w:bottom w:w="100" w:type="dxa"/>
              <w:right w:w="100" w:type="dxa"/>
            </w:tcMar>
          </w:tcPr>
          <w:p w14:paraId="06BA2C52" w14:textId="77777777" w:rsidR="00E94F57" w:rsidRPr="00225385" w:rsidRDefault="00E94F57" w:rsidP="00A35F01">
            <w:pPr>
              <w:widowControl w:val="0"/>
              <w:jc w:val="center"/>
              <w:rPr>
                <w:sz w:val="16"/>
                <w:szCs w:val="16"/>
              </w:rPr>
            </w:pPr>
            <w:r w:rsidRPr="00225385">
              <w:rPr>
                <w:sz w:val="16"/>
                <w:szCs w:val="16"/>
              </w:rPr>
              <w:t>0.148526</w:t>
            </w:r>
          </w:p>
        </w:tc>
      </w:tr>
      <w:tr w:rsidR="00E94F57" w14:paraId="7F93AE92"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36C07E9E" w14:textId="77777777" w:rsidR="00E94F57" w:rsidRPr="00225385" w:rsidRDefault="00E94F57" w:rsidP="00A35F01">
            <w:pPr>
              <w:widowControl w:val="0"/>
              <w:jc w:val="center"/>
              <w:rPr>
                <w:sz w:val="16"/>
                <w:szCs w:val="16"/>
              </w:rPr>
            </w:pPr>
            <w:r w:rsidRPr="00225385">
              <w:rPr>
                <w:sz w:val="16"/>
                <w:szCs w:val="16"/>
              </w:rPr>
              <w:t>NOx</w:t>
            </w:r>
          </w:p>
        </w:tc>
        <w:tc>
          <w:tcPr>
            <w:tcW w:w="2684" w:type="dxa"/>
            <w:shd w:val="clear" w:color="auto" w:fill="DEECF9"/>
            <w:tcMar>
              <w:top w:w="100" w:type="dxa"/>
              <w:left w:w="100" w:type="dxa"/>
              <w:bottom w:w="100" w:type="dxa"/>
              <w:right w:w="100" w:type="dxa"/>
            </w:tcMar>
          </w:tcPr>
          <w:p w14:paraId="11C64D64" w14:textId="77777777" w:rsidR="00E94F57" w:rsidRPr="00225385" w:rsidRDefault="00E94F57" w:rsidP="00A35F01">
            <w:pPr>
              <w:widowControl w:val="0"/>
              <w:jc w:val="center"/>
              <w:rPr>
                <w:sz w:val="16"/>
                <w:szCs w:val="16"/>
              </w:rPr>
            </w:pPr>
            <w:r w:rsidRPr="00225385">
              <w:rPr>
                <w:sz w:val="16"/>
                <w:szCs w:val="16"/>
              </w:rPr>
              <w:t>0.325515</w:t>
            </w:r>
          </w:p>
        </w:tc>
      </w:tr>
      <w:tr w:rsidR="00E94F57" w14:paraId="77B1771B"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5F9D0E8C" w14:textId="77777777" w:rsidR="00E94F57" w:rsidRPr="00225385" w:rsidRDefault="00E94F57" w:rsidP="00A35F01">
            <w:pPr>
              <w:widowControl w:val="0"/>
              <w:jc w:val="center"/>
              <w:rPr>
                <w:sz w:val="16"/>
                <w:szCs w:val="16"/>
              </w:rPr>
            </w:pPr>
            <w:r w:rsidRPr="00225385">
              <w:rPr>
                <w:sz w:val="16"/>
                <w:szCs w:val="16"/>
              </w:rPr>
              <w:t>OC</w:t>
            </w:r>
          </w:p>
        </w:tc>
        <w:tc>
          <w:tcPr>
            <w:tcW w:w="2684" w:type="dxa"/>
            <w:shd w:val="clear" w:color="auto" w:fill="DEECF9"/>
            <w:tcMar>
              <w:top w:w="100" w:type="dxa"/>
              <w:left w:w="100" w:type="dxa"/>
              <w:bottom w:w="100" w:type="dxa"/>
              <w:right w:w="100" w:type="dxa"/>
            </w:tcMar>
          </w:tcPr>
          <w:p w14:paraId="27440646" w14:textId="77777777" w:rsidR="00E94F57" w:rsidRPr="00225385" w:rsidRDefault="00E94F57" w:rsidP="00A35F01">
            <w:pPr>
              <w:widowControl w:val="0"/>
              <w:jc w:val="center"/>
              <w:rPr>
                <w:sz w:val="16"/>
                <w:szCs w:val="16"/>
              </w:rPr>
            </w:pPr>
            <w:r w:rsidRPr="00225385">
              <w:rPr>
                <w:sz w:val="16"/>
                <w:szCs w:val="16"/>
              </w:rPr>
              <w:t>0.476686</w:t>
            </w:r>
          </w:p>
        </w:tc>
      </w:tr>
      <w:tr w:rsidR="00E94F57" w14:paraId="014D6793"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6E33322E" w14:textId="77777777" w:rsidR="00E94F57" w:rsidRPr="00225385" w:rsidRDefault="00E94F57" w:rsidP="00A35F01">
            <w:pPr>
              <w:widowControl w:val="0"/>
              <w:jc w:val="center"/>
              <w:rPr>
                <w:sz w:val="16"/>
                <w:szCs w:val="16"/>
              </w:rPr>
            </w:pPr>
            <w:r w:rsidRPr="00225385">
              <w:rPr>
                <w:sz w:val="16"/>
                <w:szCs w:val="16"/>
              </w:rPr>
              <w:t>SF6</w:t>
            </w:r>
          </w:p>
        </w:tc>
        <w:tc>
          <w:tcPr>
            <w:tcW w:w="2684" w:type="dxa"/>
            <w:shd w:val="clear" w:color="auto" w:fill="DEECF9"/>
            <w:tcMar>
              <w:top w:w="100" w:type="dxa"/>
              <w:left w:w="100" w:type="dxa"/>
              <w:bottom w:w="100" w:type="dxa"/>
              <w:right w:w="100" w:type="dxa"/>
            </w:tcMar>
          </w:tcPr>
          <w:p w14:paraId="3D18F3CA" w14:textId="77777777" w:rsidR="00E94F57" w:rsidRPr="00225385" w:rsidRDefault="00E94F57" w:rsidP="00A35F01">
            <w:pPr>
              <w:widowControl w:val="0"/>
              <w:jc w:val="center"/>
              <w:rPr>
                <w:sz w:val="16"/>
                <w:szCs w:val="16"/>
              </w:rPr>
            </w:pPr>
            <w:r w:rsidRPr="00225385">
              <w:rPr>
                <w:sz w:val="16"/>
                <w:szCs w:val="16"/>
              </w:rPr>
              <w:t>0.118234</w:t>
            </w:r>
          </w:p>
        </w:tc>
      </w:tr>
      <w:tr w:rsidR="00E94F57" w14:paraId="7CE571DC"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118B280E" w14:textId="77777777" w:rsidR="00E94F57" w:rsidRPr="00225385" w:rsidRDefault="00E94F57" w:rsidP="00A35F01">
            <w:pPr>
              <w:widowControl w:val="0"/>
              <w:jc w:val="center"/>
              <w:rPr>
                <w:sz w:val="16"/>
                <w:szCs w:val="16"/>
              </w:rPr>
            </w:pPr>
            <w:r w:rsidRPr="00225385">
              <w:rPr>
                <w:sz w:val="16"/>
                <w:szCs w:val="16"/>
              </w:rPr>
              <w:t>Sulfur</w:t>
            </w:r>
          </w:p>
        </w:tc>
        <w:tc>
          <w:tcPr>
            <w:tcW w:w="2684" w:type="dxa"/>
            <w:shd w:val="clear" w:color="auto" w:fill="DEECF9"/>
            <w:tcMar>
              <w:top w:w="100" w:type="dxa"/>
              <w:left w:w="100" w:type="dxa"/>
              <w:bottom w:w="100" w:type="dxa"/>
              <w:right w:w="100" w:type="dxa"/>
            </w:tcMar>
          </w:tcPr>
          <w:p w14:paraId="228C56AA" w14:textId="77777777" w:rsidR="00E94F57" w:rsidRPr="00225385" w:rsidRDefault="00E94F57" w:rsidP="00A35F01">
            <w:pPr>
              <w:widowControl w:val="0"/>
              <w:jc w:val="center"/>
              <w:rPr>
                <w:sz w:val="16"/>
                <w:szCs w:val="16"/>
              </w:rPr>
            </w:pPr>
            <w:r w:rsidRPr="00225385">
              <w:rPr>
                <w:sz w:val="16"/>
                <w:szCs w:val="16"/>
              </w:rPr>
              <w:t>0.315327</w:t>
            </w:r>
          </w:p>
        </w:tc>
      </w:tr>
      <w:tr w:rsidR="00E94F57" w14:paraId="18C93D87" w14:textId="77777777" w:rsidTr="00A35F01">
        <w:trPr>
          <w:trHeight w:val="20"/>
          <w:jc w:val="center"/>
        </w:trPr>
        <w:tc>
          <w:tcPr>
            <w:tcW w:w="3128" w:type="dxa"/>
            <w:tcBorders>
              <w:top w:val="single" w:sz="6" w:space="0" w:color="000000"/>
              <w:left w:val="single" w:sz="6" w:space="0" w:color="000000"/>
              <w:bottom w:val="single" w:sz="6" w:space="0" w:color="000000"/>
              <w:right w:val="single" w:sz="6" w:space="0" w:color="000000"/>
            </w:tcBorders>
            <w:shd w:val="clear" w:color="auto" w:fill="DEECF9"/>
            <w:tcMar>
              <w:top w:w="100" w:type="dxa"/>
              <w:left w:w="100" w:type="dxa"/>
              <w:bottom w:w="100" w:type="dxa"/>
              <w:right w:w="100" w:type="dxa"/>
            </w:tcMar>
          </w:tcPr>
          <w:p w14:paraId="094E1307" w14:textId="77777777" w:rsidR="00E94F57" w:rsidRPr="00225385" w:rsidRDefault="00E94F57" w:rsidP="00A35F01">
            <w:pPr>
              <w:widowControl w:val="0"/>
              <w:jc w:val="center"/>
              <w:rPr>
                <w:sz w:val="16"/>
                <w:szCs w:val="16"/>
              </w:rPr>
            </w:pPr>
            <w:r w:rsidRPr="00225385">
              <w:rPr>
                <w:sz w:val="16"/>
                <w:szCs w:val="16"/>
              </w:rPr>
              <w:lastRenderedPageBreak/>
              <w:t>VOC</w:t>
            </w:r>
          </w:p>
        </w:tc>
        <w:tc>
          <w:tcPr>
            <w:tcW w:w="2684" w:type="dxa"/>
            <w:shd w:val="clear" w:color="auto" w:fill="DEECF9"/>
            <w:tcMar>
              <w:top w:w="100" w:type="dxa"/>
              <w:left w:w="100" w:type="dxa"/>
              <w:bottom w:w="100" w:type="dxa"/>
              <w:right w:w="100" w:type="dxa"/>
            </w:tcMar>
          </w:tcPr>
          <w:p w14:paraId="133CA66C" w14:textId="77777777" w:rsidR="00E94F57" w:rsidRPr="00225385" w:rsidRDefault="00E94F57" w:rsidP="00A35F01">
            <w:pPr>
              <w:widowControl w:val="0"/>
              <w:jc w:val="center"/>
              <w:rPr>
                <w:sz w:val="16"/>
                <w:szCs w:val="16"/>
              </w:rPr>
            </w:pPr>
            <w:r w:rsidRPr="00225385">
              <w:rPr>
                <w:sz w:val="16"/>
                <w:szCs w:val="16"/>
              </w:rPr>
              <w:t>0.372913</w:t>
            </w:r>
          </w:p>
        </w:tc>
      </w:tr>
    </w:tbl>
    <w:p w14:paraId="7B4A11AC" w14:textId="77777777" w:rsidR="00E94F57" w:rsidRDefault="00E94F57" w:rsidP="00E94F57">
      <w:pPr>
        <w:pStyle w:val="Heading3"/>
        <w:numPr>
          <w:ilvl w:val="0"/>
          <w:numId w:val="34"/>
        </w:numPr>
        <w:sectPr w:rsidR="00E94F57">
          <w:pgSz w:w="11906" w:h="16838"/>
          <w:pgMar w:top="1418" w:right="1418" w:bottom="1418" w:left="1418" w:header="709" w:footer="709" w:gutter="0"/>
          <w:cols w:space="720"/>
        </w:sectPr>
      </w:pPr>
    </w:p>
    <w:p w14:paraId="47BD5396" w14:textId="6759099A" w:rsidR="00C81D9A" w:rsidRDefault="00C81D9A" w:rsidP="00C81D9A">
      <w:pPr>
        <w:pStyle w:val="Heading3"/>
        <w:numPr>
          <w:ilvl w:val="0"/>
          <w:numId w:val="34"/>
        </w:numPr>
      </w:pPr>
      <w:r>
        <w:lastRenderedPageBreak/>
        <w:t>Evaluating uncertainty due to the infilling method</w:t>
      </w:r>
      <w:bookmarkEnd w:id="2"/>
    </w:p>
    <w:p w14:paraId="32E90FE0" w14:textId="77777777" w:rsidR="00E94F57" w:rsidRDefault="00E94F57" w:rsidP="00E94F57"/>
    <w:p w14:paraId="3212D5C0" w14:textId="46036A16" w:rsidR="00E94F57" w:rsidRPr="00A20168" w:rsidRDefault="00E94F57" w:rsidP="009D1212">
      <w:pPr>
        <w:pStyle w:val="CaptionFigure"/>
        <w:jc w:val="center"/>
      </w:pPr>
      <w:bookmarkStart w:id="3" w:name="_Ref72602149"/>
      <w:r w:rsidRPr="00672D50">
        <w:rPr>
          <w:b/>
          <w:bCs/>
        </w:rPr>
        <w:t>Table S</w:t>
      </w:r>
      <w:bookmarkEnd w:id="3"/>
      <w:r w:rsidR="00A20168">
        <w:rPr>
          <w:b/>
          <w:bCs/>
        </w:rPr>
        <w:t xml:space="preserve">2 </w:t>
      </w:r>
      <w:r w:rsidR="00A20168">
        <w:t>Comparison of multi-gas emission pathways across different infilling methods</w:t>
      </w:r>
    </w:p>
    <w:tbl>
      <w:tblPr>
        <w:tblW w:w="9120" w:type="dxa"/>
        <w:tblBorders>
          <w:top w:val="nil"/>
          <w:left w:val="nil"/>
          <w:bottom w:val="nil"/>
          <w:right w:val="nil"/>
          <w:insideH w:val="nil"/>
          <w:insideV w:val="nil"/>
        </w:tblBorders>
        <w:tblLayout w:type="fixed"/>
        <w:tblLook w:val="0600" w:firstRow="0" w:lastRow="0" w:firstColumn="0" w:lastColumn="0" w:noHBand="1" w:noVBand="1"/>
      </w:tblPr>
      <w:tblGrid>
        <w:gridCol w:w="1875"/>
        <w:gridCol w:w="658"/>
        <w:gridCol w:w="658"/>
        <w:gridCol w:w="658"/>
        <w:gridCol w:w="658"/>
        <w:gridCol w:w="659"/>
        <w:gridCol w:w="659"/>
        <w:gridCol w:w="659"/>
        <w:gridCol w:w="659"/>
        <w:gridCol w:w="659"/>
        <w:gridCol w:w="659"/>
        <w:gridCol w:w="659"/>
      </w:tblGrid>
      <w:tr w:rsidR="00E94F57" w14:paraId="48A098C5" w14:textId="77777777" w:rsidTr="00A35F01">
        <w:trPr>
          <w:trHeight w:val="500"/>
        </w:trPr>
        <w:tc>
          <w:tcPr>
            <w:tcW w:w="1875" w:type="dxa"/>
            <w:shd w:val="clear" w:color="auto" w:fill="1C85A0"/>
            <w:tcMar>
              <w:top w:w="100" w:type="dxa"/>
              <w:left w:w="100" w:type="dxa"/>
              <w:bottom w:w="100" w:type="dxa"/>
              <w:right w:w="100" w:type="dxa"/>
            </w:tcMar>
          </w:tcPr>
          <w:p w14:paraId="179EE445" w14:textId="77777777" w:rsidR="00E94F57" w:rsidRDefault="00E94F57" w:rsidP="00A35F01">
            <w:pPr>
              <w:widowControl w:val="0"/>
              <w:pBdr>
                <w:top w:val="nil"/>
                <w:left w:val="nil"/>
                <w:bottom w:val="nil"/>
                <w:right w:val="nil"/>
                <w:between w:val="nil"/>
              </w:pBdr>
              <w:spacing w:line="276" w:lineRule="auto"/>
              <w:rPr>
                <w:b/>
                <w:color w:val="FFFFFF"/>
                <w:sz w:val="16"/>
                <w:szCs w:val="16"/>
              </w:rPr>
            </w:pPr>
            <w:r>
              <w:rPr>
                <w:b/>
                <w:color w:val="FFFFFF"/>
                <w:sz w:val="16"/>
                <w:szCs w:val="16"/>
              </w:rPr>
              <w:t>Variable</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1C85A0"/>
            <w:tcMar>
              <w:top w:w="100" w:type="dxa"/>
              <w:left w:w="100" w:type="dxa"/>
              <w:bottom w:w="100" w:type="dxa"/>
              <w:right w:w="100" w:type="dxa"/>
            </w:tcMar>
          </w:tcPr>
          <w:p w14:paraId="45A7E36A" w14:textId="77777777" w:rsidR="00E94F57" w:rsidRDefault="00E94F57" w:rsidP="00A35F01">
            <w:pPr>
              <w:widowControl w:val="0"/>
              <w:pBdr>
                <w:top w:val="nil"/>
                <w:left w:val="nil"/>
                <w:bottom w:val="nil"/>
                <w:right w:val="nil"/>
                <w:between w:val="nil"/>
              </w:pBdr>
              <w:spacing w:line="276" w:lineRule="auto"/>
              <w:rPr>
                <w:b/>
                <w:color w:val="FFFFFF"/>
                <w:sz w:val="16"/>
                <w:szCs w:val="16"/>
              </w:rPr>
            </w:pPr>
            <w:r>
              <w:rPr>
                <w:b/>
                <w:color w:val="FFFFFF"/>
                <w:sz w:val="16"/>
                <w:szCs w:val="16"/>
              </w:rPr>
              <w:t xml:space="preserve"> Infill</w:t>
            </w:r>
          </w:p>
          <w:p w14:paraId="54CC23C3" w14:textId="77777777" w:rsidR="00E94F57" w:rsidRDefault="00E94F57" w:rsidP="00A35F01">
            <w:pPr>
              <w:widowControl w:val="0"/>
              <w:pBdr>
                <w:top w:val="nil"/>
                <w:left w:val="nil"/>
                <w:bottom w:val="nil"/>
                <w:right w:val="nil"/>
                <w:between w:val="nil"/>
              </w:pBdr>
              <w:spacing w:line="276" w:lineRule="auto"/>
              <w:rPr>
                <w:b/>
                <w:color w:val="FFFFFF"/>
                <w:sz w:val="16"/>
                <w:szCs w:val="16"/>
              </w:rPr>
            </w:pPr>
            <w:r>
              <w:rPr>
                <w:b/>
                <w:color w:val="FFFFFF"/>
                <w:sz w:val="16"/>
                <w:szCs w:val="16"/>
              </w:rPr>
              <w:t>Type</w:t>
            </w:r>
          </w:p>
        </w:tc>
        <w:tc>
          <w:tcPr>
            <w:tcW w:w="1316" w:type="dxa"/>
            <w:gridSpan w:val="2"/>
            <w:tcBorders>
              <w:top w:val="single" w:sz="4" w:space="0" w:color="000000"/>
              <w:left w:val="single" w:sz="4" w:space="0" w:color="000000"/>
              <w:bottom w:val="single" w:sz="4" w:space="0" w:color="000000"/>
              <w:right w:val="single" w:sz="4" w:space="0" w:color="000000"/>
            </w:tcBorders>
            <w:shd w:val="clear" w:color="auto" w:fill="1C85A0"/>
            <w:tcMar>
              <w:top w:w="100" w:type="dxa"/>
              <w:left w:w="100" w:type="dxa"/>
              <w:bottom w:w="100" w:type="dxa"/>
              <w:right w:w="100" w:type="dxa"/>
            </w:tcMar>
          </w:tcPr>
          <w:p w14:paraId="3684C9E8" w14:textId="77777777" w:rsidR="00E94F57" w:rsidRDefault="00E94F5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IEA</w:t>
            </w:r>
          </w:p>
          <w:p w14:paraId="1F42897F" w14:textId="77777777" w:rsidR="00E94F57" w:rsidRDefault="00E94F5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NZE</w:t>
            </w:r>
          </w:p>
          <w:p w14:paraId="56A19A29" w14:textId="77777777" w:rsidR="00E94F57" w:rsidRDefault="00E94F57" w:rsidP="00A35F01">
            <w:pPr>
              <w:widowControl w:val="0"/>
              <w:spacing w:line="276" w:lineRule="auto"/>
              <w:rPr>
                <w:b/>
                <w:color w:val="FFFFFF"/>
                <w:sz w:val="16"/>
                <w:szCs w:val="16"/>
              </w:rPr>
            </w:pPr>
            <w:r>
              <w:rPr>
                <w:b/>
                <w:color w:val="FFFFFF"/>
                <w:sz w:val="16"/>
                <w:szCs w:val="16"/>
              </w:rPr>
              <w:t xml:space="preserve"> </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1C85A0"/>
            <w:tcMar>
              <w:top w:w="100" w:type="dxa"/>
              <w:left w:w="100" w:type="dxa"/>
              <w:bottom w:w="100" w:type="dxa"/>
              <w:right w:w="100" w:type="dxa"/>
            </w:tcMar>
          </w:tcPr>
          <w:p w14:paraId="10A40C9C" w14:textId="77777777" w:rsidR="00E94F57" w:rsidRDefault="00E94F5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IEA</w:t>
            </w:r>
          </w:p>
          <w:p w14:paraId="00847DDD" w14:textId="77777777" w:rsidR="00E94F57" w:rsidRDefault="00E94F5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SDS 2020</w:t>
            </w:r>
          </w:p>
          <w:p w14:paraId="75DD3BCF" w14:textId="77777777" w:rsidR="00E94F57" w:rsidRDefault="00E94F57" w:rsidP="00A35F01">
            <w:pPr>
              <w:widowControl w:val="0"/>
              <w:spacing w:line="276" w:lineRule="auto"/>
              <w:rPr>
                <w:b/>
                <w:color w:val="FFFFFF"/>
                <w:sz w:val="16"/>
                <w:szCs w:val="16"/>
              </w:rPr>
            </w:pPr>
            <w:r>
              <w:rPr>
                <w:b/>
                <w:color w:val="FFFFFF"/>
                <w:sz w:val="16"/>
                <w:szCs w:val="16"/>
              </w:rPr>
              <w:t xml:space="preserve"> </w:t>
            </w:r>
          </w:p>
        </w:tc>
        <w:tc>
          <w:tcPr>
            <w:tcW w:w="1318" w:type="dxa"/>
            <w:gridSpan w:val="2"/>
            <w:tcBorders>
              <w:top w:val="single" w:sz="4" w:space="0" w:color="000000"/>
              <w:left w:val="single" w:sz="4" w:space="0" w:color="000000"/>
              <w:bottom w:val="single" w:sz="4" w:space="0" w:color="000000"/>
              <w:right w:val="single" w:sz="4" w:space="0" w:color="000000"/>
            </w:tcBorders>
            <w:shd w:val="clear" w:color="auto" w:fill="1C85A0"/>
            <w:tcMar>
              <w:top w:w="100" w:type="dxa"/>
              <w:left w:w="100" w:type="dxa"/>
              <w:bottom w:w="100" w:type="dxa"/>
              <w:right w:w="100" w:type="dxa"/>
            </w:tcMar>
          </w:tcPr>
          <w:p w14:paraId="434C5AB4" w14:textId="77777777" w:rsidR="00E94F57" w:rsidRDefault="00E94F5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BP</w:t>
            </w:r>
          </w:p>
          <w:p w14:paraId="63407CFC" w14:textId="77777777" w:rsidR="00E94F57" w:rsidRDefault="00E94F5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Net Zero</w:t>
            </w:r>
          </w:p>
          <w:p w14:paraId="3C07C855" w14:textId="77777777" w:rsidR="00E94F57" w:rsidRDefault="00E94F57" w:rsidP="00A35F01">
            <w:pPr>
              <w:widowControl w:val="0"/>
              <w:spacing w:line="276" w:lineRule="auto"/>
              <w:rPr>
                <w:b/>
                <w:color w:val="FFFFFF"/>
                <w:sz w:val="16"/>
                <w:szCs w:val="16"/>
              </w:rPr>
            </w:pPr>
            <w:r>
              <w:rPr>
                <w:b/>
                <w:color w:val="FFFFFF"/>
                <w:sz w:val="16"/>
                <w:szCs w:val="16"/>
              </w:rPr>
              <w:t xml:space="preserve"> </w:t>
            </w:r>
          </w:p>
        </w:tc>
        <w:tc>
          <w:tcPr>
            <w:tcW w:w="1318" w:type="dxa"/>
            <w:gridSpan w:val="2"/>
            <w:tcBorders>
              <w:top w:val="single" w:sz="4" w:space="0" w:color="000000"/>
              <w:left w:val="single" w:sz="4" w:space="0" w:color="000000"/>
              <w:bottom w:val="single" w:sz="4" w:space="0" w:color="000000"/>
              <w:right w:val="single" w:sz="4" w:space="0" w:color="000000"/>
            </w:tcBorders>
            <w:shd w:val="clear" w:color="auto" w:fill="1C85A0"/>
            <w:tcMar>
              <w:top w:w="100" w:type="dxa"/>
              <w:left w:w="100" w:type="dxa"/>
              <w:bottom w:w="100" w:type="dxa"/>
              <w:right w:w="100" w:type="dxa"/>
            </w:tcMar>
          </w:tcPr>
          <w:p w14:paraId="119D373A" w14:textId="77777777" w:rsidR="00E94F57" w:rsidRDefault="00E94F5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Shell</w:t>
            </w:r>
          </w:p>
          <w:p w14:paraId="575C7772" w14:textId="77777777" w:rsidR="00E94F57" w:rsidRDefault="00E94F5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Sky 1.5</w:t>
            </w:r>
          </w:p>
          <w:p w14:paraId="115F4648" w14:textId="77777777" w:rsidR="00E94F57" w:rsidRDefault="00E94F57" w:rsidP="00A35F01">
            <w:pPr>
              <w:widowControl w:val="0"/>
              <w:spacing w:line="276" w:lineRule="auto"/>
              <w:rPr>
                <w:b/>
                <w:color w:val="FFFFFF"/>
                <w:sz w:val="16"/>
                <w:szCs w:val="16"/>
              </w:rPr>
            </w:pPr>
            <w:r>
              <w:rPr>
                <w:b/>
                <w:color w:val="FFFFFF"/>
                <w:sz w:val="16"/>
                <w:szCs w:val="16"/>
              </w:rPr>
              <w:t xml:space="preserve"> </w:t>
            </w:r>
          </w:p>
        </w:tc>
        <w:tc>
          <w:tcPr>
            <w:tcW w:w="1318" w:type="dxa"/>
            <w:gridSpan w:val="2"/>
            <w:tcBorders>
              <w:top w:val="single" w:sz="4" w:space="0" w:color="000000"/>
              <w:left w:val="single" w:sz="4" w:space="0" w:color="000000"/>
              <w:bottom w:val="single" w:sz="4" w:space="0" w:color="000000"/>
              <w:right w:val="single" w:sz="4" w:space="0" w:color="000000"/>
            </w:tcBorders>
            <w:shd w:val="clear" w:color="auto" w:fill="1C85A0"/>
            <w:tcMar>
              <w:top w:w="100" w:type="dxa"/>
              <w:left w:w="100" w:type="dxa"/>
              <w:bottom w:w="100" w:type="dxa"/>
              <w:right w:w="100" w:type="dxa"/>
            </w:tcMar>
          </w:tcPr>
          <w:p w14:paraId="0F17E0EC" w14:textId="77777777" w:rsidR="00E94F57" w:rsidRDefault="00E94F5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Equinor</w:t>
            </w:r>
          </w:p>
          <w:p w14:paraId="221C6A05" w14:textId="77777777" w:rsidR="00E94F57" w:rsidRDefault="00E94F5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Rebalance</w:t>
            </w:r>
          </w:p>
          <w:p w14:paraId="371C02B5" w14:textId="77777777" w:rsidR="00E94F57" w:rsidRDefault="00E94F57" w:rsidP="00A35F01">
            <w:pPr>
              <w:widowControl w:val="0"/>
              <w:spacing w:line="276" w:lineRule="auto"/>
              <w:rPr>
                <w:b/>
                <w:color w:val="FFFFFF"/>
                <w:sz w:val="16"/>
                <w:szCs w:val="16"/>
              </w:rPr>
            </w:pPr>
            <w:r>
              <w:rPr>
                <w:b/>
                <w:color w:val="FFFFFF"/>
                <w:sz w:val="16"/>
                <w:szCs w:val="16"/>
              </w:rPr>
              <w:t xml:space="preserve"> </w:t>
            </w:r>
          </w:p>
        </w:tc>
      </w:tr>
      <w:tr w:rsidR="00E94F57" w14:paraId="0FD16407" w14:textId="77777777" w:rsidTr="00A35F01">
        <w:trPr>
          <w:trHeight w:val="500"/>
        </w:trPr>
        <w:tc>
          <w:tcPr>
            <w:tcW w:w="1875" w:type="dxa"/>
            <w:tcBorders>
              <w:bottom w:val="single" w:sz="4" w:space="0" w:color="auto"/>
            </w:tcBorders>
            <w:shd w:val="clear" w:color="auto" w:fill="1C85A0"/>
            <w:tcMar>
              <w:top w:w="100" w:type="dxa"/>
              <w:left w:w="100" w:type="dxa"/>
              <w:bottom w:w="100" w:type="dxa"/>
              <w:right w:w="100" w:type="dxa"/>
            </w:tcMar>
          </w:tcPr>
          <w:p w14:paraId="54118E30" w14:textId="77777777" w:rsidR="00E94F57" w:rsidRDefault="00E94F57" w:rsidP="00A35F01">
            <w:pPr>
              <w:widowControl w:val="0"/>
              <w:pBdr>
                <w:top w:val="nil"/>
                <w:left w:val="nil"/>
                <w:bottom w:val="nil"/>
                <w:right w:val="nil"/>
                <w:between w:val="nil"/>
              </w:pBdr>
              <w:spacing w:line="276" w:lineRule="auto"/>
              <w:rPr>
                <w:b/>
                <w:color w:val="FFFFFF"/>
                <w:sz w:val="16"/>
                <w:szCs w:val="16"/>
              </w:rPr>
            </w:pPr>
          </w:p>
        </w:tc>
        <w:tc>
          <w:tcPr>
            <w:tcW w:w="658" w:type="dxa"/>
            <w:vMerge/>
            <w:tcBorders>
              <w:top w:val="single" w:sz="4" w:space="0" w:color="000000"/>
              <w:left w:val="single" w:sz="4" w:space="0" w:color="000000"/>
              <w:bottom w:val="single" w:sz="4" w:space="0" w:color="auto"/>
              <w:right w:val="single" w:sz="4" w:space="0" w:color="000000"/>
            </w:tcBorders>
            <w:shd w:val="clear" w:color="auto" w:fill="1C85A0"/>
            <w:tcMar>
              <w:top w:w="100" w:type="dxa"/>
              <w:left w:w="100" w:type="dxa"/>
              <w:bottom w:w="100" w:type="dxa"/>
              <w:right w:w="100" w:type="dxa"/>
            </w:tcMar>
          </w:tcPr>
          <w:p w14:paraId="4088B25C" w14:textId="77777777" w:rsidR="00E94F57" w:rsidRDefault="00E94F57" w:rsidP="00A35F01">
            <w:pPr>
              <w:widowControl w:val="0"/>
              <w:pBdr>
                <w:top w:val="nil"/>
                <w:left w:val="nil"/>
                <w:bottom w:val="nil"/>
                <w:right w:val="nil"/>
                <w:between w:val="nil"/>
              </w:pBdr>
              <w:rPr>
                <w:b/>
                <w:color w:val="FFFFFF"/>
                <w:sz w:val="16"/>
                <w:szCs w:val="16"/>
              </w:rPr>
            </w:pPr>
          </w:p>
        </w:tc>
        <w:tc>
          <w:tcPr>
            <w:tcW w:w="658" w:type="dxa"/>
            <w:tcBorders>
              <w:top w:val="single" w:sz="4" w:space="0" w:color="000000"/>
              <w:left w:val="single" w:sz="4" w:space="0" w:color="000000"/>
              <w:bottom w:val="single" w:sz="4" w:space="0" w:color="auto"/>
              <w:right w:val="single" w:sz="4" w:space="0" w:color="000000"/>
            </w:tcBorders>
            <w:shd w:val="clear" w:color="auto" w:fill="1C85A0"/>
            <w:tcMar>
              <w:top w:w="100" w:type="dxa"/>
              <w:left w:w="100" w:type="dxa"/>
              <w:bottom w:w="100" w:type="dxa"/>
              <w:right w:w="100" w:type="dxa"/>
            </w:tcMar>
          </w:tcPr>
          <w:p w14:paraId="572F54FA" w14:textId="77777777" w:rsidR="00E94F57" w:rsidRDefault="00E94F57" w:rsidP="00A35F01">
            <w:pPr>
              <w:widowControl w:val="0"/>
              <w:pBdr>
                <w:top w:val="nil"/>
                <w:left w:val="nil"/>
                <w:bottom w:val="nil"/>
                <w:right w:val="nil"/>
                <w:between w:val="nil"/>
              </w:pBdr>
              <w:spacing w:line="276" w:lineRule="auto"/>
              <w:rPr>
                <w:b/>
                <w:color w:val="FFFFFF"/>
                <w:sz w:val="16"/>
                <w:szCs w:val="16"/>
              </w:rPr>
            </w:pPr>
            <w:r>
              <w:rPr>
                <w:b/>
                <w:color w:val="FFFFFF"/>
                <w:sz w:val="16"/>
                <w:szCs w:val="16"/>
              </w:rPr>
              <w:t>2030</w:t>
            </w:r>
          </w:p>
        </w:tc>
        <w:tc>
          <w:tcPr>
            <w:tcW w:w="658" w:type="dxa"/>
            <w:tcBorders>
              <w:top w:val="single" w:sz="4" w:space="0" w:color="000000"/>
              <w:left w:val="single" w:sz="4" w:space="0" w:color="000000"/>
              <w:bottom w:val="single" w:sz="4" w:space="0" w:color="auto"/>
              <w:right w:val="single" w:sz="4" w:space="0" w:color="000000"/>
            </w:tcBorders>
            <w:shd w:val="clear" w:color="auto" w:fill="1C85A0"/>
            <w:tcMar>
              <w:top w:w="100" w:type="dxa"/>
              <w:left w:w="100" w:type="dxa"/>
              <w:bottom w:w="100" w:type="dxa"/>
              <w:right w:w="100" w:type="dxa"/>
            </w:tcMar>
          </w:tcPr>
          <w:p w14:paraId="4DDBE7B1" w14:textId="77777777" w:rsidR="00E94F57" w:rsidRDefault="00E94F57" w:rsidP="00A35F01">
            <w:pPr>
              <w:widowControl w:val="0"/>
              <w:pBdr>
                <w:top w:val="nil"/>
                <w:left w:val="nil"/>
                <w:bottom w:val="nil"/>
                <w:right w:val="nil"/>
                <w:between w:val="nil"/>
              </w:pBdr>
              <w:spacing w:line="276" w:lineRule="auto"/>
              <w:rPr>
                <w:b/>
                <w:color w:val="FFFFFF"/>
                <w:sz w:val="16"/>
                <w:szCs w:val="16"/>
              </w:rPr>
            </w:pPr>
            <w:r>
              <w:rPr>
                <w:b/>
                <w:color w:val="FFFFFF"/>
                <w:sz w:val="16"/>
                <w:szCs w:val="16"/>
              </w:rPr>
              <w:t>2050</w:t>
            </w:r>
          </w:p>
        </w:tc>
        <w:tc>
          <w:tcPr>
            <w:tcW w:w="658" w:type="dxa"/>
            <w:tcBorders>
              <w:top w:val="single" w:sz="4" w:space="0" w:color="000000"/>
              <w:left w:val="single" w:sz="4" w:space="0" w:color="000000"/>
              <w:bottom w:val="single" w:sz="4" w:space="0" w:color="auto"/>
              <w:right w:val="single" w:sz="4" w:space="0" w:color="000000"/>
            </w:tcBorders>
            <w:shd w:val="clear" w:color="auto" w:fill="1C85A0"/>
            <w:tcMar>
              <w:top w:w="100" w:type="dxa"/>
              <w:left w:w="100" w:type="dxa"/>
              <w:bottom w:w="100" w:type="dxa"/>
              <w:right w:w="100" w:type="dxa"/>
            </w:tcMar>
          </w:tcPr>
          <w:p w14:paraId="08544839" w14:textId="77777777" w:rsidR="00E94F57" w:rsidRDefault="00E94F57" w:rsidP="00A35F01">
            <w:pPr>
              <w:widowControl w:val="0"/>
              <w:pBdr>
                <w:top w:val="nil"/>
                <w:left w:val="nil"/>
                <w:bottom w:val="nil"/>
                <w:right w:val="nil"/>
                <w:between w:val="nil"/>
              </w:pBdr>
              <w:spacing w:line="276" w:lineRule="auto"/>
              <w:rPr>
                <w:b/>
                <w:color w:val="FFFFFF"/>
                <w:sz w:val="16"/>
                <w:szCs w:val="16"/>
              </w:rPr>
            </w:pPr>
            <w:r>
              <w:rPr>
                <w:b/>
                <w:color w:val="FFFFFF"/>
                <w:sz w:val="16"/>
                <w:szCs w:val="16"/>
              </w:rPr>
              <w:t>2030</w:t>
            </w:r>
          </w:p>
        </w:tc>
        <w:tc>
          <w:tcPr>
            <w:tcW w:w="659" w:type="dxa"/>
            <w:tcBorders>
              <w:top w:val="single" w:sz="4" w:space="0" w:color="000000"/>
              <w:left w:val="single" w:sz="4" w:space="0" w:color="000000"/>
              <w:bottom w:val="single" w:sz="4" w:space="0" w:color="auto"/>
              <w:right w:val="single" w:sz="4" w:space="0" w:color="000000"/>
            </w:tcBorders>
            <w:shd w:val="clear" w:color="auto" w:fill="1C85A0"/>
            <w:tcMar>
              <w:top w:w="100" w:type="dxa"/>
              <w:left w:w="100" w:type="dxa"/>
              <w:bottom w:w="100" w:type="dxa"/>
              <w:right w:w="100" w:type="dxa"/>
            </w:tcMar>
          </w:tcPr>
          <w:p w14:paraId="24635ACC" w14:textId="77777777" w:rsidR="00E94F57" w:rsidRDefault="00E94F57" w:rsidP="00A35F01">
            <w:pPr>
              <w:widowControl w:val="0"/>
              <w:pBdr>
                <w:top w:val="nil"/>
                <w:left w:val="nil"/>
                <w:bottom w:val="nil"/>
                <w:right w:val="nil"/>
                <w:between w:val="nil"/>
              </w:pBdr>
              <w:spacing w:line="276" w:lineRule="auto"/>
              <w:rPr>
                <w:b/>
                <w:color w:val="FFFFFF"/>
                <w:sz w:val="16"/>
                <w:szCs w:val="16"/>
              </w:rPr>
            </w:pPr>
            <w:r>
              <w:rPr>
                <w:b/>
                <w:color w:val="FFFFFF"/>
                <w:sz w:val="16"/>
                <w:szCs w:val="16"/>
              </w:rPr>
              <w:t>2050</w:t>
            </w:r>
          </w:p>
        </w:tc>
        <w:tc>
          <w:tcPr>
            <w:tcW w:w="659" w:type="dxa"/>
            <w:tcBorders>
              <w:top w:val="single" w:sz="4" w:space="0" w:color="000000"/>
              <w:left w:val="single" w:sz="4" w:space="0" w:color="000000"/>
              <w:bottom w:val="single" w:sz="4" w:space="0" w:color="auto"/>
              <w:right w:val="single" w:sz="4" w:space="0" w:color="000000"/>
            </w:tcBorders>
            <w:shd w:val="clear" w:color="auto" w:fill="1C85A0"/>
            <w:tcMar>
              <w:top w:w="100" w:type="dxa"/>
              <w:left w:w="100" w:type="dxa"/>
              <w:bottom w:w="100" w:type="dxa"/>
              <w:right w:w="100" w:type="dxa"/>
            </w:tcMar>
          </w:tcPr>
          <w:p w14:paraId="129EFE68" w14:textId="77777777" w:rsidR="00E94F57" w:rsidRDefault="00E94F57" w:rsidP="00A35F01">
            <w:pPr>
              <w:widowControl w:val="0"/>
              <w:pBdr>
                <w:top w:val="nil"/>
                <w:left w:val="nil"/>
                <w:bottom w:val="nil"/>
                <w:right w:val="nil"/>
                <w:between w:val="nil"/>
              </w:pBdr>
              <w:spacing w:line="276" w:lineRule="auto"/>
              <w:rPr>
                <w:b/>
                <w:color w:val="FFFFFF"/>
                <w:sz w:val="16"/>
                <w:szCs w:val="16"/>
              </w:rPr>
            </w:pPr>
            <w:r>
              <w:rPr>
                <w:b/>
                <w:color w:val="FFFFFF"/>
                <w:sz w:val="16"/>
                <w:szCs w:val="16"/>
              </w:rPr>
              <w:t>2030</w:t>
            </w:r>
          </w:p>
        </w:tc>
        <w:tc>
          <w:tcPr>
            <w:tcW w:w="659" w:type="dxa"/>
            <w:tcBorders>
              <w:top w:val="single" w:sz="4" w:space="0" w:color="000000"/>
              <w:left w:val="single" w:sz="4" w:space="0" w:color="000000"/>
              <w:bottom w:val="single" w:sz="4" w:space="0" w:color="auto"/>
              <w:right w:val="single" w:sz="4" w:space="0" w:color="000000"/>
            </w:tcBorders>
            <w:shd w:val="clear" w:color="auto" w:fill="1C85A0"/>
            <w:tcMar>
              <w:top w:w="100" w:type="dxa"/>
              <w:left w:w="100" w:type="dxa"/>
              <w:bottom w:w="100" w:type="dxa"/>
              <w:right w:w="100" w:type="dxa"/>
            </w:tcMar>
          </w:tcPr>
          <w:p w14:paraId="78929B64" w14:textId="77777777" w:rsidR="00E94F57" w:rsidRDefault="00E94F57" w:rsidP="00A35F01">
            <w:pPr>
              <w:widowControl w:val="0"/>
              <w:pBdr>
                <w:top w:val="nil"/>
                <w:left w:val="nil"/>
                <w:bottom w:val="nil"/>
                <w:right w:val="nil"/>
                <w:between w:val="nil"/>
              </w:pBdr>
              <w:spacing w:line="276" w:lineRule="auto"/>
              <w:rPr>
                <w:b/>
                <w:color w:val="FFFFFF"/>
                <w:sz w:val="16"/>
                <w:szCs w:val="16"/>
              </w:rPr>
            </w:pPr>
            <w:r>
              <w:rPr>
                <w:b/>
                <w:color w:val="FFFFFF"/>
                <w:sz w:val="16"/>
                <w:szCs w:val="16"/>
              </w:rPr>
              <w:t>2050</w:t>
            </w:r>
          </w:p>
        </w:tc>
        <w:tc>
          <w:tcPr>
            <w:tcW w:w="659" w:type="dxa"/>
            <w:tcBorders>
              <w:top w:val="single" w:sz="4" w:space="0" w:color="000000"/>
              <w:left w:val="single" w:sz="4" w:space="0" w:color="000000"/>
              <w:bottom w:val="single" w:sz="4" w:space="0" w:color="auto"/>
              <w:right w:val="single" w:sz="4" w:space="0" w:color="000000"/>
            </w:tcBorders>
            <w:shd w:val="clear" w:color="auto" w:fill="1C85A0"/>
            <w:tcMar>
              <w:top w:w="100" w:type="dxa"/>
              <w:left w:w="100" w:type="dxa"/>
              <w:bottom w:w="100" w:type="dxa"/>
              <w:right w:w="100" w:type="dxa"/>
            </w:tcMar>
          </w:tcPr>
          <w:p w14:paraId="2B6053B3" w14:textId="77777777" w:rsidR="00E94F57" w:rsidRDefault="00E94F57" w:rsidP="00A35F01">
            <w:pPr>
              <w:widowControl w:val="0"/>
              <w:pBdr>
                <w:top w:val="nil"/>
                <w:left w:val="nil"/>
                <w:bottom w:val="nil"/>
                <w:right w:val="nil"/>
                <w:between w:val="nil"/>
              </w:pBdr>
              <w:spacing w:line="276" w:lineRule="auto"/>
              <w:rPr>
                <w:b/>
                <w:color w:val="FFFFFF"/>
                <w:sz w:val="16"/>
                <w:szCs w:val="16"/>
              </w:rPr>
            </w:pPr>
            <w:r>
              <w:rPr>
                <w:b/>
                <w:color w:val="FFFFFF"/>
                <w:sz w:val="16"/>
                <w:szCs w:val="16"/>
              </w:rPr>
              <w:t>2030</w:t>
            </w:r>
          </w:p>
        </w:tc>
        <w:tc>
          <w:tcPr>
            <w:tcW w:w="659" w:type="dxa"/>
            <w:tcBorders>
              <w:top w:val="single" w:sz="4" w:space="0" w:color="000000"/>
              <w:left w:val="single" w:sz="4" w:space="0" w:color="000000"/>
              <w:bottom w:val="single" w:sz="4" w:space="0" w:color="auto"/>
              <w:right w:val="single" w:sz="4" w:space="0" w:color="000000"/>
            </w:tcBorders>
            <w:shd w:val="clear" w:color="auto" w:fill="1C85A0"/>
            <w:tcMar>
              <w:top w:w="100" w:type="dxa"/>
              <w:left w:w="100" w:type="dxa"/>
              <w:bottom w:w="100" w:type="dxa"/>
              <w:right w:w="100" w:type="dxa"/>
            </w:tcMar>
          </w:tcPr>
          <w:p w14:paraId="2977C3FC" w14:textId="77777777" w:rsidR="00E94F57" w:rsidRDefault="00E94F57" w:rsidP="00A35F01">
            <w:pPr>
              <w:widowControl w:val="0"/>
              <w:pBdr>
                <w:top w:val="nil"/>
                <w:left w:val="nil"/>
                <w:bottom w:val="nil"/>
                <w:right w:val="nil"/>
                <w:between w:val="nil"/>
              </w:pBdr>
              <w:spacing w:line="276" w:lineRule="auto"/>
              <w:rPr>
                <w:b/>
                <w:color w:val="FFFFFF"/>
                <w:sz w:val="16"/>
                <w:szCs w:val="16"/>
              </w:rPr>
            </w:pPr>
            <w:r>
              <w:rPr>
                <w:b/>
                <w:color w:val="FFFFFF"/>
                <w:sz w:val="16"/>
                <w:szCs w:val="16"/>
              </w:rPr>
              <w:t>2050</w:t>
            </w:r>
          </w:p>
        </w:tc>
        <w:tc>
          <w:tcPr>
            <w:tcW w:w="659" w:type="dxa"/>
            <w:tcBorders>
              <w:top w:val="single" w:sz="4" w:space="0" w:color="000000"/>
              <w:left w:val="single" w:sz="4" w:space="0" w:color="000000"/>
              <w:bottom w:val="single" w:sz="4" w:space="0" w:color="auto"/>
              <w:right w:val="single" w:sz="4" w:space="0" w:color="000000"/>
            </w:tcBorders>
            <w:shd w:val="clear" w:color="auto" w:fill="1C85A0"/>
            <w:tcMar>
              <w:top w:w="100" w:type="dxa"/>
              <w:left w:w="100" w:type="dxa"/>
              <w:bottom w:w="100" w:type="dxa"/>
              <w:right w:w="100" w:type="dxa"/>
            </w:tcMar>
          </w:tcPr>
          <w:p w14:paraId="72A658BC" w14:textId="77777777" w:rsidR="00E94F57" w:rsidRDefault="00E94F57" w:rsidP="00A35F01">
            <w:pPr>
              <w:widowControl w:val="0"/>
              <w:pBdr>
                <w:top w:val="nil"/>
                <w:left w:val="nil"/>
                <w:bottom w:val="nil"/>
                <w:right w:val="nil"/>
                <w:between w:val="nil"/>
              </w:pBdr>
              <w:spacing w:line="276" w:lineRule="auto"/>
              <w:rPr>
                <w:b/>
                <w:color w:val="FFFFFF"/>
                <w:sz w:val="16"/>
                <w:szCs w:val="16"/>
              </w:rPr>
            </w:pPr>
            <w:r>
              <w:rPr>
                <w:b/>
                <w:color w:val="FFFFFF"/>
                <w:sz w:val="16"/>
                <w:szCs w:val="16"/>
              </w:rPr>
              <w:t>2030</w:t>
            </w:r>
          </w:p>
        </w:tc>
        <w:tc>
          <w:tcPr>
            <w:tcW w:w="659" w:type="dxa"/>
            <w:tcBorders>
              <w:top w:val="single" w:sz="4" w:space="0" w:color="000000"/>
              <w:left w:val="single" w:sz="4" w:space="0" w:color="000000"/>
              <w:bottom w:val="single" w:sz="4" w:space="0" w:color="auto"/>
              <w:right w:val="single" w:sz="4" w:space="0" w:color="000000"/>
            </w:tcBorders>
            <w:shd w:val="clear" w:color="auto" w:fill="1C85A0"/>
            <w:tcMar>
              <w:top w:w="100" w:type="dxa"/>
              <w:left w:w="100" w:type="dxa"/>
              <w:bottom w:w="100" w:type="dxa"/>
              <w:right w:w="100" w:type="dxa"/>
            </w:tcMar>
          </w:tcPr>
          <w:p w14:paraId="72A71B5B" w14:textId="77777777" w:rsidR="00E94F57" w:rsidRDefault="00E94F57" w:rsidP="00A35F01">
            <w:pPr>
              <w:widowControl w:val="0"/>
              <w:pBdr>
                <w:top w:val="nil"/>
                <w:left w:val="nil"/>
                <w:bottom w:val="nil"/>
                <w:right w:val="nil"/>
                <w:between w:val="nil"/>
              </w:pBdr>
              <w:spacing w:line="276" w:lineRule="auto"/>
              <w:rPr>
                <w:b/>
                <w:color w:val="FFFFFF"/>
                <w:sz w:val="16"/>
                <w:szCs w:val="16"/>
              </w:rPr>
            </w:pPr>
            <w:r>
              <w:rPr>
                <w:b/>
                <w:color w:val="FFFFFF"/>
                <w:sz w:val="16"/>
                <w:szCs w:val="16"/>
              </w:rPr>
              <w:t>2050</w:t>
            </w:r>
          </w:p>
        </w:tc>
      </w:tr>
      <w:tr w:rsidR="00E94F57" w14:paraId="65E5740D" w14:textId="77777777" w:rsidTr="00A35F01">
        <w:trPr>
          <w:trHeight w:val="500"/>
        </w:trPr>
        <w:tc>
          <w:tcPr>
            <w:tcW w:w="1875" w:type="dxa"/>
            <w:vMerge w:val="restart"/>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6EF71EA8" w14:textId="77777777" w:rsidR="00E94F57" w:rsidRPr="008869F2" w:rsidRDefault="00E94F57" w:rsidP="00A35F01">
            <w:pPr>
              <w:widowControl w:val="0"/>
              <w:pBdr>
                <w:top w:val="nil"/>
                <w:left w:val="nil"/>
                <w:bottom w:val="nil"/>
                <w:right w:val="nil"/>
                <w:between w:val="nil"/>
              </w:pBdr>
              <w:spacing w:line="276" w:lineRule="auto"/>
              <w:jc w:val="center"/>
              <w:rPr>
                <w:b/>
                <w:color w:val="000000" w:themeColor="text1"/>
                <w:sz w:val="16"/>
                <w:szCs w:val="16"/>
              </w:rPr>
            </w:pPr>
            <w:r>
              <w:rPr>
                <w:b/>
                <w:color w:val="000000" w:themeColor="text1"/>
                <w:sz w:val="16"/>
                <w:szCs w:val="16"/>
              </w:rPr>
              <w:t>Energy and Industrial Process CO</w:t>
            </w:r>
            <w:r>
              <w:rPr>
                <w:b/>
                <w:color w:val="000000" w:themeColor="text1"/>
                <w:sz w:val="16"/>
                <w:szCs w:val="16"/>
                <w:vertAlign w:val="subscript"/>
              </w:rPr>
              <w:t>2</w:t>
            </w:r>
          </w:p>
          <w:p w14:paraId="19600320"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(Mt CO</w:t>
            </w:r>
            <w:r w:rsidRPr="008869F2">
              <w:rPr>
                <w:b/>
                <w:color w:val="000000" w:themeColor="text1"/>
                <w:sz w:val="16"/>
                <w:szCs w:val="16"/>
                <w:vertAlign w:val="subscript"/>
              </w:rPr>
              <w:t>2</w:t>
            </w:r>
            <w:r>
              <w:rPr>
                <w:b/>
                <w:color w:val="000000" w:themeColor="text1"/>
                <w:sz w:val="16"/>
                <w:szCs w:val="16"/>
              </w:rPr>
              <w:t xml:space="preserve"> / yr</w:t>
            </w:r>
            <w:r w:rsidRPr="00091AB5">
              <w:rPr>
                <w:b/>
                <w:color w:val="000000" w:themeColor="text1"/>
                <w:sz w:val="16"/>
                <w:szCs w:val="16"/>
              </w:rPr>
              <w:t>)</w:t>
            </w:r>
          </w:p>
          <w:p w14:paraId="1364B247" w14:textId="77777777" w:rsidR="00E94F57" w:rsidRPr="00091AB5" w:rsidRDefault="00E94F57" w:rsidP="00A35F01">
            <w:pPr>
              <w:widowControl w:val="0"/>
              <w:spacing w:line="276" w:lineRule="auto"/>
              <w:jc w:val="center"/>
              <w:rPr>
                <w:b/>
                <w:color w:val="000000" w:themeColor="text1"/>
                <w:sz w:val="16"/>
                <w:szCs w:val="16"/>
              </w:rPr>
            </w:pPr>
          </w:p>
          <w:p w14:paraId="1918047E" w14:textId="77777777" w:rsidR="00E94F57" w:rsidRPr="00091AB5" w:rsidRDefault="00E94F57" w:rsidP="00A35F01">
            <w:pPr>
              <w:widowControl w:val="0"/>
              <w:spacing w:line="276" w:lineRule="auto"/>
              <w:jc w:val="center"/>
              <w:rPr>
                <w:b/>
                <w:color w:val="000000" w:themeColor="text1"/>
                <w:sz w:val="16"/>
                <w:szCs w:val="16"/>
              </w:rPr>
            </w:pP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4971202D"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EQW</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13EC465A"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21283</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6A53A2AA"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0</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259447E6"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26824</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44970ADC"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10219</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71887E9F"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28516</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1C6E9EC3"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3685</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5ACD6233"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36239</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143D23AF"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19867</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088EAC4C"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28853</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64748A2B"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12454</w:t>
            </w:r>
          </w:p>
        </w:tc>
      </w:tr>
      <w:tr w:rsidR="00E94F57" w14:paraId="5FDB5345" w14:textId="77777777" w:rsidTr="00A35F01">
        <w:trPr>
          <w:trHeight w:val="500"/>
        </w:trPr>
        <w:tc>
          <w:tcPr>
            <w:tcW w:w="1875" w:type="dxa"/>
            <w:vMerge/>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2EA20E29" w14:textId="77777777" w:rsidR="00E94F57" w:rsidRPr="00091AB5" w:rsidRDefault="00E94F57" w:rsidP="00A35F01">
            <w:pPr>
              <w:widowControl w:val="0"/>
              <w:pBdr>
                <w:top w:val="nil"/>
                <w:left w:val="nil"/>
                <w:bottom w:val="nil"/>
                <w:right w:val="nil"/>
                <w:between w:val="nil"/>
              </w:pBdr>
              <w:jc w:val="center"/>
              <w:rPr>
                <w:color w:val="000000" w:themeColor="text1"/>
                <w:sz w:val="16"/>
                <w:szCs w:val="16"/>
              </w:rPr>
            </w:pP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1A0602E7"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RMS</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73AA20BF"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21283</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60B72E81"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0</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6E7FF316"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26824</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3D9D863B"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10219</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5F336D5C"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28516</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52F739CA"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3685</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7170CC47"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36239</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0F59AE17"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19867</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7E786A37"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28853</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6C8FB338"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12454</w:t>
            </w:r>
          </w:p>
        </w:tc>
      </w:tr>
      <w:tr w:rsidR="00E94F57" w14:paraId="249FF42C" w14:textId="77777777" w:rsidTr="00A35F01">
        <w:trPr>
          <w:trHeight w:val="500"/>
        </w:trPr>
        <w:tc>
          <w:tcPr>
            <w:tcW w:w="1875" w:type="dxa"/>
            <w:vMerge/>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7C165581" w14:textId="77777777" w:rsidR="00E94F57" w:rsidRPr="00091AB5" w:rsidRDefault="00E94F57" w:rsidP="00A35F01">
            <w:pPr>
              <w:widowControl w:val="0"/>
              <w:pBdr>
                <w:top w:val="nil"/>
                <w:left w:val="nil"/>
                <w:bottom w:val="nil"/>
                <w:right w:val="nil"/>
                <w:between w:val="nil"/>
              </w:pBdr>
              <w:jc w:val="center"/>
              <w:rPr>
                <w:color w:val="000000" w:themeColor="text1"/>
                <w:sz w:val="16"/>
                <w:szCs w:val="16"/>
              </w:rPr>
            </w:pP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7FDB3517"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QRW</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17909DAE"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21283</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21FDEC76"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0</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256532F3"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26824</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36606414"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10219</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2AEC17E7"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28516</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3E5DBB15"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3685</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2CDED704"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36239</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7BEB8BBE"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19867</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165CE951"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28853</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056F947B"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12454</w:t>
            </w:r>
          </w:p>
        </w:tc>
      </w:tr>
      <w:tr w:rsidR="00E94F57" w14:paraId="4441BBA0" w14:textId="77777777" w:rsidTr="00A35F01">
        <w:trPr>
          <w:trHeight w:val="500"/>
        </w:trPr>
        <w:tc>
          <w:tcPr>
            <w:tcW w:w="1875" w:type="dxa"/>
            <w:vMerge w:val="restart"/>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27670C62" w14:textId="77777777" w:rsidR="00E94F57" w:rsidRPr="00FD5B7B" w:rsidRDefault="00E94F57" w:rsidP="00A35F01">
            <w:pPr>
              <w:widowControl w:val="0"/>
              <w:pBdr>
                <w:top w:val="nil"/>
                <w:left w:val="nil"/>
                <w:bottom w:val="nil"/>
                <w:right w:val="nil"/>
                <w:between w:val="nil"/>
              </w:pBdr>
              <w:spacing w:line="276" w:lineRule="auto"/>
              <w:jc w:val="center"/>
              <w:rPr>
                <w:b/>
                <w:color w:val="000000" w:themeColor="text1"/>
                <w:sz w:val="16"/>
                <w:szCs w:val="16"/>
              </w:rPr>
            </w:pPr>
            <w:r>
              <w:rPr>
                <w:b/>
                <w:color w:val="000000" w:themeColor="text1"/>
                <w:sz w:val="16"/>
                <w:szCs w:val="16"/>
              </w:rPr>
              <w:t>AFOLU CO</w:t>
            </w:r>
            <w:r>
              <w:rPr>
                <w:b/>
                <w:color w:val="000000" w:themeColor="text1"/>
                <w:sz w:val="16"/>
                <w:szCs w:val="16"/>
                <w:vertAlign w:val="subscript"/>
              </w:rPr>
              <w:t>2</w:t>
            </w:r>
          </w:p>
          <w:p w14:paraId="3752E19F"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(Mt CO</w:t>
            </w:r>
            <w:r w:rsidRPr="00FD5B7B">
              <w:rPr>
                <w:b/>
                <w:color w:val="000000" w:themeColor="text1"/>
                <w:sz w:val="16"/>
                <w:szCs w:val="16"/>
                <w:vertAlign w:val="subscript"/>
              </w:rPr>
              <w:t>2</w:t>
            </w:r>
            <w:r>
              <w:rPr>
                <w:b/>
                <w:color w:val="000000" w:themeColor="text1"/>
                <w:sz w:val="16"/>
                <w:szCs w:val="16"/>
              </w:rPr>
              <w:t xml:space="preserve"> </w:t>
            </w:r>
            <w:r w:rsidRPr="00FD5B7B">
              <w:rPr>
                <w:b/>
                <w:color w:val="000000" w:themeColor="text1"/>
                <w:sz w:val="16"/>
                <w:szCs w:val="16"/>
              </w:rPr>
              <w:t>/ yr</w:t>
            </w:r>
            <w:r w:rsidRPr="00091AB5">
              <w:rPr>
                <w:b/>
                <w:color w:val="000000" w:themeColor="text1"/>
                <w:sz w:val="16"/>
                <w:szCs w:val="16"/>
              </w:rPr>
              <w:t>)</w:t>
            </w:r>
          </w:p>
          <w:p w14:paraId="01A65853" w14:textId="77777777" w:rsidR="00E94F57" w:rsidRPr="00091AB5" w:rsidRDefault="00E94F57" w:rsidP="00A35F01">
            <w:pPr>
              <w:widowControl w:val="0"/>
              <w:spacing w:line="276" w:lineRule="auto"/>
              <w:jc w:val="center"/>
              <w:rPr>
                <w:b/>
                <w:color w:val="000000" w:themeColor="text1"/>
                <w:sz w:val="16"/>
                <w:szCs w:val="16"/>
              </w:rPr>
            </w:pPr>
          </w:p>
          <w:p w14:paraId="6597072C" w14:textId="77777777" w:rsidR="00E94F57" w:rsidRPr="00091AB5" w:rsidRDefault="00E94F57" w:rsidP="00A35F01">
            <w:pPr>
              <w:widowControl w:val="0"/>
              <w:spacing w:line="276" w:lineRule="auto"/>
              <w:jc w:val="center"/>
              <w:rPr>
                <w:b/>
                <w:color w:val="000000" w:themeColor="text1"/>
                <w:sz w:val="16"/>
                <w:szCs w:val="16"/>
              </w:rPr>
            </w:pP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6DFB0477"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EQW</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51E73A99"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-1196</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2EBFD2AE"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-7698</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1002218C"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59</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3CCDC483"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-2022</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3CF8A876"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309</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2A638CA9"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-3897</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48180869"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891</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5D0775E4"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-5214</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02428C31"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310</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4E08D78B"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-1469</w:t>
            </w:r>
          </w:p>
        </w:tc>
      </w:tr>
      <w:tr w:rsidR="00E94F57" w14:paraId="17BDD96F" w14:textId="77777777" w:rsidTr="00A35F01">
        <w:trPr>
          <w:trHeight w:val="500"/>
        </w:trPr>
        <w:tc>
          <w:tcPr>
            <w:tcW w:w="1875" w:type="dxa"/>
            <w:vMerge/>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28C7C896" w14:textId="77777777" w:rsidR="00E94F57" w:rsidRPr="00091AB5" w:rsidRDefault="00E94F57" w:rsidP="00A35F01">
            <w:pPr>
              <w:widowControl w:val="0"/>
              <w:pBdr>
                <w:top w:val="nil"/>
                <w:left w:val="nil"/>
                <w:bottom w:val="nil"/>
                <w:right w:val="nil"/>
                <w:between w:val="nil"/>
              </w:pBdr>
              <w:jc w:val="center"/>
              <w:rPr>
                <w:color w:val="000000" w:themeColor="text1"/>
                <w:sz w:val="16"/>
                <w:szCs w:val="16"/>
              </w:rPr>
            </w:pP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1366E5B5"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RMS</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6D87019B" w14:textId="7E34CA20" w:rsidR="00E94F57" w:rsidRPr="00091AB5" w:rsidRDefault="002B72FB" w:rsidP="00A35F01">
            <w:pPr>
              <w:widowControl w:val="0"/>
              <w:pBdr>
                <w:top w:val="nil"/>
                <w:left w:val="nil"/>
                <w:bottom w:val="nil"/>
                <w:right w:val="nil"/>
                <w:between w:val="nil"/>
              </w:pBdr>
              <w:spacing w:line="276" w:lineRule="auto"/>
              <w:jc w:val="center"/>
              <w:rPr>
                <w:b/>
                <w:color w:val="000000" w:themeColor="text1"/>
                <w:sz w:val="16"/>
                <w:szCs w:val="16"/>
              </w:rPr>
            </w:pPr>
            <w:r>
              <w:rPr>
                <w:b/>
                <w:color w:val="000000" w:themeColor="text1"/>
                <w:sz w:val="16"/>
                <w:szCs w:val="16"/>
              </w:rPr>
              <w:t>2261</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6F5581A1" w14:textId="2A82E11C" w:rsidR="00E94F57" w:rsidRPr="00091AB5" w:rsidRDefault="002B72FB" w:rsidP="00A35F01">
            <w:pPr>
              <w:widowControl w:val="0"/>
              <w:pBdr>
                <w:top w:val="nil"/>
                <w:left w:val="nil"/>
                <w:bottom w:val="nil"/>
                <w:right w:val="nil"/>
                <w:between w:val="nil"/>
              </w:pBdr>
              <w:spacing w:line="276" w:lineRule="auto"/>
              <w:jc w:val="center"/>
              <w:rPr>
                <w:b/>
                <w:color w:val="000000" w:themeColor="text1"/>
                <w:sz w:val="16"/>
                <w:szCs w:val="16"/>
              </w:rPr>
            </w:pPr>
            <w:r>
              <w:rPr>
                <w:b/>
                <w:color w:val="000000" w:themeColor="text1"/>
                <w:sz w:val="16"/>
                <w:szCs w:val="16"/>
              </w:rPr>
              <w:t>1857</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3E5AF41A"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381</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4253519A"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-2024</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116E57B7"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-103</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5127C7FE"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-4766</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7E30442B"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891</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1CB43137"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-5214</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47D0CDBE"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1809</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3071C5CB"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-1201</w:t>
            </w:r>
          </w:p>
        </w:tc>
      </w:tr>
      <w:tr w:rsidR="00E94F57" w14:paraId="710BDC72" w14:textId="77777777" w:rsidTr="00A35F01">
        <w:trPr>
          <w:trHeight w:val="500"/>
        </w:trPr>
        <w:tc>
          <w:tcPr>
            <w:tcW w:w="1875" w:type="dxa"/>
            <w:vMerge/>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694B453F" w14:textId="77777777" w:rsidR="00E94F57" w:rsidRPr="00091AB5" w:rsidRDefault="00E94F57" w:rsidP="00A35F01">
            <w:pPr>
              <w:widowControl w:val="0"/>
              <w:pBdr>
                <w:top w:val="nil"/>
                <w:left w:val="nil"/>
                <w:bottom w:val="nil"/>
                <w:right w:val="nil"/>
                <w:between w:val="nil"/>
              </w:pBdr>
              <w:jc w:val="center"/>
              <w:rPr>
                <w:color w:val="000000" w:themeColor="text1"/>
                <w:sz w:val="16"/>
                <w:szCs w:val="16"/>
              </w:rPr>
            </w:pP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07AC7E7F"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QRW</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7F7D843B"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19</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0D46D12F"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-1272</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70D3B464"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422</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04BC42A3"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-1841</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455526AE"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537</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6EB9B547"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-1498</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656C5D5A"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891</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09462994"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-5214</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63B5CB1C"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560</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503DE1CA"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-1640</w:t>
            </w:r>
          </w:p>
        </w:tc>
      </w:tr>
      <w:tr w:rsidR="00E94F57" w14:paraId="5AF2C24B" w14:textId="77777777" w:rsidTr="00A35F01">
        <w:trPr>
          <w:trHeight w:val="500"/>
        </w:trPr>
        <w:tc>
          <w:tcPr>
            <w:tcW w:w="1875" w:type="dxa"/>
            <w:vMerge w:val="restart"/>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6F14E7FD" w14:textId="77777777" w:rsidR="00E94F57" w:rsidRPr="00FD5B7B"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CH</w:t>
            </w:r>
            <w:r>
              <w:rPr>
                <w:b/>
                <w:color w:val="000000" w:themeColor="text1"/>
                <w:sz w:val="16"/>
                <w:szCs w:val="16"/>
                <w:vertAlign w:val="subscript"/>
              </w:rPr>
              <w:t>4</w:t>
            </w:r>
          </w:p>
          <w:p w14:paraId="1014C861"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(Mt CH</w:t>
            </w:r>
            <w:r w:rsidRPr="00FD5B7B">
              <w:rPr>
                <w:b/>
                <w:color w:val="000000" w:themeColor="text1"/>
                <w:sz w:val="16"/>
                <w:szCs w:val="16"/>
                <w:vertAlign w:val="subscript"/>
              </w:rPr>
              <w:t>4</w:t>
            </w:r>
            <w:r>
              <w:rPr>
                <w:b/>
                <w:color w:val="000000" w:themeColor="text1"/>
                <w:sz w:val="16"/>
                <w:szCs w:val="16"/>
              </w:rPr>
              <w:t xml:space="preserve"> / yr</w:t>
            </w:r>
            <w:r w:rsidRPr="00091AB5">
              <w:rPr>
                <w:b/>
                <w:color w:val="000000" w:themeColor="text1"/>
                <w:sz w:val="16"/>
                <w:szCs w:val="16"/>
              </w:rPr>
              <w:t>)</w:t>
            </w:r>
          </w:p>
          <w:p w14:paraId="0857E145" w14:textId="77777777" w:rsidR="00E94F57" w:rsidRPr="00091AB5" w:rsidRDefault="00E94F57" w:rsidP="00A35F01">
            <w:pPr>
              <w:widowControl w:val="0"/>
              <w:spacing w:line="276" w:lineRule="auto"/>
              <w:jc w:val="center"/>
              <w:rPr>
                <w:b/>
                <w:color w:val="000000" w:themeColor="text1"/>
                <w:sz w:val="16"/>
                <w:szCs w:val="16"/>
              </w:rPr>
            </w:pPr>
          </w:p>
          <w:p w14:paraId="2E69D81A" w14:textId="77777777" w:rsidR="00E94F57" w:rsidRPr="00091AB5" w:rsidRDefault="00E94F57" w:rsidP="00A35F01">
            <w:pPr>
              <w:widowControl w:val="0"/>
              <w:spacing w:line="276" w:lineRule="auto"/>
              <w:jc w:val="center"/>
              <w:rPr>
                <w:b/>
                <w:color w:val="000000" w:themeColor="text1"/>
                <w:sz w:val="16"/>
                <w:szCs w:val="16"/>
              </w:rPr>
            </w:pP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2D943497"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EQW</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29B241D9"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217</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3694F621"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112</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0BB310BB"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261</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6F958702"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190</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566956F4"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275</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2239B8F7"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146</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1B79ABE8"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426</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25C4A465"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281</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03E38A9D"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276</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4B496D4B"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206</w:t>
            </w:r>
          </w:p>
        </w:tc>
      </w:tr>
      <w:tr w:rsidR="00E94F57" w14:paraId="1952D8C5" w14:textId="77777777" w:rsidTr="00A35F01">
        <w:trPr>
          <w:trHeight w:val="500"/>
        </w:trPr>
        <w:tc>
          <w:tcPr>
            <w:tcW w:w="1875" w:type="dxa"/>
            <w:vMerge/>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2E148E3D" w14:textId="77777777" w:rsidR="00E94F57" w:rsidRPr="00091AB5" w:rsidRDefault="00E94F57" w:rsidP="00A35F01">
            <w:pPr>
              <w:widowControl w:val="0"/>
              <w:pBdr>
                <w:top w:val="nil"/>
                <w:left w:val="nil"/>
                <w:bottom w:val="nil"/>
                <w:right w:val="nil"/>
                <w:between w:val="nil"/>
              </w:pBdr>
              <w:jc w:val="center"/>
              <w:rPr>
                <w:b/>
                <w:color w:val="000000" w:themeColor="text1"/>
                <w:sz w:val="16"/>
                <w:szCs w:val="16"/>
              </w:rPr>
            </w:pP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65A18F94"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RMS</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020DFD4E" w14:textId="3DA8CF88"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w:t>
            </w:r>
            <w:r w:rsidR="006170E5">
              <w:rPr>
                <w:b/>
                <w:color w:val="000000" w:themeColor="text1"/>
                <w:sz w:val="16"/>
                <w:szCs w:val="16"/>
              </w:rPr>
              <w:t>55</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6DBB5952" w14:textId="777F713A" w:rsidR="00E94F57" w:rsidRPr="00091AB5" w:rsidRDefault="006170E5" w:rsidP="00A35F01">
            <w:pPr>
              <w:widowControl w:val="0"/>
              <w:pBdr>
                <w:top w:val="nil"/>
                <w:left w:val="nil"/>
                <w:bottom w:val="nil"/>
                <w:right w:val="nil"/>
                <w:between w:val="nil"/>
              </w:pBdr>
              <w:spacing w:line="276" w:lineRule="auto"/>
              <w:jc w:val="center"/>
              <w:rPr>
                <w:b/>
                <w:color w:val="000000" w:themeColor="text1"/>
                <w:sz w:val="16"/>
                <w:szCs w:val="16"/>
              </w:rPr>
            </w:pPr>
            <w:r>
              <w:rPr>
                <w:b/>
                <w:color w:val="000000" w:themeColor="text1"/>
                <w:sz w:val="16"/>
                <w:szCs w:val="16"/>
              </w:rPr>
              <w:t>190</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475EA3A4"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259</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14B896EF"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210</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088305D3"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283</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25832F91"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214</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34C4A531"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426</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770228A2"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281</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28DDB4E8"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234</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5C71EB0A"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177</w:t>
            </w:r>
          </w:p>
        </w:tc>
      </w:tr>
      <w:tr w:rsidR="00E94F57" w14:paraId="152D36AC" w14:textId="77777777" w:rsidTr="00A35F01">
        <w:trPr>
          <w:trHeight w:val="500"/>
        </w:trPr>
        <w:tc>
          <w:tcPr>
            <w:tcW w:w="1875" w:type="dxa"/>
            <w:vMerge/>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1A52B3E4" w14:textId="77777777" w:rsidR="00E94F57" w:rsidRPr="00091AB5" w:rsidRDefault="00E94F57" w:rsidP="00A35F01">
            <w:pPr>
              <w:widowControl w:val="0"/>
              <w:pBdr>
                <w:top w:val="nil"/>
                <w:left w:val="nil"/>
                <w:bottom w:val="nil"/>
                <w:right w:val="nil"/>
                <w:between w:val="nil"/>
              </w:pBdr>
              <w:jc w:val="center"/>
              <w:rPr>
                <w:b/>
                <w:color w:val="000000" w:themeColor="text1"/>
                <w:sz w:val="16"/>
                <w:szCs w:val="16"/>
              </w:rPr>
            </w:pP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71CBFFC0"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QRW</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3A1F655B"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248</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61803098"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193</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0DD51D93"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273</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43DC4886"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199</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74D71864"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284</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7ACF9AC0"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195</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0970C3A5"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426</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460E4936"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281</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2D1B8644"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286</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tcPr>
          <w:p w14:paraId="13FABCE4"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203</w:t>
            </w:r>
          </w:p>
        </w:tc>
      </w:tr>
      <w:tr w:rsidR="00E94F57" w14:paraId="5D05D658" w14:textId="77777777" w:rsidTr="00A35F01">
        <w:trPr>
          <w:trHeight w:val="500"/>
        </w:trPr>
        <w:tc>
          <w:tcPr>
            <w:tcW w:w="1875" w:type="dxa"/>
            <w:vMerge w:val="restart"/>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02970EAC"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FD5B7B">
              <w:rPr>
                <w:b/>
                <w:color w:val="000000" w:themeColor="text1"/>
                <w:sz w:val="16"/>
                <w:szCs w:val="16"/>
              </w:rPr>
              <w:t>N</w:t>
            </w:r>
            <w:r w:rsidRPr="00FD5B7B">
              <w:rPr>
                <w:b/>
                <w:color w:val="000000" w:themeColor="text1"/>
                <w:sz w:val="16"/>
                <w:szCs w:val="16"/>
                <w:vertAlign w:val="subscript"/>
              </w:rPr>
              <w:t>2</w:t>
            </w:r>
            <w:r w:rsidRPr="00FD5B7B">
              <w:rPr>
                <w:b/>
                <w:color w:val="000000" w:themeColor="text1"/>
                <w:sz w:val="16"/>
                <w:szCs w:val="16"/>
              </w:rPr>
              <w:t>O</w:t>
            </w:r>
          </w:p>
          <w:p w14:paraId="781A9A13"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(kt N</w:t>
            </w:r>
            <w:r w:rsidRPr="00FD5B7B">
              <w:rPr>
                <w:b/>
                <w:color w:val="000000" w:themeColor="text1"/>
                <w:sz w:val="16"/>
                <w:szCs w:val="16"/>
                <w:vertAlign w:val="subscript"/>
              </w:rPr>
              <w:t>2</w:t>
            </w:r>
            <w:r w:rsidRPr="00091AB5">
              <w:rPr>
                <w:b/>
                <w:color w:val="000000" w:themeColor="text1"/>
                <w:sz w:val="16"/>
                <w:szCs w:val="16"/>
              </w:rPr>
              <w:t>O</w:t>
            </w:r>
            <w:r>
              <w:rPr>
                <w:b/>
                <w:color w:val="000000" w:themeColor="text1"/>
                <w:sz w:val="16"/>
                <w:szCs w:val="16"/>
              </w:rPr>
              <w:t xml:space="preserve"> / yr</w:t>
            </w:r>
            <w:r w:rsidRPr="00091AB5">
              <w:rPr>
                <w:b/>
                <w:color w:val="000000" w:themeColor="text1"/>
                <w:sz w:val="16"/>
                <w:szCs w:val="16"/>
              </w:rPr>
              <w:t>)</w:t>
            </w:r>
          </w:p>
          <w:p w14:paraId="2F95B095" w14:textId="77777777" w:rsidR="00E94F57" w:rsidRPr="00091AB5" w:rsidRDefault="00E94F57" w:rsidP="00A35F01">
            <w:pPr>
              <w:widowControl w:val="0"/>
              <w:spacing w:line="276" w:lineRule="auto"/>
              <w:jc w:val="center"/>
              <w:rPr>
                <w:b/>
                <w:color w:val="000000" w:themeColor="text1"/>
                <w:sz w:val="16"/>
                <w:szCs w:val="16"/>
              </w:rPr>
            </w:pPr>
          </w:p>
          <w:p w14:paraId="1CA42144" w14:textId="77777777" w:rsidR="00E94F57" w:rsidRPr="00091AB5" w:rsidRDefault="00E94F57" w:rsidP="00A35F01">
            <w:pPr>
              <w:widowControl w:val="0"/>
              <w:spacing w:line="276" w:lineRule="auto"/>
              <w:jc w:val="center"/>
              <w:rPr>
                <w:b/>
                <w:color w:val="000000" w:themeColor="text1"/>
                <w:sz w:val="16"/>
                <w:szCs w:val="16"/>
              </w:rPr>
            </w:pP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5F9CFF13"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EQW</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24F25FC9"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7329</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01515A5F"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5490</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29049267"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9250</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2F71537C"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7948</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299C87C3"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9657</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75111F83"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6596</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2CF2DAB7"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12573</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7BBD72EC"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11813</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2DEEBCC6"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9657</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3ACCC748"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8596</w:t>
            </w:r>
          </w:p>
        </w:tc>
      </w:tr>
      <w:tr w:rsidR="00E94F57" w14:paraId="454F4DC4" w14:textId="77777777" w:rsidTr="00A35F01">
        <w:trPr>
          <w:trHeight w:val="500"/>
        </w:trPr>
        <w:tc>
          <w:tcPr>
            <w:tcW w:w="1875" w:type="dxa"/>
            <w:vMerge/>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43FCC8DB" w14:textId="77777777" w:rsidR="00E94F57" w:rsidRPr="00091AB5" w:rsidRDefault="00E94F57" w:rsidP="00A35F01">
            <w:pPr>
              <w:widowControl w:val="0"/>
              <w:pBdr>
                <w:top w:val="nil"/>
                <w:left w:val="nil"/>
                <w:bottom w:val="nil"/>
                <w:right w:val="nil"/>
                <w:between w:val="nil"/>
              </w:pBdr>
              <w:jc w:val="center"/>
              <w:rPr>
                <w:color w:val="000000" w:themeColor="text1"/>
                <w:sz w:val="16"/>
                <w:szCs w:val="16"/>
              </w:rPr>
            </w:pP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53B2600F"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RMS</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7D1C0BDE" w14:textId="743E533E" w:rsidR="00E94F57" w:rsidRPr="00091AB5" w:rsidRDefault="006170E5" w:rsidP="00A35F01">
            <w:pPr>
              <w:widowControl w:val="0"/>
              <w:pBdr>
                <w:top w:val="nil"/>
                <w:left w:val="nil"/>
                <w:bottom w:val="nil"/>
                <w:right w:val="nil"/>
                <w:between w:val="nil"/>
              </w:pBdr>
              <w:spacing w:line="276" w:lineRule="auto"/>
              <w:jc w:val="center"/>
              <w:rPr>
                <w:b/>
                <w:color w:val="000000" w:themeColor="text1"/>
                <w:sz w:val="16"/>
                <w:szCs w:val="16"/>
              </w:rPr>
            </w:pPr>
            <w:r>
              <w:rPr>
                <w:b/>
                <w:color w:val="000000" w:themeColor="text1"/>
                <w:sz w:val="16"/>
                <w:szCs w:val="16"/>
              </w:rPr>
              <w:t>9042</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38003D7C" w14:textId="3F2D181A" w:rsidR="00E94F57" w:rsidRPr="00091AB5" w:rsidRDefault="006170E5" w:rsidP="00A35F01">
            <w:pPr>
              <w:widowControl w:val="0"/>
              <w:pBdr>
                <w:top w:val="nil"/>
                <w:left w:val="nil"/>
                <w:bottom w:val="nil"/>
                <w:right w:val="nil"/>
                <w:between w:val="nil"/>
              </w:pBdr>
              <w:spacing w:line="276" w:lineRule="auto"/>
              <w:jc w:val="center"/>
              <w:rPr>
                <w:b/>
                <w:color w:val="000000" w:themeColor="text1"/>
                <w:sz w:val="16"/>
                <w:szCs w:val="16"/>
              </w:rPr>
            </w:pPr>
            <w:r>
              <w:rPr>
                <w:b/>
                <w:color w:val="000000" w:themeColor="text1"/>
                <w:sz w:val="16"/>
                <w:szCs w:val="16"/>
              </w:rPr>
              <w:t>9404</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7C437F02"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9460</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446C5C13"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8830</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0C15118F"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9939</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1F4F4775"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9149</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3F75294C"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12573</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0CBE21A1"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11813</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751CC8DE"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6841</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6C52F35E"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7707</w:t>
            </w:r>
          </w:p>
        </w:tc>
      </w:tr>
      <w:tr w:rsidR="00E94F57" w14:paraId="465EA840" w14:textId="77777777" w:rsidTr="00A35F01">
        <w:trPr>
          <w:trHeight w:val="500"/>
        </w:trPr>
        <w:tc>
          <w:tcPr>
            <w:tcW w:w="1875" w:type="dxa"/>
            <w:vMerge/>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0E673258" w14:textId="77777777" w:rsidR="00E94F57" w:rsidRPr="00091AB5" w:rsidRDefault="00E94F57" w:rsidP="00A35F01">
            <w:pPr>
              <w:widowControl w:val="0"/>
              <w:pBdr>
                <w:top w:val="nil"/>
                <w:left w:val="nil"/>
                <w:bottom w:val="nil"/>
                <w:right w:val="nil"/>
                <w:between w:val="nil"/>
              </w:pBdr>
              <w:jc w:val="center"/>
              <w:rPr>
                <w:color w:val="000000" w:themeColor="text1"/>
                <w:sz w:val="16"/>
                <w:szCs w:val="16"/>
              </w:rPr>
            </w:pP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28032127"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QRW</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1B1B9E13"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8974</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0D8C0EA1"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8287</w:t>
            </w:r>
          </w:p>
        </w:tc>
        <w:tc>
          <w:tcPr>
            <w:tcW w:w="658"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5119F427"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9674</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6BB868D0"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8214</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1C99DBF1"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9877</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55976113"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8175</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2B73FC68"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12573</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1BA6E7D7"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11813</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6D18F693"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9917</w:t>
            </w:r>
          </w:p>
        </w:tc>
        <w:tc>
          <w:tcPr>
            <w:tcW w:w="659" w:type="dxa"/>
            <w:tcBorders>
              <w:top w:val="single" w:sz="4" w:space="0" w:color="auto"/>
              <w:left w:val="single" w:sz="4" w:space="0" w:color="auto"/>
              <w:bottom w:val="single" w:sz="4" w:space="0" w:color="auto"/>
              <w:right w:val="single" w:sz="4" w:space="0" w:color="auto"/>
            </w:tcBorders>
            <w:shd w:val="clear" w:color="auto" w:fill="DCEBF8"/>
            <w:tcMar>
              <w:top w:w="100" w:type="dxa"/>
              <w:left w:w="100" w:type="dxa"/>
              <w:bottom w:w="100" w:type="dxa"/>
              <w:right w:w="100" w:type="dxa"/>
            </w:tcMar>
            <w:vAlign w:val="center"/>
          </w:tcPr>
          <w:p w14:paraId="71B84C93" w14:textId="77777777" w:rsidR="00E94F57" w:rsidRPr="00091AB5" w:rsidRDefault="00E94F57" w:rsidP="00A35F01">
            <w:pPr>
              <w:widowControl w:val="0"/>
              <w:pBdr>
                <w:top w:val="nil"/>
                <w:left w:val="nil"/>
                <w:bottom w:val="nil"/>
                <w:right w:val="nil"/>
                <w:between w:val="nil"/>
              </w:pBdr>
              <w:spacing w:line="276" w:lineRule="auto"/>
              <w:jc w:val="center"/>
              <w:rPr>
                <w:b/>
                <w:color w:val="000000" w:themeColor="text1"/>
                <w:sz w:val="16"/>
                <w:szCs w:val="16"/>
              </w:rPr>
            </w:pPr>
            <w:r w:rsidRPr="00091AB5">
              <w:rPr>
                <w:b/>
                <w:color w:val="000000" w:themeColor="text1"/>
                <w:sz w:val="16"/>
                <w:szCs w:val="16"/>
              </w:rPr>
              <w:t>8376</w:t>
            </w:r>
          </w:p>
        </w:tc>
      </w:tr>
    </w:tbl>
    <w:p w14:paraId="38697B0A" w14:textId="77777777" w:rsidR="00E94F57" w:rsidRDefault="00E94F57" w:rsidP="00E94F57"/>
    <w:p w14:paraId="41A1F5AA" w14:textId="0629AC89" w:rsidR="00E94F57" w:rsidRDefault="00D24434" w:rsidP="00E94F57">
      <w:r>
        <w:t>T</w:t>
      </w:r>
      <w:r w:rsidR="00E94F57">
        <w:t>here is strong uncertainty in the infilled gases for the Equinor Rebalance and IEA NZE scenarios, depending on the method selected to derive the relationship between the lead gas (CO2 emissions from energy and industrial processes) and the infilled gases. In this section, we evaluate the uncertainty for the CH</w:t>
      </w:r>
      <w:r w:rsidR="00E94F57">
        <w:rPr>
          <w:vertAlign w:val="subscript"/>
        </w:rPr>
        <w:t>4</w:t>
      </w:r>
      <w:r w:rsidR="00E94F57">
        <w:t xml:space="preserve"> and N</w:t>
      </w:r>
      <w:r w:rsidR="00E94F57" w:rsidRPr="00D347F6">
        <w:rPr>
          <w:vertAlign w:val="subscript"/>
        </w:rPr>
        <w:t>2</w:t>
      </w:r>
      <w:r w:rsidR="00E94F57">
        <w:t xml:space="preserve">O emissions (as an example). </w:t>
      </w:r>
    </w:p>
    <w:p w14:paraId="7D5A5C16" w14:textId="77777777" w:rsidR="00E94F57" w:rsidRDefault="00E94F57" w:rsidP="00E94F57"/>
    <w:p w14:paraId="0E8BB653" w14:textId="2B7F1FA6" w:rsidR="00E94F57" w:rsidRDefault="00327901" w:rsidP="00E94F57">
      <w:pPr>
        <w:keepNext/>
      </w:pPr>
      <w:r>
        <w:rPr>
          <w:noProof/>
        </w:rPr>
        <w:lastRenderedPageBreak/>
        <w:drawing>
          <wp:inline distT="0" distB="0" distL="0" distR="0" wp14:anchorId="46EDF799" wp14:editId="0E1B9BC1">
            <wp:extent cx="5759450" cy="4622165"/>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4622165"/>
                    </a:xfrm>
                    <a:prstGeom prst="rect">
                      <a:avLst/>
                    </a:prstGeom>
                  </pic:spPr>
                </pic:pic>
              </a:graphicData>
            </a:graphic>
          </wp:inline>
        </w:drawing>
      </w:r>
    </w:p>
    <w:p w14:paraId="20DE4B39" w14:textId="77777777" w:rsidR="00E94F57" w:rsidRDefault="00E94F57" w:rsidP="009D1212">
      <w:pPr>
        <w:pStyle w:val="CaptionFigure"/>
      </w:pPr>
      <w:r w:rsidRPr="00A21F67">
        <w:rPr>
          <w:b/>
          <w:bCs/>
        </w:rPr>
        <w:t>Figure S</w:t>
      </w:r>
      <w:r w:rsidRPr="00A21F67">
        <w:rPr>
          <w:b/>
          <w:bCs/>
        </w:rPr>
        <w:fldChar w:fldCharType="begin"/>
      </w:r>
      <w:r w:rsidRPr="00A21F67">
        <w:rPr>
          <w:b/>
          <w:bCs/>
        </w:rPr>
        <w:instrText xml:space="preserve"> SEQ Figure_S \* ARABIC </w:instrText>
      </w:r>
      <w:r w:rsidRPr="00A21F67">
        <w:rPr>
          <w:b/>
          <w:bCs/>
        </w:rPr>
        <w:fldChar w:fldCharType="separate"/>
      </w:r>
      <w:r w:rsidRPr="00A21F67">
        <w:rPr>
          <w:b/>
          <w:bCs/>
          <w:noProof/>
        </w:rPr>
        <w:t>1</w:t>
      </w:r>
      <w:r w:rsidRPr="00A21F67">
        <w:rPr>
          <w:b/>
          <w:bCs/>
        </w:rPr>
        <w:fldChar w:fldCharType="end"/>
      </w:r>
      <w:r>
        <w:t>: Effect of the infilling method for a given lead gas for (a – c) IEA NZE scenario and (d – f) Equinor Rebalance scenario</w:t>
      </w:r>
    </w:p>
    <w:p w14:paraId="3DCC32BC" w14:textId="77777777" w:rsidR="009D1212" w:rsidRDefault="009D1212" w:rsidP="00E94F57"/>
    <w:p w14:paraId="0AF87E9C" w14:textId="6CE901E4" w:rsidR="00E94F57" w:rsidRPr="00EE27FA" w:rsidRDefault="00E94F57" w:rsidP="00E94F57">
      <w:r w:rsidRPr="00B972A0">
        <w:t>The</w:t>
      </w:r>
      <w:r>
        <w:t xml:space="preserve"> RMS pathway selection method can lead to the infilling of relatively extreme emissions that are not necessarily driven by the lead gas. The IEA NZE scenario demonstrates this – while the lead gas emissions drop steeply, the pathway that is selected has relatively high N</w:t>
      </w:r>
      <w:r>
        <w:rPr>
          <w:vertAlign w:val="subscript"/>
        </w:rPr>
        <w:t>2</w:t>
      </w:r>
      <w:r>
        <w:t>O emissions (</w:t>
      </w:r>
      <w:r w:rsidRPr="00A35564">
        <w:rPr>
          <w:i/>
          <w:iCs/>
        </w:rPr>
        <w:t>rms</w:t>
      </w:r>
      <w:r>
        <w:t xml:space="preserve"> line in Figure S1b and c) that indicate a model-specific result. A similar effect is observed for the corresponding emissions for the Equinor Rebalance scenario. On the other hand, the EQW method’s inherent assumption of monotonicity can lead to large reductions in the infilled gas without a clear correlation to the lead gas reduction – we see this in the stringent CH</w:t>
      </w:r>
      <w:r>
        <w:rPr>
          <w:vertAlign w:val="subscript"/>
        </w:rPr>
        <w:t>4</w:t>
      </w:r>
      <w:r>
        <w:t xml:space="preserve"> reductions in the IEA NZE scenario in panel b (for more details see </w:t>
      </w:r>
      <w:r w:rsidR="00512873">
        <w:t>previously published</w:t>
      </w:r>
      <w:r>
        <w:t xml:space="preserve"> discussion </w:t>
      </w:r>
      <w:r w:rsidR="00512873">
        <w:t>of the methods</w:t>
      </w:r>
      <w:r>
        <w:fldChar w:fldCharType="begin" w:fldLock="1"/>
      </w:r>
      <w:r>
        <w:instrText>ADDIN CSL_CITATION {"citationItems":[{"id":"ITEM-1","itemData":{"DOI":"10.5194/gmd-13-5259-2020","ISSN":"19919603","abstract":"Integrated assessment models (IAMs) project future anthropogenic emissions which can be used as input for climate models. However, the full list of climate-relevant emissions is lengthy and most IAMs do not model all of them. Here we present Silicone, an open-source Python package which infers anthropogenic emissions of unmodelled species based on other reported emissions projections. For example, it can infer nitrous oxide emissions in one scenario based on carbon dioxide emissions from that scenario plus the relationship between nitrous oxide and carbon dioxide emissions found in other scenarios. Infilling broadens the range of IAMs available for exploring projections of future climate change, and hence Silicone forms part of the opensource pipeline for assessments of the climate implications of IAM scenarios, led by the Integrated Assessment Modelling Consortium (IAMC). This paper presents a variety of infilling options and outlines their suitability for different cases. We recommend certain infilling techniques as good defaults but emphasise that considering the specifics of the model being infilled will produce better results. We demonstrate the package's utility with three examples: infilling all required gases for a pathway with data for only one emission species, splitting up a Kyoto emissions total into separate gases, and complementing a set of idealised emissions curves to provide a complete, consistent emissions portfolio. The code and notebooks explaining details of the package and how to use it are available on GitHub (https://github.com/GranthamImperial/silicone, last access: 2 November 2020). The repository with this paper's examples and uses of the code to complement existing research is available at https://github.com/GranthamImperial/silicone_examples (last access: 2 November 2020).","author":[{"dropping-particle":"","family":"Lamboll","given":"Robin D.","non-dropping-particle":"","parse-names":false,"suffix":""},{"dropping-particle":"","family":"Nicholls","given":"Zebedee R.J.","non-dropping-particle":"","parse-names":false,"suffix":""},{"dropping-particle":"","family":"Kikstra","given":"Jarmo S.","non-dropping-particle":"","parse-names":false,"suffix":""},{"dropping-particle":"","family":"Meinshausen","given":"Malte","non-dropping-particle":"","parse-names":false,"suffix":""},{"dropping-particle":"","family":"Rogelj","given":"Joeri","non-dropping-particle":"","parse-names":false,"suffix":""}],"container-title":"Geoscientific Model Development","id":"ITEM-1","issue":"11","issued":{"date-parts":[["2020"]]},"page":"5259-5275","title":"Silicone v1.0.0: An open-source Python package for inferring missing emissions data for climate change research","type":"article-journal","volume":"13"},"uris":["http://www.mendeley.com/documents/?uuid=f4a5606a-2001-42c1-83f8-7bdcf7dc4bd7"]}],"mendeley":{"formattedCitation":"&lt;sup&gt;19&lt;/sup&gt;","plainTextFormattedCitation":"19","previouslyFormattedCitation":"&lt;sup&gt;19&lt;/sup&gt;"},"properties":{"noteIndex":0},"schema":"https://github.com/citation-style-language/schema/raw/master/csl-citation.json"}</w:instrText>
      </w:r>
      <w:r>
        <w:fldChar w:fldCharType="separate"/>
      </w:r>
      <w:r w:rsidRPr="00D356F1">
        <w:rPr>
          <w:noProof/>
          <w:vertAlign w:val="superscript"/>
        </w:rPr>
        <w:t>19</w:t>
      </w:r>
      <w:r>
        <w:fldChar w:fldCharType="end"/>
      </w:r>
      <w:r>
        <w:t>). Hence as a default case for the main results, we select the Quantile Rolling Windows (QRW) approach to provide a balanced and consistent approach to infer the missing emissions.</w:t>
      </w:r>
    </w:p>
    <w:p w14:paraId="7A1DE349" w14:textId="77777777" w:rsidR="00E94F57" w:rsidRPr="00B972A0" w:rsidRDefault="00E94F57" w:rsidP="00E94F57"/>
    <w:p w14:paraId="67A565B2" w14:textId="77777777" w:rsidR="00E94F57" w:rsidRPr="000A093D" w:rsidRDefault="00E94F57" w:rsidP="00E94F57"/>
    <w:p w14:paraId="03F67D96" w14:textId="77777777" w:rsidR="00C81D9A" w:rsidRDefault="00C81D9A" w:rsidP="00B62B8F">
      <w:pPr>
        <w:pStyle w:val="Heading3"/>
        <w:sectPr w:rsidR="00C81D9A">
          <w:pgSz w:w="11906" w:h="16838"/>
          <w:pgMar w:top="1418" w:right="1418" w:bottom="1418" w:left="1418" w:header="709" w:footer="709" w:gutter="0"/>
          <w:cols w:space="720"/>
        </w:sectPr>
      </w:pPr>
    </w:p>
    <w:p w14:paraId="6EFEC420" w14:textId="54B4DFD2" w:rsidR="00F36564" w:rsidRDefault="00F36564" w:rsidP="00F36564">
      <w:pPr>
        <w:pStyle w:val="Heading3"/>
        <w:numPr>
          <w:ilvl w:val="0"/>
          <w:numId w:val="34"/>
        </w:numPr>
      </w:pPr>
      <w:bookmarkStart w:id="4" w:name="_Toc72859589"/>
      <w:r>
        <w:lastRenderedPageBreak/>
        <w:t>Climate assessment – key characteristics of the pathways</w:t>
      </w:r>
      <w:bookmarkEnd w:id="4"/>
    </w:p>
    <w:p w14:paraId="236E4BB0" w14:textId="77777777" w:rsidR="007D5E53" w:rsidRDefault="007D5E53" w:rsidP="007D5E53"/>
    <w:p w14:paraId="3D6C0C91" w14:textId="77777777" w:rsidR="00C64BE7" w:rsidRDefault="00C64BE7" w:rsidP="00C64BE7">
      <w:r>
        <w:t>The categorisation of pathways on the basis of their climate impact follows the categorisation scheme adopted in SR1.5</w:t>
      </w:r>
      <w:r>
        <w:fldChar w:fldCharType="begin" w:fldLock="1"/>
      </w:r>
      <w:r>
        <w:instrText>ADDIN CSL_CITATION {"citationItems":[{"id":"ITEM-1","itemData":{"author":[{"dropping-particle":"","family":"Rogelj","given":"J","non-dropping-particle":"","parse-names":false,"suffix":""},{"dropping-particle":"","family":"Shindell","given":"D.","non-dropping-particle":"","parse-names":false,"suffix":""},{"dropping-particle":"","family":"Jiang","given":"K.","non-dropping-particle":"","parse-names":false,"suffix":""},{"dropping-particle":"","family":"Fifita","given":"S.","non-dropping-particle":"","parse-names":false,"suffix":""},{"dropping-particle":"","family":"Forster","given":"P.","non-dropping-particle":"","parse-names":false,"suffix":""},{"dropping-particle":"","family":"Ginzburg","given":"V.","non-dropping-particle":"","parse-names":false,"suffix":""},{"dropping-particle":"","family":"Handa","given":"C.","non-dropping-particle":"","parse-names":false,"suffix":""},{"dropping-particle":"","family":"Kheshgi","given":"H.","non-dropping-particle":"","parse-names":false,"suffix":""},{"dropping-particle":"","family":"Kobayashi","given":"S.","non-dropping-particle":"","parse-names":false,"suffix":""},{"dropping-particle":"","family":"Kriegler","given":"E.","non-dropping-particle":"","parse-names":false,"suffix":""},{"dropping-particle":"","family":"Mundaca","given":"L.","non-dropping-particle":"","parse-names":false,"suffix":""},{"dropping-particle":"","family":"Séférian","given":"R.","non-dropping-particle":"","parse-names":false,"suffix":""},{"dropping-particle":"","family":"Vilariño","given":"M.V.","non-dropping-particle":"","parse-names":false,"suffix":""}],"chapter-number":"2","container-title":"Global Warming of 1.5°C. An IPCC Special Report on the impacts of global warming of 1.5°C above pre-industrial levels and related global greenhouse gas emission pathways, in the context of strengthening the global response to the threat of climate change","editor":[{"dropping-particle":"","family":"Masson-Delmotte","given":"V.","non-dropping-particle":"","parse-names":false,"suffix":""},{"dropping-particle":"","family":"Zhai","given":"P.","non-dropping-particle":"","parse-names":false,"suffix":""},{"dropping-particle":"","family":"Pörtner","given":"H.-O.","non-dropping-particle":"","parse-names":false,"suffix":""},{"dropping-particle":"","family":"Roberts","given":"D.","non-dropping-particle":"","parse-names":false,"suffix":""},{"dropping-particle":"","family":"Skea","given":"J.","non-dropping-particle":"","parse-names":false,"suffix":""},{"dropping-particle":"","family":"Shukla","given":"P.R.","non-dropping-particle":"","parse-names":false,"suffix":""},{"dropping-particle":"","family":"Pirani","given":"A.","non-dropping-particle":"","parse-names":false,"suffix":""},{"dropping-particle":"","family":"Moufouma-Okia","given":"W.","non-dropping-particle":"","parse-names":false,"suffix":""},{"dropping-particle":"","family":"Péan","given":"C.","non-dropping-particle":"","parse-names":false,"suffix":""},{"dropping-particle":"","family":"Pidcock","given":"R.","non-dropping-particle":"","parse-names":false,"suffix":""},{"dropping-particle":"","family":"Connors","given":"S.","non-dropping-particle":"","parse-names":false,"suffix":""},{"dropping-particle":"","family":"Matthews","given":"J.B.R.","non-dropping-particle":"","parse-names":false,"suffix":""},{"dropping-particle":"","family":"Chen","given":"Y.","non-dropping-particle":"","parse-names":false,"suffix":""},{"dropping-particle":"","family":"Zhou","given":"X.","non-dropping-particle":"","parse-names":false,"suffix":""},{"dropping-particle":"","family":"Gomis","given":"M.I.","non-dropping-particle":"","parse-names":false,"suffix":""},{"dropping-particle":"","family":"Lonnoy","given":"E.","non-dropping-particle":"","parse-names":false,"suffix":""},{"dropping-particle":"","family":"Maycock","given":"T.","non-dropping-particle":"","parse-names":false,"suffix":""},{"dropping-particle":"","family":"Tignor","given":"M.","non-dropping-particle":"","parse-names":false,"suffix":""},{"dropping-particle":"","family":"Waterfield","given":"T.","non-dropping-particle":"","parse-names":false,"suffix":""}],"id":"ITEM-1","issued":{"date-parts":[["2018"]]},"publisher":"IPCC","publisher-place":"Geneva, Switzerland","title":"Chapter 2: Mitigation Pathways Compatible with 1.5°C in the Context of Sustainable Development","type":"chapter"},"uris":["http://www.mendeley.com/documents/?uuid=da53c3a2-de74-482e-a6e3-559e3f68754f"]}],"mendeley":{"formattedCitation":"&lt;sup&gt;63&lt;/sup&gt;","plainTextFormattedCitation":"63","previouslyFormattedCitation":"&lt;sup&gt;63&lt;/sup&gt;"},"properties":{"noteIndex":0},"schema":"https://github.com/citation-style-language/schema/raw/master/csl-citation.json"}</w:instrText>
      </w:r>
      <w:r>
        <w:fldChar w:fldCharType="separate"/>
      </w:r>
      <w:r w:rsidRPr="00245550">
        <w:rPr>
          <w:noProof/>
          <w:vertAlign w:val="superscript"/>
        </w:rPr>
        <w:t>63</w:t>
      </w:r>
      <w:r>
        <w:fldChar w:fldCharType="end"/>
      </w:r>
      <w:r>
        <w:t>, where categories were constructed based on the probability of exceeding a given temperature target. The categories and their respective exceedance probabilities (P) are adapted from SR1.5 and presented in the table below:</w:t>
      </w:r>
    </w:p>
    <w:p w14:paraId="752AF3E2" w14:textId="77777777" w:rsidR="00C64BE7" w:rsidRDefault="00C64BE7" w:rsidP="00C64BE7"/>
    <w:p w14:paraId="0BDB23CF" w14:textId="77777777" w:rsidR="00C64BE7" w:rsidRDefault="00C64BE7" w:rsidP="00350613">
      <w:pPr>
        <w:pStyle w:val="CaptionFigure"/>
        <w:jc w:val="center"/>
      </w:pPr>
      <w:r w:rsidRPr="007C14ED">
        <w:rPr>
          <w:b/>
          <w:bCs/>
        </w:rPr>
        <w:t>Table S</w:t>
      </w:r>
      <w:r w:rsidRPr="007C14ED">
        <w:rPr>
          <w:b/>
          <w:bCs/>
        </w:rPr>
        <w:fldChar w:fldCharType="begin"/>
      </w:r>
      <w:r w:rsidRPr="007C14ED">
        <w:rPr>
          <w:b/>
          <w:bCs/>
        </w:rPr>
        <w:instrText xml:space="preserve"> SEQ Table_S \* ARABIC </w:instrText>
      </w:r>
      <w:r w:rsidRPr="007C14ED">
        <w:rPr>
          <w:b/>
          <w:bCs/>
        </w:rPr>
        <w:fldChar w:fldCharType="separate"/>
      </w:r>
      <w:r>
        <w:rPr>
          <w:b/>
          <w:bCs/>
          <w:noProof/>
        </w:rPr>
        <w:t>3</w:t>
      </w:r>
      <w:r w:rsidRPr="007C14ED">
        <w:rPr>
          <w:b/>
          <w:bCs/>
        </w:rPr>
        <w:fldChar w:fldCharType="end"/>
      </w:r>
      <w:r>
        <w:t xml:space="preserve"> SR1.5 climate categories for pathways</w:t>
      </w:r>
    </w:p>
    <w:tbl>
      <w:tblPr>
        <w:tblStyle w:val="TableGrid"/>
        <w:tblW w:w="0" w:type="auto"/>
        <w:jc w:val="center"/>
        <w:tblLook w:val="04A0" w:firstRow="1" w:lastRow="0" w:firstColumn="1" w:lastColumn="0" w:noHBand="0" w:noVBand="1"/>
      </w:tblPr>
      <w:tblGrid>
        <w:gridCol w:w="2972"/>
        <w:gridCol w:w="3544"/>
      </w:tblGrid>
      <w:tr w:rsidR="00C64BE7" w14:paraId="5A340C1C" w14:textId="77777777" w:rsidTr="00A35F01">
        <w:trPr>
          <w:jc w:val="center"/>
        </w:trPr>
        <w:tc>
          <w:tcPr>
            <w:tcW w:w="2972" w:type="dxa"/>
            <w:shd w:val="clear" w:color="auto" w:fill="20849F"/>
          </w:tcPr>
          <w:p w14:paraId="70F975AB" w14:textId="77777777" w:rsidR="00C64BE7" w:rsidRPr="00A77DEF" w:rsidRDefault="00C64BE7" w:rsidP="00A35F01">
            <w:pPr>
              <w:jc w:val="center"/>
              <w:rPr>
                <w:b/>
                <w:bCs/>
                <w:color w:val="FFFFFF" w:themeColor="background1"/>
                <w:sz w:val="16"/>
                <w:szCs w:val="18"/>
              </w:rPr>
            </w:pPr>
            <w:r w:rsidRPr="00A77DEF">
              <w:rPr>
                <w:b/>
                <w:bCs/>
                <w:color w:val="FFFFFF" w:themeColor="background1"/>
                <w:sz w:val="16"/>
                <w:szCs w:val="18"/>
              </w:rPr>
              <w:t>Pathway c</w:t>
            </w:r>
            <w:r>
              <w:rPr>
                <w:b/>
                <w:bCs/>
                <w:color w:val="FFFFFF" w:themeColor="background1"/>
                <w:sz w:val="16"/>
                <w:szCs w:val="18"/>
              </w:rPr>
              <w:t>ategory</w:t>
            </w:r>
          </w:p>
        </w:tc>
        <w:tc>
          <w:tcPr>
            <w:tcW w:w="3544" w:type="dxa"/>
            <w:shd w:val="clear" w:color="auto" w:fill="20849F"/>
          </w:tcPr>
          <w:p w14:paraId="2D24072D" w14:textId="77777777" w:rsidR="00C64BE7" w:rsidRPr="00A77DEF" w:rsidRDefault="00C64BE7" w:rsidP="00A35F01">
            <w:pPr>
              <w:jc w:val="center"/>
              <w:rPr>
                <w:b/>
                <w:bCs/>
                <w:color w:val="FFFFFF" w:themeColor="background1"/>
                <w:sz w:val="16"/>
                <w:szCs w:val="18"/>
              </w:rPr>
            </w:pPr>
            <w:r w:rsidRPr="00A77DEF">
              <w:rPr>
                <w:b/>
                <w:bCs/>
                <w:color w:val="FFFFFF" w:themeColor="background1"/>
                <w:sz w:val="16"/>
                <w:szCs w:val="18"/>
              </w:rPr>
              <w:t>Criteria for assignment</w:t>
            </w:r>
          </w:p>
        </w:tc>
      </w:tr>
      <w:tr w:rsidR="00C64BE7" w14:paraId="1D6EED17" w14:textId="77777777" w:rsidTr="00A35F01">
        <w:trPr>
          <w:jc w:val="center"/>
        </w:trPr>
        <w:tc>
          <w:tcPr>
            <w:tcW w:w="2972" w:type="dxa"/>
            <w:shd w:val="clear" w:color="auto" w:fill="DEECF9"/>
          </w:tcPr>
          <w:p w14:paraId="19C161F2" w14:textId="77777777" w:rsidR="00C64BE7" w:rsidRPr="00A77DEF" w:rsidRDefault="00C64BE7" w:rsidP="00A35F01">
            <w:pPr>
              <w:jc w:val="center"/>
              <w:rPr>
                <w:sz w:val="16"/>
                <w:szCs w:val="18"/>
              </w:rPr>
            </w:pPr>
            <w:r>
              <w:rPr>
                <w:sz w:val="16"/>
                <w:szCs w:val="18"/>
              </w:rPr>
              <w:t>Below 1.5°C</w:t>
            </w:r>
          </w:p>
        </w:tc>
        <w:tc>
          <w:tcPr>
            <w:tcW w:w="3544" w:type="dxa"/>
            <w:shd w:val="clear" w:color="auto" w:fill="DEECF9"/>
          </w:tcPr>
          <w:p w14:paraId="2AD7373D" w14:textId="77777777" w:rsidR="00C64BE7" w:rsidRPr="00A77DEF" w:rsidRDefault="00C64BE7" w:rsidP="00A35F01">
            <w:pPr>
              <w:jc w:val="center"/>
              <w:rPr>
                <w:sz w:val="16"/>
                <w:szCs w:val="18"/>
              </w:rPr>
            </w:pPr>
            <w:r>
              <w:rPr>
                <w:sz w:val="16"/>
                <w:szCs w:val="18"/>
              </w:rPr>
              <w:t>P1.5°C &lt;= 0.50</w:t>
            </w:r>
          </w:p>
        </w:tc>
      </w:tr>
      <w:tr w:rsidR="00C64BE7" w14:paraId="4A7A485C" w14:textId="77777777" w:rsidTr="00A35F01">
        <w:trPr>
          <w:jc w:val="center"/>
        </w:trPr>
        <w:tc>
          <w:tcPr>
            <w:tcW w:w="2972" w:type="dxa"/>
            <w:shd w:val="clear" w:color="auto" w:fill="DEECF9"/>
          </w:tcPr>
          <w:p w14:paraId="438A3B3C" w14:textId="77777777" w:rsidR="00C64BE7" w:rsidRPr="00A77DEF" w:rsidRDefault="00C64BE7" w:rsidP="00A35F01">
            <w:pPr>
              <w:jc w:val="center"/>
              <w:rPr>
                <w:sz w:val="16"/>
                <w:szCs w:val="18"/>
              </w:rPr>
            </w:pPr>
            <w:r>
              <w:rPr>
                <w:sz w:val="16"/>
                <w:szCs w:val="18"/>
              </w:rPr>
              <w:t>1.5°C low overshoot</w:t>
            </w:r>
          </w:p>
        </w:tc>
        <w:tc>
          <w:tcPr>
            <w:tcW w:w="3544" w:type="dxa"/>
            <w:shd w:val="clear" w:color="auto" w:fill="DEECF9"/>
          </w:tcPr>
          <w:p w14:paraId="290F4943" w14:textId="77777777" w:rsidR="00C64BE7" w:rsidRPr="00A77DEF" w:rsidRDefault="00C64BE7" w:rsidP="00A35F01">
            <w:pPr>
              <w:jc w:val="center"/>
              <w:rPr>
                <w:sz w:val="16"/>
                <w:szCs w:val="18"/>
              </w:rPr>
            </w:pPr>
            <w:r>
              <w:rPr>
                <w:sz w:val="16"/>
                <w:szCs w:val="18"/>
              </w:rPr>
              <w:t>0.50 &lt; P1.5°C &lt;= 0.67 and P1.5°C (2100) &lt;= 0.50</w:t>
            </w:r>
          </w:p>
        </w:tc>
      </w:tr>
      <w:tr w:rsidR="00C64BE7" w14:paraId="211600B0" w14:textId="77777777" w:rsidTr="00A35F01">
        <w:trPr>
          <w:jc w:val="center"/>
        </w:trPr>
        <w:tc>
          <w:tcPr>
            <w:tcW w:w="2972" w:type="dxa"/>
            <w:shd w:val="clear" w:color="auto" w:fill="DEECF9"/>
          </w:tcPr>
          <w:p w14:paraId="5036D407" w14:textId="77777777" w:rsidR="00C64BE7" w:rsidRPr="00A77DEF" w:rsidRDefault="00C64BE7" w:rsidP="00A35F01">
            <w:pPr>
              <w:jc w:val="center"/>
              <w:rPr>
                <w:sz w:val="16"/>
                <w:szCs w:val="18"/>
              </w:rPr>
            </w:pPr>
            <w:r>
              <w:rPr>
                <w:sz w:val="16"/>
                <w:szCs w:val="18"/>
              </w:rPr>
              <w:t>1.5°C high overshoot</w:t>
            </w:r>
          </w:p>
        </w:tc>
        <w:tc>
          <w:tcPr>
            <w:tcW w:w="3544" w:type="dxa"/>
            <w:shd w:val="clear" w:color="auto" w:fill="DEECF9"/>
          </w:tcPr>
          <w:p w14:paraId="6270EBE1" w14:textId="77777777" w:rsidR="00C64BE7" w:rsidRPr="00A77DEF" w:rsidRDefault="00C64BE7" w:rsidP="00A35F01">
            <w:pPr>
              <w:jc w:val="center"/>
              <w:rPr>
                <w:sz w:val="16"/>
                <w:szCs w:val="18"/>
              </w:rPr>
            </w:pPr>
            <w:r>
              <w:rPr>
                <w:sz w:val="16"/>
                <w:szCs w:val="18"/>
              </w:rPr>
              <w:t>0.67 &lt; P1.5°C and P1.5°C (2100) &lt;= 0.50</w:t>
            </w:r>
          </w:p>
        </w:tc>
      </w:tr>
      <w:tr w:rsidR="00C64BE7" w14:paraId="1EA1EA17" w14:textId="77777777" w:rsidTr="00A35F01">
        <w:trPr>
          <w:jc w:val="center"/>
        </w:trPr>
        <w:tc>
          <w:tcPr>
            <w:tcW w:w="2972" w:type="dxa"/>
            <w:shd w:val="clear" w:color="auto" w:fill="DEECF9"/>
          </w:tcPr>
          <w:p w14:paraId="642533A1" w14:textId="77777777" w:rsidR="00C64BE7" w:rsidRPr="00A77DEF" w:rsidRDefault="00C64BE7" w:rsidP="00A35F01">
            <w:pPr>
              <w:jc w:val="center"/>
              <w:rPr>
                <w:sz w:val="16"/>
                <w:szCs w:val="18"/>
              </w:rPr>
            </w:pPr>
            <w:r>
              <w:rPr>
                <w:sz w:val="16"/>
                <w:szCs w:val="18"/>
              </w:rPr>
              <w:t>Lower 2°C</w:t>
            </w:r>
          </w:p>
        </w:tc>
        <w:tc>
          <w:tcPr>
            <w:tcW w:w="3544" w:type="dxa"/>
            <w:shd w:val="clear" w:color="auto" w:fill="DEECF9"/>
          </w:tcPr>
          <w:p w14:paraId="023AA393" w14:textId="77777777" w:rsidR="00C64BE7" w:rsidRPr="00A77DEF" w:rsidRDefault="00C64BE7" w:rsidP="00A35F01">
            <w:pPr>
              <w:jc w:val="center"/>
              <w:rPr>
                <w:sz w:val="16"/>
                <w:szCs w:val="18"/>
              </w:rPr>
            </w:pPr>
            <w:r>
              <w:rPr>
                <w:sz w:val="16"/>
                <w:szCs w:val="18"/>
              </w:rPr>
              <w:t>P2.0°C &lt;= 0.34 (excluding above)</w:t>
            </w:r>
          </w:p>
        </w:tc>
      </w:tr>
      <w:tr w:rsidR="00C64BE7" w14:paraId="0933A035" w14:textId="77777777" w:rsidTr="00A35F01">
        <w:trPr>
          <w:jc w:val="center"/>
        </w:trPr>
        <w:tc>
          <w:tcPr>
            <w:tcW w:w="2972" w:type="dxa"/>
            <w:shd w:val="clear" w:color="auto" w:fill="DEECF9"/>
          </w:tcPr>
          <w:p w14:paraId="449E23DD" w14:textId="77777777" w:rsidR="00C64BE7" w:rsidRPr="00A77DEF" w:rsidRDefault="00C64BE7" w:rsidP="00A35F01">
            <w:pPr>
              <w:jc w:val="center"/>
              <w:rPr>
                <w:sz w:val="16"/>
                <w:szCs w:val="18"/>
              </w:rPr>
            </w:pPr>
            <w:r>
              <w:rPr>
                <w:sz w:val="16"/>
                <w:szCs w:val="18"/>
              </w:rPr>
              <w:t>Higher 2°C</w:t>
            </w:r>
          </w:p>
        </w:tc>
        <w:tc>
          <w:tcPr>
            <w:tcW w:w="3544" w:type="dxa"/>
            <w:shd w:val="clear" w:color="auto" w:fill="DEECF9"/>
          </w:tcPr>
          <w:p w14:paraId="01D2A5EA" w14:textId="77777777" w:rsidR="00C64BE7" w:rsidRPr="00A77DEF" w:rsidRDefault="00C64BE7" w:rsidP="00A35F01">
            <w:pPr>
              <w:jc w:val="center"/>
              <w:rPr>
                <w:sz w:val="16"/>
                <w:szCs w:val="18"/>
              </w:rPr>
            </w:pPr>
            <w:r>
              <w:rPr>
                <w:sz w:val="16"/>
                <w:szCs w:val="18"/>
              </w:rPr>
              <w:t>0.34 &lt; P2.0°C &lt;= 0.50</w:t>
            </w:r>
          </w:p>
        </w:tc>
      </w:tr>
      <w:tr w:rsidR="00C64BE7" w14:paraId="29F5C9C3" w14:textId="77777777" w:rsidTr="00A35F01">
        <w:trPr>
          <w:jc w:val="center"/>
        </w:trPr>
        <w:tc>
          <w:tcPr>
            <w:tcW w:w="2972" w:type="dxa"/>
            <w:shd w:val="clear" w:color="auto" w:fill="DEECF9"/>
          </w:tcPr>
          <w:p w14:paraId="1C95CC74" w14:textId="77777777" w:rsidR="00C64BE7" w:rsidRDefault="00C64BE7" w:rsidP="00A35F01">
            <w:pPr>
              <w:jc w:val="center"/>
              <w:rPr>
                <w:sz w:val="16"/>
                <w:szCs w:val="18"/>
              </w:rPr>
            </w:pPr>
            <w:r>
              <w:rPr>
                <w:sz w:val="16"/>
                <w:szCs w:val="18"/>
              </w:rPr>
              <w:t>Above 2°C</w:t>
            </w:r>
          </w:p>
        </w:tc>
        <w:tc>
          <w:tcPr>
            <w:tcW w:w="3544" w:type="dxa"/>
            <w:shd w:val="clear" w:color="auto" w:fill="DEECF9"/>
          </w:tcPr>
          <w:p w14:paraId="39D13547" w14:textId="77777777" w:rsidR="00C64BE7" w:rsidRPr="00A77DEF" w:rsidRDefault="00C64BE7" w:rsidP="00A35F01">
            <w:pPr>
              <w:jc w:val="center"/>
              <w:rPr>
                <w:sz w:val="16"/>
                <w:szCs w:val="18"/>
              </w:rPr>
            </w:pPr>
            <w:r>
              <w:rPr>
                <w:sz w:val="16"/>
                <w:szCs w:val="18"/>
              </w:rPr>
              <w:t>P2.0°C &gt; 0.50</w:t>
            </w:r>
          </w:p>
        </w:tc>
      </w:tr>
    </w:tbl>
    <w:p w14:paraId="5549FB48" w14:textId="77777777" w:rsidR="00C64BE7" w:rsidRDefault="00C64BE7" w:rsidP="00C64BE7"/>
    <w:p w14:paraId="1239D0E7" w14:textId="683A3FB1" w:rsidR="00C64BE7" w:rsidRDefault="00C64BE7" w:rsidP="00C64BE7">
      <w:r>
        <w:t>We present the variation of the climate categori</w:t>
      </w:r>
      <w:r w:rsidR="006C416E">
        <w:t>z</w:t>
      </w:r>
      <w:r>
        <w:t xml:space="preserve">ation across the different infilling methods assessed in this study. </w:t>
      </w:r>
      <w:r w:rsidR="006C416E">
        <w:t xml:space="preserve"> In only one case is there a change in categorization due to infilling method because the scenario results lie near the boundary between two categories.</w:t>
      </w:r>
    </w:p>
    <w:p w14:paraId="4F0FD5EE" w14:textId="77777777" w:rsidR="00C64BE7" w:rsidRDefault="00C64BE7" w:rsidP="00C64BE7"/>
    <w:p w14:paraId="2D8EE527" w14:textId="77777777" w:rsidR="00C64BE7" w:rsidRDefault="00C64BE7" w:rsidP="00350613">
      <w:pPr>
        <w:pStyle w:val="CaptionFigure"/>
        <w:jc w:val="center"/>
      </w:pPr>
      <w:r w:rsidRPr="00601463">
        <w:rPr>
          <w:b/>
          <w:bCs/>
        </w:rPr>
        <w:t>Table S</w:t>
      </w:r>
      <w:r w:rsidRPr="00601463">
        <w:rPr>
          <w:b/>
          <w:bCs/>
        </w:rPr>
        <w:fldChar w:fldCharType="begin"/>
      </w:r>
      <w:r w:rsidRPr="00601463">
        <w:rPr>
          <w:b/>
          <w:bCs/>
        </w:rPr>
        <w:instrText xml:space="preserve"> SEQ Table_S \* ARABIC </w:instrText>
      </w:r>
      <w:r w:rsidRPr="00601463">
        <w:rPr>
          <w:b/>
          <w:bCs/>
        </w:rPr>
        <w:fldChar w:fldCharType="separate"/>
      </w:r>
      <w:r w:rsidRPr="00601463">
        <w:rPr>
          <w:b/>
          <w:bCs/>
          <w:noProof/>
        </w:rPr>
        <w:t>4</w:t>
      </w:r>
      <w:r w:rsidRPr="00601463">
        <w:rPr>
          <w:b/>
          <w:bCs/>
        </w:rPr>
        <w:fldChar w:fldCharType="end"/>
      </w:r>
      <w:r>
        <w:t xml:space="preserve"> Categorisation across different infilling methods</w:t>
      </w:r>
    </w:p>
    <w:tbl>
      <w:tblPr>
        <w:tblStyle w:val="TableGrid"/>
        <w:tblW w:w="0" w:type="auto"/>
        <w:tblLook w:val="04A0" w:firstRow="1" w:lastRow="0" w:firstColumn="1" w:lastColumn="0" w:noHBand="0" w:noVBand="1"/>
      </w:tblPr>
      <w:tblGrid>
        <w:gridCol w:w="2265"/>
        <w:gridCol w:w="2265"/>
        <w:gridCol w:w="2265"/>
        <w:gridCol w:w="2265"/>
      </w:tblGrid>
      <w:tr w:rsidR="00C64BE7" w14:paraId="5194438D" w14:textId="77777777" w:rsidTr="00A35F01">
        <w:tc>
          <w:tcPr>
            <w:tcW w:w="2265" w:type="dxa"/>
            <w:shd w:val="clear" w:color="auto" w:fill="1E869F"/>
          </w:tcPr>
          <w:p w14:paraId="5DF9CCE7" w14:textId="77777777" w:rsidR="00C64BE7" w:rsidRPr="00601463" w:rsidRDefault="00C64BE7" w:rsidP="00A35F01">
            <w:pPr>
              <w:jc w:val="center"/>
              <w:rPr>
                <w:rFonts w:cstheme="minorHAnsi"/>
                <w:b/>
                <w:bCs/>
                <w:color w:val="FFFFFF" w:themeColor="background1"/>
                <w:sz w:val="16"/>
                <w:szCs w:val="16"/>
              </w:rPr>
            </w:pPr>
            <w:r w:rsidRPr="00601463">
              <w:rPr>
                <w:rFonts w:cstheme="minorHAnsi"/>
                <w:b/>
                <w:bCs/>
                <w:color w:val="FFFFFF" w:themeColor="background1"/>
                <w:sz w:val="16"/>
                <w:szCs w:val="16"/>
              </w:rPr>
              <w:t>Scenario/IF method</w:t>
            </w:r>
          </w:p>
        </w:tc>
        <w:tc>
          <w:tcPr>
            <w:tcW w:w="2265" w:type="dxa"/>
            <w:shd w:val="clear" w:color="auto" w:fill="1E869F"/>
          </w:tcPr>
          <w:p w14:paraId="53369B8C" w14:textId="77777777" w:rsidR="00C64BE7" w:rsidRPr="00601463" w:rsidRDefault="00C64BE7" w:rsidP="00A35F01">
            <w:pPr>
              <w:jc w:val="center"/>
              <w:rPr>
                <w:rFonts w:cstheme="minorHAnsi"/>
                <w:b/>
                <w:bCs/>
                <w:color w:val="FFFFFF" w:themeColor="background1"/>
                <w:sz w:val="16"/>
                <w:szCs w:val="16"/>
              </w:rPr>
            </w:pPr>
            <w:r w:rsidRPr="00601463">
              <w:rPr>
                <w:rFonts w:cstheme="minorHAnsi"/>
                <w:b/>
                <w:bCs/>
                <w:color w:val="FFFFFF" w:themeColor="background1"/>
                <w:sz w:val="16"/>
                <w:szCs w:val="16"/>
              </w:rPr>
              <w:t>QRW</w:t>
            </w:r>
          </w:p>
        </w:tc>
        <w:tc>
          <w:tcPr>
            <w:tcW w:w="2265" w:type="dxa"/>
            <w:shd w:val="clear" w:color="auto" w:fill="1E869F"/>
          </w:tcPr>
          <w:p w14:paraId="70FA3DB2" w14:textId="77777777" w:rsidR="00C64BE7" w:rsidRPr="00601463" w:rsidRDefault="00C64BE7" w:rsidP="00A35F01">
            <w:pPr>
              <w:jc w:val="center"/>
              <w:rPr>
                <w:rFonts w:cstheme="minorHAnsi"/>
                <w:b/>
                <w:bCs/>
                <w:color w:val="FFFFFF" w:themeColor="background1"/>
                <w:sz w:val="16"/>
                <w:szCs w:val="16"/>
              </w:rPr>
            </w:pPr>
            <w:r w:rsidRPr="00601463">
              <w:rPr>
                <w:rFonts w:cstheme="minorHAnsi"/>
                <w:b/>
                <w:bCs/>
                <w:color w:val="FFFFFF" w:themeColor="background1"/>
                <w:sz w:val="16"/>
                <w:szCs w:val="16"/>
              </w:rPr>
              <w:t>RMS</w:t>
            </w:r>
          </w:p>
        </w:tc>
        <w:tc>
          <w:tcPr>
            <w:tcW w:w="2265" w:type="dxa"/>
            <w:shd w:val="clear" w:color="auto" w:fill="1E869F"/>
          </w:tcPr>
          <w:p w14:paraId="4B1DCED3" w14:textId="77777777" w:rsidR="00C64BE7" w:rsidRPr="00601463" w:rsidRDefault="00C64BE7" w:rsidP="00A35F01">
            <w:pPr>
              <w:jc w:val="center"/>
              <w:rPr>
                <w:rFonts w:cstheme="minorHAnsi"/>
                <w:b/>
                <w:bCs/>
                <w:color w:val="FFFFFF" w:themeColor="background1"/>
                <w:sz w:val="16"/>
                <w:szCs w:val="16"/>
              </w:rPr>
            </w:pPr>
            <w:r w:rsidRPr="00601463">
              <w:rPr>
                <w:rFonts w:cstheme="minorHAnsi"/>
                <w:b/>
                <w:bCs/>
                <w:color w:val="FFFFFF" w:themeColor="background1"/>
                <w:sz w:val="16"/>
                <w:szCs w:val="16"/>
              </w:rPr>
              <w:t>EQW</w:t>
            </w:r>
          </w:p>
        </w:tc>
      </w:tr>
      <w:tr w:rsidR="00C64BE7" w14:paraId="5A9F164E" w14:textId="77777777" w:rsidTr="00A35F01">
        <w:tc>
          <w:tcPr>
            <w:tcW w:w="2265" w:type="dxa"/>
            <w:shd w:val="clear" w:color="auto" w:fill="DDECF7"/>
          </w:tcPr>
          <w:p w14:paraId="3FF05C54" w14:textId="77777777" w:rsidR="00C64BE7" w:rsidRPr="00601463" w:rsidRDefault="00C64BE7" w:rsidP="00A35F01">
            <w:pPr>
              <w:jc w:val="center"/>
              <w:rPr>
                <w:rFonts w:cstheme="minorHAnsi"/>
                <w:b/>
                <w:bCs/>
                <w:sz w:val="16"/>
                <w:szCs w:val="16"/>
              </w:rPr>
            </w:pPr>
            <w:r w:rsidRPr="00601463">
              <w:rPr>
                <w:rFonts w:cstheme="minorHAnsi"/>
                <w:b/>
                <w:bCs/>
                <w:sz w:val="16"/>
                <w:szCs w:val="16"/>
              </w:rPr>
              <w:t>IEA (NZE)</w:t>
            </w:r>
          </w:p>
        </w:tc>
        <w:tc>
          <w:tcPr>
            <w:tcW w:w="2265" w:type="dxa"/>
            <w:shd w:val="clear" w:color="auto" w:fill="DDECF7"/>
          </w:tcPr>
          <w:p w14:paraId="0312CFC5" w14:textId="7456D3C3" w:rsidR="00C64BE7" w:rsidRPr="00601463" w:rsidRDefault="00C64BE7" w:rsidP="00A35F01">
            <w:pPr>
              <w:jc w:val="center"/>
              <w:rPr>
                <w:rFonts w:cstheme="minorHAnsi"/>
                <w:sz w:val="16"/>
                <w:szCs w:val="16"/>
              </w:rPr>
            </w:pPr>
            <w:r w:rsidRPr="00601463">
              <w:rPr>
                <w:rFonts w:cstheme="minorHAnsi"/>
                <w:sz w:val="16"/>
                <w:szCs w:val="16"/>
              </w:rPr>
              <w:t xml:space="preserve">1.5C </w:t>
            </w:r>
            <w:r w:rsidR="00D24434">
              <w:rPr>
                <w:rFonts w:cstheme="minorHAnsi"/>
                <w:sz w:val="16"/>
                <w:szCs w:val="16"/>
              </w:rPr>
              <w:t>low</w:t>
            </w:r>
            <w:r w:rsidRPr="00601463">
              <w:rPr>
                <w:rFonts w:cstheme="minorHAnsi"/>
                <w:sz w:val="16"/>
                <w:szCs w:val="16"/>
              </w:rPr>
              <w:t xml:space="preserve"> overshoot</w:t>
            </w:r>
          </w:p>
        </w:tc>
        <w:tc>
          <w:tcPr>
            <w:tcW w:w="2265" w:type="dxa"/>
            <w:shd w:val="clear" w:color="auto" w:fill="DDECF7"/>
          </w:tcPr>
          <w:p w14:paraId="03B97676" w14:textId="2F333734" w:rsidR="00C64BE7" w:rsidRPr="00601463" w:rsidRDefault="00C64BE7" w:rsidP="00A35F01">
            <w:pPr>
              <w:jc w:val="center"/>
              <w:rPr>
                <w:rFonts w:cstheme="minorHAnsi"/>
                <w:sz w:val="16"/>
                <w:szCs w:val="16"/>
              </w:rPr>
            </w:pPr>
            <w:r w:rsidRPr="00601463">
              <w:rPr>
                <w:rFonts w:cstheme="minorHAnsi"/>
                <w:sz w:val="16"/>
                <w:szCs w:val="16"/>
              </w:rPr>
              <w:t xml:space="preserve">1.5C </w:t>
            </w:r>
            <w:r w:rsidR="00D24434">
              <w:rPr>
                <w:rFonts w:cstheme="minorHAnsi"/>
                <w:sz w:val="16"/>
                <w:szCs w:val="16"/>
              </w:rPr>
              <w:t>high</w:t>
            </w:r>
            <w:r w:rsidRPr="00601463">
              <w:rPr>
                <w:rFonts w:cstheme="minorHAnsi"/>
                <w:sz w:val="16"/>
                <w:szCs w:val="16"/>
              </w:rPr>
              <w:t xml:space="preserve"> overshoot</w:t>
            </w:r>
          </w:p>
        </w:tc>
        <w:tc>
          <w:tcPr>
            <w:tcW w:w="2265" w:type="dxa"/>
            <w:shd w:val="clear" w:color="auto" w:fill="DDECF7"/>
          </w:tcPr>
          <w:p w14:paraId="7D0241B1" w14:textId="77777777" w:rsidR="00C64BE7" w:rsidRPr="00601463" w:rsidRDefault="00C64BE7" w:rsidP="00A35F01">
            <w:pPr>
              <w:jc w:val="center"/>
              <w:rPr>
                <w:rFonts w:cstheme="minorHAnsi"/>
                <w:sz w:val="16"/>
                <w:szCs w:val="16"/>
              </w:rPr>
            </w:pPr>
            <w:r w:rsidRPr="00601463">
              <w:rPr>
                <w:rFonts w:cstheme="minorHAnsi"/>
                <w:sz w:val="16"/>
                <w:szCs w:val="16"/>
              </w:rPr>
              <w:t>1.5C low overshoot</w:t>
            </w:r>
          </w:p>
        </w:tc>
      </w:tr>
      <w:tr w:rsidR="00C64BE7" w14:paraId="783A4E23" w14:textId="77777777" w:rsidTr="00A35F01">
        <w:tc>
          <w:tcPr>
            <w:tcW w:w="2265" w:type="dxa"/>
            <w:shd w:val="clear" w:color="auto" w:fill="DDECF7"/>
          </w:tcPr>
          <w:p w14:paraId="2427985D" w14:textId="77777777" w:rsidR="00C64BE7" w:rsidRPr="00601463" w:rsidRDefault="00C64BE7" w:rsidP="00A35F01">
            <w:pPr>
              <w:jc w:val="center"/>
              <w:rPr>
                <w:rFonts w:cstheme="minorHAnsi"/>
                <w:b/>
                <w:bCs/>
                <w:sz w:val="16"/>
                <w:szCs w:val="16"/>
              </w:rPr>
            </w:pPr>
            <w:r w:rsidRPr="00601463">
              <w:rPr>
                <w:rFonts w:cstheme="minorHAnsi"/>
                <w:b/>
                <w:bCs/>
                <w:sz w:val="16"/>
                <w:szCs w:val="16"/>
              </w:rPr>
              <w:t>BP (Net Zero)</w:t>
            </w:r>
          </w:p>
        </w:tc>
        <w:tc>
          <w:tcPr>
            <w:tcW w:w="2265" w:type="dxa"/>
            <w:shd w:val="clear" w:color="auto" w:fill="DDECF7"/>
          </w:tcPr>
          <w:p w14:paraId="1E0CDC16" w14:textId="77777777" w:rsidR="00C64BE7" w:rsidRPr="00601463" w:rsidRDefault="00C64BE7" w:rsidP="00A35F01">
            <w:pPr>
              <w:jc w:val="center"/>
              <w:rPr>
                <w:rFonts w:cstheme="minorHAnsi"/>
                <w:sz w:val="16"/>
                <w:szCs w:val="16"/>
              </w:rPr>
            </w:pPr>
            <w:r w:rsidRPr="00601463">
              <w:rPr>
                <w:rFonts w:cstheme="minorHAnsi"/>
                <w:sz w:val="16"/>
                <w:szCs w:val="16"/>
              </w:rPr>
              <w:t>1.5C high overshoot</w:t>
            </w:r>
          </w:p>
        </w:tc>
        <w:tc>
          <w:tcPr>
            <w:tcW w:w="2265" w:type="dxa"/>
            <w:shd w:val="clear" w:color="auto" w:fill="DDECF7"/>
          </w:tcPr>
          <w:p w14:paraId="6E640996" w14:textId="77777777" w:rsidR="00C64BE7" w:rsidRPr="00601463" w:rsidRDefault="00C64BE7" w:rsidP="00A35F01">
            <w:pPr>
              <w:jc w:val="center"/>
              <w:rPr>
                <w:rFonts w:cstheme="minorHAnsi"/>
                <w:sz w:val="16"/>
                <w:szCs w:val="16"/>
              </w:rPr>
            </w:pPr>
            <w:r w:rsidRPr="00601463">
              <w:rPr>
                <w:rFonts w:cstheme="minorHAnsi"/>
                <w:sz w:val="16"/>
                <w:szCs w:val="16"/>
              </w:rPr>
              <w:t>1.5C high overshoot</w:t>
            </w:r>
          </w:p>
        </w:tc>
        <w:tc>
          <w:tcPr>
            <w:tcW w:w="2265" w:type="dxa"/>
            <w:shd w:val="clear" w:color="auto" w:fill="DDECF7"/>
          </w:tcPr>
          <w:p w14:paraId="0ED0B848" w14:textId="77777777" w:rsidR="00C64BE7" w:rsidRPr="00601463" w:rsidRDefault="00C64BE7" w:rsidP="00A35F01">
            <w:pPr>
              <w:jc w:val="center"/>
              <w:rPr>
                <w:rFonts w:cstheme="minorHAnsi"/>
                <w:sz w:val="16"/>
                <w:szCs w:val="16"/>
              </w:rPr>
            </w:pPr>
            <w:r w:rsidRPr="00601463">
              <w:rPr>
                <w:rFonts w:cstheme="minorHAnsi"/>
                <w:sz w:val="16"/>
                <w:szCs w:val="16"/>
              </w:rPr>
              <w:t>1.5C high overshoot</w:t>
            </w:r>
          </w:p>
        </w:tc>
      </w:tr>
      <w:tr w:rsidR="00C64BE7" w14:paraId="05491BA3" w14:textId="77777777" w:rsidTr="00A35F01">
        <w:tc>
          <w:tcPr>
            <w:tcW w:w="2265" w:type="dxa"/>
            <w:shd w:val="clear" w:color="auto" w:fill="DDECF7"/>
          </w:tcPr>
          <w:p w14:paraId="6FD48674" w14:textId="77777777" w:rsidR="00C64BE7" w:rsidRPr="00601463" w:rsidRDefault="00C64BE7" w:rsidP="00A35F01">
            <w:pPr>
              <w:jc w:val="center"/>
              <w:rPr>
                <w:rFonts w:cstheme="minorHAnsi"/>
                <w:b/>
                <w:bCs/>
                <w:sz w:val="16"/>
                <w:szCs w:val="16"/>
              </w:rPr>
            </w:pPr>
            <w:r w:rsidRPr="00601463">
              <w:rPr>
                <w:rFonts w:cstheme="minorHAnsi"/>
                <w:b/>
                <w:bCs/>
                <w:sz w:val="16"/>
                <w:szCs w:val="16"/>
              </w:rPr>
              <w:t>BP (Rapid)</w:t>
            </w:r>
          </w:p>
        </w:tc>
        <w:tc>
          <w:tcPr>
            <w:tcW w:w="2265" w:type="dxa"/>
            <w:shd w:val="clear" w:color="auto" w:fill="DDECF7"/>
          </w:tcPr>
          <w:p w14:paraId="47370627" w14:textId="77777777" w:rsidR="00C64BE7" w:rsidRPr="00601463" w:rsidRDefault="00C64BE7" w:rsidP="00A35F01">
            <w:pPr>
              <w:jc w:val="center"/>
              <w:rPr>
                <w:rFonts w:cstheme="minorHAnsi"/>
                <w:sz w:val="16"/>
                <w:szCs w:val="16"/>
              </w:rPr>
            </w:pPr>
            <w:r w:rsidRPr="00601463">
              <w:rPr>
                <w:rFonts w:cstheme="minorHAnsi"/>
                <w:sz w:val="16"/>
                <w:szCs w:val="16"/>
              </w:rPr>
              <w:t>Lower 2C</w:t>
            </w:r>
          </w:p>
        </w:tc>
        <w:tc>
          <w:tcPr>
            <w:tcW w:w="2265" w:type="dxa"/>
            <w:shd w:val="clear" w:color="auto" w:fill="DDECF7"/>
          </w:tcPr>
          <w:p w14:paraId="24F3E34E" w14:textId="7BE7A09F" w:rsidR="00C64BE7" w:rsidRPr="00601463" w:rsidRDefault="00D24434" w:rsidP="00A35F01">
            <w:pPr>
              <w:jc w:val="center"/>
              <w:rPr>
                <w:rFonts w:cstheme="minorHAnsi"/>
                <w:sz w:val="16"/>
                <w:szCs w:val="16"/>
              </w:rPr>
            </w:pPr>
            <w:r>
              <w:rPr>
                <w:rFonts w:cstheme="minorHAnsi"/>
                <w:sz w:val="16"/>
                <w:szCs w:val="16"/>
              </w:rPr>
              <w:t>Lowe</w:t>
            </w:r>
            <w:r w:rsidR="00C64BE7" w:rsidRPr="00601463">
              <w:rPr>
                <w:rFonts w:cstheme="minorHAnsi"/>
                <w:sz w:val="16"/>
                <w:szCs w:val="16"/>
              </w:rPr>
              <w:t>r 2C</w:t>
            </w:r>
          </w:p>
        </w:tc>
        <w:tc>
          <w:tcPr>
            <w:tcW w:w="2265" w:type="dxa"/>
            <w:shd w:val="clear" w:color="auto" w:fill="DDECF7"/>
          </w:tcPr>
          <w:p w14:paraId="3B63F8B5" w14:textId="77777777" w:rsidR="00C64BE7" w:rsidRPr="00601463" w:rsidRDefault="00C64BE7" w:rsidP="00A35F01">
            <w:pPr>
              <w:jc w:val="center"/>
              <w:rPr>
                <w:rFonts w:cstheme="minorHAnsi"/>
                <w:sz w:val="16"/>
                <w:szCs w:val="16"/>
              </w:rPr>
            </w:pPr>
            <w:r w:rsidRPr="00601463">
              <w:rPr>
                <w:rFonts w:cstheme="minorHAnsi"/>
                <w:sz w:val="16"/>
                <w:szCs w:val="16"/>
              </w:rPr>
              <w:t>Lower 2C</w:t>
            </w:r>
          </w:p>
        </w:tc>
      </w:tr>
      <w:tr w:rsidR="00C64BE7" w14:paraId="5DC3E42F" w14:textId="77777777" w:rsidTr="00A35F01">
        <w:tc>
          <w:tcPr>
            <w:tcW w:w="2265" w:type="dxa"/>
            <w:shd w:val="clear" w:color="auto" w:fill="DDECF7"/>
          </w:tcPr>
          <w:p w14:paraId="60B5F48F" w14:textId="77777777" w:rsidR="00C64BE7" w:rsidRPr="00601463" w:rsidRDefault="00C64BE7" w:rsidP="00A35F01">
            <w:pPr>
              <w:jc w:val="center"/>
              <w:rPr>
                <w:rFonts w:cstheme="minorHAnsi"/>
                <w:b/>
                <w:bCs/>
                <w:sz w:val="16"/>
                <w:szCs w:val="16"/>
              </w:rPr>
            </w:pPr>
            <w:r w:rsidRPr="00601463">
              <w:rPr>
                <w:rFonts w:cstheme="minorHAnsi"/>
                <w:b/>
                <w:bCs/>
                <w:sz w:val="16"/>
                <w:szCs w:val="16"/>
              </w:rPr>
              <w:t>Equinor (Rebalance)</w:t>
            </w:r>
          </w:p>
        </w:tc>
        <w:tc>
          <w:tcPr>
            <w:tcW w:w="2265" w:type="dxa"/>
            <w:shd w:val="clear" w:color="auto" w:fill="DDECF7"/>
          </w:tcPr>
          <w:p w14:paraId="3F740291" w14:textId="77777777" w:rsidR="00C64BE7" w:rsidRPr="00601463" w:rsidRDefault="00C64BE7" w:rsidP="00A35F01">
            <w:pPr>
              <w:jc w:val="center"/>
              <w:rPr>
                <w:rFonts w:cstheme="minorHAnsi"/>
                <w:sz w:val="16"/>
                <w:szCs w:val="16"/>
              </w:rPr>
            </w:pPr>
            <w:r w:rsidRPr="00601463">
              <w:rPr>
                <w:rFonts w:cstheme="minorHAnsi"/>
                <w:sz w:val="16"/>
                <w:szCs w:val="16"/>
              </w:rPr>
              <w:t>Lower 2C</w:t>
            </w:r>
          </w:p>
        </w:tc>
        <w:tc>
          <w:tcPr>
            <w:tcW w:w="2265" w:type="dxa"/>
            <w:shd w:val="clear" w:color="auto" w:fill="DDECF7"/>
          </w:tcPr>
          <w:p w14:paraId="60934EBD" w14:textId="77777777" w:rsidR="00C64BE7" w:rsidRPr="00601463" w:rsidRDefault="00C64BE7" w:rsidP="00A35F01">
            <w:pPr>
              <w:jc w:val="center"/>
              <w:rPr>
                <w:rFonts w:cstheme="minorHAnsi"/>
                <w:sz w:val="16"/>
                <w:szCs w:val="16"/>
              </w:rPr>
            </w:pPr>
            <w:r w:rsidRPr="00601463">
              <w:rPr>
                <w:rFonts w:cstheme="minorHAnsi"/>
                <w:sz w:val="16"/>
                <w:szCs w:val="16"/>
              </w:rPr>
              <w:t>Lower 2C</w:t>
            </w:r>
          </w:p>
        </w:tc>
        <w:tc>
          <w:tcPr>
            <w:tcW w:w="2265" w:type="dxa"/>
            <w:shd w:val="clear" w:color="auto" w:fill="DDECF7"/>
          </w:tcPr>
          <w:p w14:paraId="0E408F3E" w14:textId="77777777" w:rsidR="00C64BE7" w:rsidRPr="00601463" w:rsidRDefault="00C64BE7" w:rsidP="00A35F01">
            <w:pPr>
              <w:jc w:val="center"/>
              <w:rPr>
                <w:rFonts w:cstheme="minorHAnsi"/>
                <w:sz w:val="16"/>
                <w:szCs w:val="16"/>
              </w:rPr>
            </w:pPr>
            <w:r w:rsidRPr="00601463">
              <w:rPr>
                <w:rFonts w:cstheme="minorHAnsi"/>
                <w:sz w:val="16"/>
                <w:szCs w:val="16"/>
              </w:rPr>
              <w:t>Lower 2C</w:t>
            </w:r>
          </w:p>
        </w:tc>
      </w:tr>
      <w:tr w:rsidR="00C64BE7" w14:paraId="026F6102" w14:textId="77777777" w:rsidTr="00A35F01">
        <w:tc>
          <w:tcPr>
            <w:tcW w:w="2265" w:type="dxa"/>
            <w:shd w:val="clear" w:color="auto" w:fill="DDECF7"/>
          </w:tcPr>
          <w:p w14:paraId="3F15D4C9" w14:textId="77777777" w:rsidR="00C64BE7" w:rsidRPr="00601463" w:rsidRDefault="00C64BE7" w:rsidP="00A35F01">
            <w:pPr>
              <w:jc w:val="center"/>
              <w:rPr>
                <w:rFonts w:cstheme="minorHAnsi"/>
                <w:b/>
                <w:bCs/>
                <w:sz w:val="16"/>
                <w:szCs w:val="16"/>
              </w:rPr>
            </w:pPr>
            <w:r w:rsidRPr="00601463">
              <w:rPr>
                <w:rFonts w:cstheme="minorHAnsi"/>
                <w:b/>
                <w:bCs/>
                <w:sz w:val="16"/>
                <w:szCs w:val="16"/>
              </w:rPr>
              <w:t>IEA (SDS)</w:t>
            </w:r>
          </w:p>
        </w:tc>
        <w:tc>
          <w:tcPr>
            <w:tcW w:w="2265" w:type="dxa"/>
            <w:shd w:val="clear" w:color="auto" w:fill="DDECF7"/>
          </w:tcPr>
          <w:p w14:paraId="43910A92" w14:textId="77777777" w:rsidR="00C64BE7" w:rsidRPr="00601463" w:rsidRDefault="00C64BE7" w:rsidP="00A35F01">
            <w:pPr>
              <w:jc w:val="center"/>
              <w:rPr>
                <w:rFonts w:cstheme="minorHAnsi"/>
                <w:sz w:val="16"/>
                <w:szCs w:val="16"/>
              </w:rPr>
            </w:pPr>
            <w:r w:rsidRPr="00601463">
              <w:rPr>
                <w:rFonts w:cstheme="minorHAnsi"/>
                <w:sz w:val="16"/>
                <w:szCs w:val="16"/>
              </w:rPr>
              <w:t>Lower 2C</w:t>
            </w:r>
          </w:p>
        </w:tc>
        <w:tc>
          <w:tcPr>
            <w:tcW w:w="2265" w:type="dxa"/>
            <w:shd w:val="clear" w:color="auto" w:fill="DDECF7"/>
          </w:tcPr>
          <w:p w14:paraId="2E4F5DEE" w14:textId="70CC5E7B" w:rsidR="00C64BE7" w:rsidRPr="00601463" w:rsidRDefault="00D24434" w:rsidP="00A35F01">
            <w:pPr>
              <w:jc w:val="center"/>
              <w:rPr>
                <w:rFonts w:cstheme="minorHAnsi"/>
                <w:sz w:val="16"/>
                <w:szCs w:val="16"/>
              </w:rPr>
            </w:pPr>
            <w:r>
              <w:rPr>
                <w:rFonts w:cstheme="minorHAnsi"/>
                <w:sz w:val="16"/>
                <w:szCs w:val="16"/>
              </w:rPr>
              <w:t>Low</w:t>
            </w:r>
            <w:r w:rsidR="00C64BE7" w:rsidRPr="00601463">
              <w:rPr>
                <w:rFonts w:cstheme="minorHAnsi"/>
                <w:sz w:val="16"/>
                <w:szCs w:val="16"/>
              </w:rPr>
              <w:t>er 2C</w:t>
            </w:r>
          </w:p>
        </w:tc>
        <w:tc>
          <w:tcPr>
            <w:tcW w:w="2265" w:type="dxa"/>
            <w:shd w:val="clear" w:color="auto" w:fill="DDECF7"/>
          </w:tcPr>
          <w:p w14:paraId="35D3339A" w14:textId="77777777" w:rsidR="00C64BE7" w:rsidRPr="00601463" w:rsidRDefault="00C64BE7" w:rsidP="00A35F01">
            <w:pPr>
              <w:jc w:val="center"/>
              <w:rPr>
                <w:rFonts w:cstheme="minorHAnsi"/>
                <w:sz w:val="16"/>
                <w:szCs w:val="16"/>
              </w:rPr>
            </w:pPr>
            <w:r w:rsidRPr="00601463">
              <w:rPr>
                <w:rFonts w:cstheme="minorHAnsi"/>
                <w:sz w:val="16"/>
                <w:szCs w:val="16"/>
              </w:rPr>
              <w:t>Lower 2C</w:t>
            </w:r>
          </w:p>
        </w:tc>
      </w:tr>
      <w:tr w:rsidR="00C64BE7" w14:paraId="691ECB08" w14:textId="77777777" w:rsidTr="00A35F01">
        <w:tc>
          <w:tcPr>
            <w:tcW w:w="2265" w:type="dxa"/>
            <w:shd w:val="clear" w:color="auto" w:fill="DDECF7"/>
          </w:tcPr>
          <w:p w14:paraId="05E936D6" w14:textId="77777777" w:rsidR="00C64BE7" w:rsidRPr="00601463" w:rsidRDefault="00C64BE7" w:rsidP="00A35F01">
            <w:pPr>
              <w:jc w:val="center"/>
              <w:rPr>
                <w:rFonts w:cstheme="minorHAnsi"/>
                <w:b/>
                <w:bCs/>
                <w:sz w:val="16"/>
                <w:szCs w:val="16"/>
              </w:rPr>
            </w:pPr>
            <w:r w:rsidRPr="00601463">
              <w:rPr>
                <w:rFonts w:cstheme="minorHAnsi"/>
                <w:b/>
                <w:bCs/>
                <w:sz w:val="16"/>
                <w:szCs w:val="16"/>
              </w:rPr>
              <w:t>Shell (Sky)</w:t>
            </w:r>
          </w:p>
        </w:tc>
        <w:tc>
          <w:tcPr>
            <w:tcW w:w="2265" w:type="dxa"/>
            <w:shd w:val="clear" w:color="auto" w:fill="DDECF7"/>
          </w:tcPr>
          <w:p w14:paraId="5EE9708E" w14:textId="72BE0E4B" w:rsidR="00C64BE7" w:rsidRPr="00601463" w:rsidRDefault="00E11EEC" w:rsidP="00A35F01">
            <w:pPr>
              <w:jc w:val="center"/>
              <w:rPr>
                <w:rFonts w:cstheme="minorHAnsi"/>
                <w:sz w:val="16"/>
                <w:szCs w:val="16"/>
              </w:rPr>
            </w:pPr>
            <w:r>
              <w:rPr>
                <w:rFonts w:cstheme="minorHAnsi"/>
                <w:sz w:val="16"/>
                <w:szCs w:val="16"/>
              </w:rPr>
              <w:t>Lower</w:t>
            </w:r>
            <w:r w:rsidR="00C64BE7" w:rsidRPr="00601463">
              <w:rPr>
                <w:rFonts w:cstheme="minorHAnsi"/>
                <w:sz w:val="16"/>
                <w:szCs w:val="16"/>
              </w:rPr>
              <w:t xml:space="preserve"> 2C</w:t>
            </w:r>
          </w:p>
        </w:tc>
        <w:tc>
          <w:tcPr>
            <w:tcW w:w="2265" w:type="dxa"/>
            <w:shd w:val="clear" w:color="auto" w:fill="DDECF7"/>
          </w:tcPr>
          <w:p w14:paraId="3C8FECFD" w14:textId="5EE7293A" w:rsidR="00C64BE7" w:rsidRPr="00601463" w:rsidRDefault="00D24434" w:rsidP="00A35F01">
            <w:pPr>
              <w:jc w:val="center"/>
              <w:rPr>
                <w:rFonts w:cstheme="minorHAnsi"/>
                <w:sz w:val="16"/>
                <w:szCs w:val="16"/>
              </w:rPr>
            </w:pPr>
            <w:r>
              <w:rPr>
                <w:rFonts w:cstheme="minorHAnsi"/>
                <w:sz w:val="16"/>
                <w:szCs w:val="16"/>
              </w:rPr>
              <w:t>Low</w:t>
            </w:r>
            <w:r w:rsidR="00C64BE7" w:rsidRPr="00601463">
              <w:rPr>
                <w:rFonts w:cstheme="minorHAnsi"/>
                <w:sz w:val="16"/>
                <w:szCs w:val="16"/>
              </w:rPr>
              <w:t>er 2C</w:t>
            </w:r>
          </w:p>
        </w:tc>
        <w:tc>
          <w:tcPr>
            <w:tcW w:w="2265" w:type="dxa"/>
            <w:shd w:val="clear" w:color="auto" w:fill="DDECF7"/>
          </w:tcPr>
          <w:p w14:paraId="788388AA" w14:textId="32DD59B6" w:rsidR="00C64BE7" w:rsidRPr="00601463" w:rsidRDefault="00E11EEC" w:rsidP="00A35F01">
            <w:pPr>
              <w:jc w:val="center"/>
              <w:rPr>
                <w:rFonts w:cstheme="minorHAnsi"/>
                <w:sz w:val="16"/>
                <w:szCs w:val="16"/>
              </w:rPr>
            </w:pPr>
            <w:r>
              <w:rPr>
                <w:rFonts w:cstheme="minorHAnsi"/>
                <w:sz w:val="16"/>
                <w:szCs w:val="16"/>
              </w:rPr>
              <w:t>Lowe</w:t>
            </w:r>
            <w:r w:rsidR="00C64BE7" w:rsidRPr="00601463">
              <w:rPr>
                <w:rFonts w:cstheme="minorHAnsi"/>
                <w:sz w:val="16"/>
                <w:szCs w:val="16"/>
              </w:rPr>
              <w:t>r 2C</w:t>
            </w:r>
          </w:p>
        </w:tc>
      </w:tr>
    </w:tbl>
    <w:p w14:paraId="365DBBD0" w14:textId="77777777" w:rsidR="00D24434" w:rsidRDefault="00D24434" w:rsidP="00C64BE7">
      <w:pPr>
        <w:sectPr w:rsidR="00D24434">
          <w:pgSz w:w="11906" w:h="16838"/>
          <w:pgMar w:top="1418" w:right="1418" w:bottom="1418" w:left="1418" w:header="709" w:footer="709" w:gutter="0"/>
          <w:cols w:space="720"/>
        </w:sectPr>
      </w:pPr>
    </w:p>
    <w:p w14:paraId="68615D4E" w14:textId="5590FD99" w:rsidR="00D24434" w:rsidRDefault="00D24434" w:rsidP="00C64BE7"/>
    <w:p w14:paraId="4D4FE2D7" w14:textId="77777777" w:rsidR="00C64BE7" w:rsidRDefault="00C64BE7" w:rsidP="00C64BE7">
      <w:pPr>
        <w:pStyle w:val="Heading3"/>
        <w:numPr>
          <w:ilvl w:val="0"/>
          <w:numId w:val="34"/>
        </w:numPr>
        <w:tabs>
          <w:tab w:val="num" w:pos="360"/>
          <w:tab w:val="num" w:pos="397"/>
        </w:tabs>
        <w:ind w:left="397" w:hanging="397"/>
      </w:pPr>
      <w:r>
        <w:t>Mitigation lever results</w:t>
      </w:r>
    </w:p>
    <w:p w14:paraId="0CBE2D7C" w14:textId="77777777" w:rsidR="00C64BE7" w:rsidRDefault="00C64BE7" w:rsidP="00C64BE7"/>
    <w:p w14:paraId="76E3A1E5" w14:textId="77777777" w:rsidR="00C64BE7" w:rsidRDefault="00C64BE7" w:rsidP="00E050BE">
      <w:pPr>
        <w:pStyle w:val="CaptionFigure"/>
        <w:jc w:val="center"/>
      </w:pPr>
      <w:r w:rsidRPr="00A654A2">
        <w:rPr>
          <w:b/>
          <w:bCs/>
        </w:rPr>
        <w:t xml:space="preserve">Table </w:t>
      </w:r>
      <w:r>
        <w:rPr>
          <w:b/>
          <w:bCs/>
        </w:rPr>
        <w:t>S5</w:t>
      </w:r>
      <w:r>
        <w:t xml:space="preserve"> Comparison of mitigation levers</w:t>
      </w:r>
    </w:p>
    <w:tbl>
      <w:tblPr>
        <w:tblW w:w="9390" w:type="dxa"/>
        <w:tblBorders>
          <w:top w:val="nil"/>
          <w:left w:val="nil"/>
          <w:bottom w:val="nil"/>
          <w:right w:val="nil"/>
          <w:insideH w:val="nil"/>
          <w:insideV w:val="nil"/>
        </w:tblBorders>
        <w:tblLayout w:type="fixed"/>
        <w:tblLook w:val="0600" w:firstRow="0" w:lastRow="0" w:firstColumn="0" w:lastColumn="0" w:noHBand="1" w:noVBand="1"/>
      </w:tblPr>
      <w:tblGrid>
        <w:gridCol w:w="1878"/>
        <w:gridCol w:w="1878"/>
        <w:gridCol w:w="1878"/>
        <w:gridCol w:w="1878"/>
        <w:gridCol w:w="1878"/>
      </w:tblGrid>
      <w:tr w:rsidR="00C64BE7" w14:paraId="1D43F70C" w14:textId="77777777" w:rsidTr="00A35F01">
        <w:trPr>
          <w:trHeight w:val="170"/>
        </w:trPr>
        <w:tc>
          <w:tcPr>
            <w:tcW w:w="1878" w:type="dxa"/>
            <w:vMerge w:val="restart"/>
            <w:tcBorders>
              <w:top w:val="single" w:sz="4" w:space="0" w:color="000000"/>
              <w:left w:val="single" w:sz="4" w:space="0" w:color="000000"/>
              <w:bottom w:val="single" w:sz="8" w:space="0" w:color="000000"/>
              <w:right w:val="single" w:sz="4" w:space="0" w:color="000000"/>
            </w:tcBorders>
            <w:shd w:val="clear" w:color="auto" w:fill="1C85A0"/>
            <w:tcMar>
              <w:top w:w="100" w:type="dxa"/>
              <w:left w:w="100" w:type="dxa"/>
              <w:bottom w:w="100" w:type="dxa"/>
              <w:right w:w="100" w:type="dxa"/>
            </w:tcMar>
            <w:vAlign w:val="center"/>
          </w:tcPr>
          <w:p w14:paraId="15C6C2B5" w14:textId="77777777" w:rsidR="00C64BE7" w:rsidRDefault="00C64BE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Mitigation</w:t>
            </w:r>
          </w:p>
          <w:p w14:paraId="05285E9E" w14:textId="77777777" w:rsidR="00C64BE7" w:rsidRDefault="00C64BE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Lever</w:t>
            </w:r>
          </w:p>
        </w:tc>
        <w:tc>
          <w:tcPr>
            <w:tcW w:w="1878" w:type="dxa"/>
            <w:vMerge w:val="restart"/>
            <w:tcBorders>
              <w:top w:val="single" w:sz="4" w:space="0" w:color="000000"/>
              <w:left w:val="single" w:sz="4" w:space="0" w:color="000000"/>
              <w:bottom w:val="single" w:sz="8" w:space="0" w:color="000000"/>
              <w:right w:val="single" w:sz="4" w:space="0" w:color="000000"/>
            </w:tcBorders>
            <w:shd w:val="clear" w:color="auto" w:fill="1C85A0"/>
            <w:tcMar>
              <w:top w:w="100" w:type="dxa"/>
              <w:left w:w="100" w:type="dxa"/>
              <w:bottom w:w="100" w:type="dxa"/>
              <w:right w:w="100" w:type="dxa"/>
            </w:tcMar>
            <w:vAlign w:val="center"/>
          </w:tcPr>
          <w:p w14:paraId="78C28419" w14:textId="77777777" w:rsidR="00C64BE7" w:rsidRDefault="00C64BE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Pathway</w:t>
            </w: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1C85A0"/>
            <w:tcMar>
              <w:top w:w="100" w:type="dxa"/>
              <w:left w:w="100" w:type="dxa"/>
              <w:bottom w:w="100" w:type="dxa"/>
              <w:right w:w="100" w:type="dxa"/>
            </w:tcMar>
            <w:vAlign w:val="center"/>
          </w:tcPr>
          <w:p w14:paraId="5952B5D5" w14:textId="77777777" w:rsidR="00C64BE7" w:rsidRDefault="00C64BE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Source</w:t>
            </w:r>
          </w:p>
        </w:tc>
        <w:tc>
          <w:tcPr>
            <w:tcW w:w="3756" w:type="dxa"/>
            <w:gridSpan w:val="2"/>
            <w:tcBorders>
              <w:top w:val="single" w:sz="4" w:space="0" w:color="000000"/>
              <w:left w:val="single" w:sz="4" w:space="0" w:color="000000"/>
              <w:bottom w:val="single" w:sz="4" w:space="0" w:color="000000"/>
              <w:right w:val="single" w:sz="4" w:space="0" w:color="000000"/>
            </w:tcBorders>
            <w:shd w:val="clear" w:color="auto" w:fill="1C85A0"/>
            <w:tcMar>
              <w:top w:w="100" w:type="dxa"/>
              <w:left w:w="100" w:type="dxa"/>
              <w:bottom w:w="100" w:type="dxa"/>
              <w:right w:w="100" w:type="dxa"/>
            </w:tcMar>
            <w:vAlign w:val="center"/>
          </w:tcPr>
          <w:p w14:paraId="551684DE" w14:textId="77777777" w:rsidR="00C64BE7" w:rsidRDefault="00C64BE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Level compared to 2010 (%)</w:t>
            </w:r>
          </w:p>
          <w:p w14:paraId="5BF42658" w14:textId="77777777" w:rsidR="00C64BE7" w:rsidRDefault="00C64BE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Median</w:t>
            </w:r>
          </w:p>
          <w:p w14:paraId="406FD4D0" w14:textId="77777777" w:rsidR="00C64BE7" w:rsidRDefault="00C64BE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(Interquartile Range)</w:t>
            </w:r>
          </w:p>
        </w:tc>
      </w:tr>
      <w:tr w:rsidR="00C64BE7" w14:paraId="7AC87D33" w14:textId="77777777" w:rsidTr="00A35F01">
        <w:trPr>
          <w:trHeight w:val="170"/>
        </w:trPr>
        <w:tc>
          <w:tcPr>
            <w:tcW w:w="1878" w:type="dxa"/>
            <w:vMerge/>
            <w:tcBorders>
              <w:top w:val="single" w:sz="4" w:space="0" w:color="000000"/>
              <w:left w:val="single" w:sz="4" w:space="0" w:color="000000"/>
              <w:bottom w:val="single" w:sz="4" w:space="0" w:color="000000"/>
              <w:right w:val="single" w:sz="4" w:space="0" w:color="000000"/>
            </w:tcBorders>
            <w:shd w:val="clear" w:color="auto" w:fill="1C85A0"/>
            <w:tcMar>
              <w:top w:w="100" w:type="dxa"/>
              <w:left w:w="100" w:type="dxa"/>
              <w:bottom w:w="100" w:type="dxa"/>
              <w:right w:w="100" w:type="dxa"/>
            </w:tcMar>
            <w:vAlign w:val="center"/>
          </w:tcPr>
          <w:p w14:paraId="536945C6" w14:textId="77777777" w:rsidR="00C64BE7" w:rsidRDefault="00C64BE7" w:rsidP="00A35F01">
            <w:pPr>
              <w:widowControl w:val="0"/>
              <w:pBdr>
                <w:top w:val="nil"/>
                <w:left w:val="nil"/>
                <w:bottom w:val="nil"/>
                <w:right w:val="nil"/>
                <w:between w:val="nil"/>
              </w:pBdr>
              <w:jc w:val="center"/>
              <w:rPr>
                <w:b/>
                <w:color w:val="FFFFFF"/>
                <w:sz w:val="16"/>
                <w:szCs w:val="16"/>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1C85A0"/>
            <w:tcMar>
              <w:top w:w="100" w:type="dxa"/>
              <w:left w:w="100" w:type="dxa"/>
              <w:bottom w:w="100" w:type="dxa"/>
              <w:right w:w="100" w:type="dxa"/>
            </w:tcMar>
            <w:vAlign w:val="center"/>
          </w:tcPr>
          <w:p w14:paraId="08A6A289" w14:textId="77777777" w:rsidR="00C64BE7" w:rsidRDefault="00C64BE7" w:rsidP="00A35F01">
            <w:pPr>
              <w:widowControl w:val="0"/>
              <w:pBdr>
                <w:top w:val="nil"/>
                <w:left w:val="nil"/>
                <w:bottom w:val="nil"/>
                <w:right w:val="nil"/>
                <w:between w:val="nil"/>
              </w:pBdr>
              <w:jc w:val="center"/>
              <w:rPr>
                <w:b/>
                <w:color w:val="FFFFFF"/>
                <w:sz w:val="16"/>
                <w:szCs w:val="16"/>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1C85A0"/>
            <w:tcMar>
              <w:top w:w="100" w:type="dxa"/>
              <w:left w:w="100" w:type="dxa"/>
              <w:bottom w:w="100" w:type="dxa"/>
              <w:right w:w="100" w:type="dxa"/>
            </w:tcMar>
            <w:vAlign w:val="center"/>
          </w:tcPr>
          <w:p w14:paraId="7BB620EE" w14:textId="77777777" w:rsidR="00C64BE7"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1C85A0"/>
            <w:tcMar>
              <w:top w:w="100" w:type="dxa"/>
              <w:left w:w="100" w:type="dxa"/>
              <w:bottom w:w="100" w:type="dxa"/>
              <w:right w:w="100" w:type="dxa"/>
            </w:tcMar>
            <w:vAlign w:val="center"/>
          </w:tcPr>
          <w:p w14:paraId="151A4F63" w14:textId="77777777" w:rsidR="00C64BE7" w:rsidRDefault="00C64BE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2030</w:t>
            </w:r>
          </w:p>
        </w:tc>
        <w:tc>
          <w:tcPr>
            <w:tcW w:w="1878" w:type="dxa"/>
            <w:tcBorders>
              <w:top w:val="single" w:sz="4" w:space="0" w:color="000000"/>
              <w:left w:val="single" w:sz="4" w:space="0" w:color="000000"/>
              <w:bottom w:val="single" w:sz="4" w:space="0" w:color="000000"/>
              <w:right w:val="single" w:sz="4" w:space="0" w:color="000000"/>
            </w:tcBorders>
            <w:shd w:val="clear" w:color="auto" w:fill="1C85A0"/>
            <w:tcMar>
              <w:top w:w="100" w:type="dxa"/>
              <w:left w:w="100" w:type="dxa"/>
              <w:bottom w:w="100" w:type="dxa"/>
              <w:right w:w="100" w:type="dxa"/>
            </w:tcMar>
            <w:vAlign w:val="center"/>
          </w:tcPr>
          <w:p w14:paraId="2D64456F" w14:textId="77777777" w:rsidR="00C64BE7" w:rsidRDefault="00C64BE7" w:rsidP="00A35F01">
            <w:pPr>
              <w:widowControl w:val="0"/>
              <w:pBdr>
                <w:top w:val="nil"/>
                <w:left w:val="nil"/>
                <w:bottom w:val="nil"/>
                <w:right w:val="nil"/>
                <w:between w:val="nil"/>
              </w:pBdr>
              <w:spacing w:line="276" w:lineRule="auto"/>
              <w:jc w:val="center"/>
              <w:rPr>
                <w:b/>
                <w:color w:val="FFFFFF"/>
                <w:sz w:val="16"/>
                <w:szCs w:val="16"/>
              </w:rPr>
            </w:pPr>
            <w:r>
              <w:rPr>
                <w:b/>
                <w:color w:val="FFFFFF"/>
                <w:sz w:val="16"/>
                <w:szCs w:val="16"/>
              </w:rPr>
              <w:t>2050</w:t>
            </w:r>
          </w:p>
        </w:tc>
      </w:tr>
      <w:tr w:rsidR="00C64BE7" w14:paraId="0C963806" w14:textId="77777777" w:rsidTr="00A35F01">
        <w:trPr>
          <w:trHeight w:val="57"/>
        </w:trPr>
        <w:tc>
          <w:tcPr>
            <w:tcW w:w="1878" w:type="dxa"/>
            <w:vMerge w:val="restart"/>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8781179" w14:textId="77777777" w:rsidR="00C64BE7" w:rsidRPr="006D48AB" w:rsidRDefault="00C64BE7" w:rsidP="00A35F01">
            <w:pPr>
              <w:jc w:val="center"/>
              <w:rPr>
                <w:b/>
                <w:sz w:val="16"/>
                <w:szCs w:val="16"/>
              </w:rPr>
            </w:pPr>
            <w:r w:rsidRPr="006D48AB">
              <w:rPr>
                <w:b/>
                <w:sz w:val="16"/>
                <w:szCs w:val="16"/>
              </w:rPr>
              <w:t>E</w:t>
            </w:r>
            <w:r w:rsidRPr="006D48AB">
              <w:rPr>
                <w:b/>
                <w:sz w:val="16"/>
                <w:szCs w:val="16"/>
                <w:vertAlign w:val="subscript"/>
              </w:rPr>
              <w:t>t</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31434A37"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Below 1.5C [7]</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D82F22C"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SR15</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23918C27"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84 (96, 82)</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21BA8BE9"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89 (112, 85)</w:t>
            </w:r>
          </w:p>
        </w:tc>
      </w:tr>
      <w:tr w:rsidR="00C64BE7" w14:paraId="4D5F4777" w14:textId="77777777" w:rsidTr="00A35F01">
        <w:trPr>
          <w:trHeight w:val="57"/>
        </w:trPr>
        <w:tc>
          <w:tcPr>
            <w:tcW w:w="1878" w:type="dxa"/>
            <w:vMerge/>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9EFF181" w14:textId="77777777" w:rsidR="00C64BE7" w:rsidRPr="006D48AB"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0510CBF7"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1.5C low overshoot [43]</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06D7DFF"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SR15</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3387937A"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103 (109, 92)</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3318243"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112 (122, 95)</w:t>
            </w:r>
          </w:p>
        </w:tc>
      </w:tr>
      <w:tr w:rsidR="00C64BE7" w14:paraId="52FE75A8" w14:textId="77777777" w:rsidTr="00A35F01">
        <w:trPr>
          <w:trHeight w:val="57"/>
        </w:trPr>
        <w:tc>
          <w:tcPr>
            <w:tcW w:w="1878" w:type="dxa"/>
            <w:vMerge/>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5B457546" w14:textId="77777777" w:rsidR="00C64BE7" w:rsidRPr="006D48AB"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12B0DE7E"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1.5C high overshoot [35]</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26543602"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SR15</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07A8A0FA"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125 (129, 118)</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6B345DC6"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138 (147, 120)</w:t>
            </w:r>
          </w:p>
        </w:tc>
      </w:tr>
      <w:tr w:rsidR="00C64BE7" w14:paraId="5526495A" w14:textId="77777777" w:rsidTr="00A35F01">
        <w:trPr>
          <w:trHeight w:val="57"/>
        </w:trPr>
        <w:tc>
          <w:tcPr>
            <w:tcW w:w="1878" w:type="dxa"/>
            <w:vMerge/>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06F48A46" w14:textId="77777777" w:rsidR="00C64BE7" w:rsidRPr="006D48AB"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6E69438B"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Lower 2C [74]</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57511A77"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SR15</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5D712185"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113 (126, 103)</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581FC06F"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127 (138, 112)</w:t>
            </w:r>
          </w:p>
        </w:tc>
      </w:tr>
      <w:tr w:rsidR="00C64BE7" w14:paraId="65872388" w14:textId="77777777" w:rsidTr="00A35F01">
        <w:trPr>
          <w:trHeight w:val="57"/>
        </w:trPr>
        <w:tc>
          <w:tcPr>
            <w:tcW w:w="1878" w:type="dxa"/>
            <w:vMerge/>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38D8D22B" w14:textId="77777777" w:rsidR="00C64BE7" w:rsidRPr="006D48AB"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103989B"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Higher 2C [58]</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32025C1C"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SR15</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1F9463EF"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124 (133, 112)</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1ACA7F6C"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144 (151, 122)</w:t>
            </w:r>
          </w:p>
        </w:tc>
      </w:tr>
      <w:tr w:rsidR="00C64BE7" w14:paraId="01040847" w14:textId="77777777" w:rsidTr="00A35F01">
        <w:trPr>
          <w:trHeight w:val="57"/>
        </w:trPr>
        <w:tc>
          <w:tcPr>
            <w:tcW w:w="1878" w:type="dxa"/>
            <w:vMerge/>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0C6AF552" w14:textId="77777777" w:rsidR="00C64BE7" w:rsidRPr="006D48AB"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E520741"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Above 2C [188]</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2BED38DC"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SR15</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46AB074B"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134 (143, 127)</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2A43AB01"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160 (178, 148)</w:t>
            </w:r>
          </w:p>
        </w:tc>
      </w:tr>
      <w:tr w:rsidR="00C64BE7" w14:paraId="600E2C1E" w14:textId="77777777" w:rsidTr="00A35F01">
        <w:trPr>
          <w:trHeight w:val="57"/>
        </w:trPr>
        <w:tc>
          <w:tcPr>
            <w:tcW w:w="1878" w:type="dxa"/>
            <w:vMerge/>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12BE4724" w14:textId="77777777" w:rsidR="00C64BE7" w:rsidRPr="006D48AB"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28BBDE29"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Rebalance</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4A46A512"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equinor</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13378164"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113</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536B8D07"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98</w:t>
            </w:r>
          </w:p>
        </w:tc>
      </w:tr>
      <w:tr w:rsidR="00C64BE7" w14:paraId="28655313" w14:textId="77777777" w:rsidTr="00A35F01">
        <w:trPr>
          <w:trHeight w:val="57"/>
        </w:trPr>
        <w:tc>
          <w:tcPr>
            <w:tcW w:w="1878" w:type="dxa"/>
            <w:vMerge/>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1ABF6E4A" w14:textId="77777777" w:rsidR="00C64BE7" w:rsidRPr="006D48AB"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3CF6DC3B"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Sky</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656BAAFC"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shell</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6E8B606F"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124</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3FF68D3"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149</w:t>
            </w:r>
          </w:p>
        </w:tc>
      </w:tr>
      <w:tr w:rsidR="00C64BE7" w14:paraId="50131DC3" w14:textId="77777777" w:rsidTr="00A35F01">
        <w:trPr>
          <w:trHeight w:val="57"/>
        </w:trPr>
        <w:tc>
          <w:tcPr>
            <w:tcW w:w="1878" w:type="dxa"/>
            <w:vMerge/>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5230D372" w14:textId="77777777" w:rsidR="00C64BE7" w:rsidRPr="006D48AB"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362CAA8F"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SD</w:t>
            </w:r>
            <w:r>
              <w:rPr>
                <w:b/>
                <w:sz w:val="16"/>
                <w:szCs w:val="16"/>
              </w:rPr>
              <w:t>S</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6A980A3C"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Pr>
                <w:b/>
                <w:sz w:val="16"/>
                <w:szCs w:val="16"/>
              </w:rPr>
              <w:t>IEA</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65CD9B47"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109</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1BCAD9D2"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p>
        </w:tc>
      </w:tr>
      <w:tr w:rsidR="00C64BE7" w14:paraId="147FD72A" w14:textId="77777777" w:rsidTr="00A35F01">
        <w:trPr>
          <w:trHeight w:val="57"/>
        </w:trPr>
        <w:tc>
          <w:tcPr>
            <w:tcW w:w="1878" w:type="dxa"/>
            <w:vMerge/>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08699ED4" w14:textId="77777777" w:rsidR="00C64BE7" w:rsidRPr="006D48AB"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56FEEE73"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NZE2050</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0D0E9DE7"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Pr>
                <w:b/>
                <w:sz w:val="16"/>
                <w:szCs w:val="16"/>
              </w:rPr>
              <w:t>IEA</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04CC5E85"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106</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2F52BF40"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93</w:t>
            </w:r>
          </w:p>
        </w:tc>
      </w:tr>
      <w:tr w:rsidR="00C64BE7" w14:paraId="42E734D3" w14:textId="77777777" w:rsidTr="00A35F01">
        <w:trPr>
          <w:trHeight w:val="57"/>
        </w:trPr>
        <w:tc>
          <w:tcPr>
            <w:tcW w:w="1878" w:type="dxa"/>
            <w:vMerge w:val="restart"/>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076E22BB"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vertAlign w:val="subscript"/>
              </w:rPr>
            </w:pPr>
            <w:r w:rsidRPr="006D48AB">
              <w:rPr>
                <w:b/>
                <w:sz w:val="16"/>
                <w:szCs w:val="16"/>
              </w:rPr>
              <w:t>CI</w:t>
            </w:r>
            <w:r w:rsidRPr="006D48AB">
              <w:rPr>
                <w:b/>
                <w:sz w:val="16"/>
                <w:szCs w:val="16"/>
                <w:vertAlign w:val="subscript"/>
              </w:rPr>
              <w:t>t</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27370374" w14:textId="77777777" w:rsidR="00C64BE7" w:rsidRPr="006D48AB" w:rsidRDefault="00C64BE7" w:rsidP="00A35F01">
            <w:pPr>
              <w:widowControl w:val="0"/>
              <w:spacing w:line="276" w:lineRule="auto"/>
              <w:jc w:val="center"/>
              <w:rPr>
                <w:b/>
                <w:sz w:val="16"/>
                <w:szCs w:val="16"/>
              </w:rPr>
            </w:pPr>
            <w:r w:rsidRPr="006D48AB">
              <w:rPr>
                <w:b/>
                <w:sz w:val="16"/>
                <w:szCs w:val="16"/>
              </w:rPr>
              <w:t>Below 1.5C [7]</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048C305E"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SR15</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1128349B"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47 (50, 42)</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4E76E976"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4 (10, 3)</w:t>
            </w:r>
          </w:p>
        </w:tc>
      </w:tr>
      <w:tr w:rsidR="00C64BE7" w14:paraId="3145DD99" w14:textId="77777777" w:rsidTr="00A35F01">
        <w:trPr>
          <w:trHeight w:val="57"/>
        </w:trPr>
        <w:tc>
          <w:tcPr>
            <w:tcW w:w="1878" w:type="dxa"/>
            <w:vMerge/>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3AE25E24" w14:textId="77777777" w:rsidR="00C64BE7" w:rsidRPr="006D48AB"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19425C9A" w14:textId="77777777" w:rsidR="00C64BE7" w:rsidRPr="006D48AB" w:rsidRDefault="00C64BE7" w:rsidP="00A35F01">
            <w:pPr>
              <w:widowControl w:val="0"/>
              <w:spacing w:line="276" w:lineRule="auto"/>
              <w:jc w:val="center"/>
              <w:rPr>
                <w:b/>
                <w:sz w:val="16"/>
                <w:szCs w:val="16"/>
              </w:rPr>
            </w:pPr>
            <w:r w:rsidRPr="006D48AB">
              <w:rPr>
                <w:b/>
                <w:sz w:val="16"/>
                <w:szCs w:val="16"/>
              </w:rPr>
              <w:t>1.5C low overshoot [43]</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21E74B66"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SR15</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41445E86"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62 (72, 57)</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6EB05AE"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11 (18, -0)</w:t>
            </w:r>
          </w:p>
        </w:tc>
      </w:tr>
      <w:tr w:rsidR="00C64BE7" w14:paraId="27EE288B" w14:textId="77777777" w:rsidTr="00A35F01">
        <w:trPr>
          <w:trHeight w:val="57"/>
        </w:trPr>
        <w:tc>
          <w:tcPr>
            <w:tcW w:w="1878" w:type="dxa"/>
            <w:vMerge/>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6052F3F2" w14:textId="77777777" w:rsidR="00C64BE7" w:rsidRPr="006D48AB"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6965820C" w14:textId="77777777" w:rsidR="00C64BE7" w:rsidRPr="006D48AB" w:rsidRDefault="00C64BE7" w:rsidP="00A35F01">
            <w:pPr>
              <w:widowControl w:val="0"/>
              <w:spacing w:line="276" w:lineRule="auto"/>
              <w:jc w:val="center"/>
              <w:rPr>
                <w:b/>
                <w:sz w:val="16"/>
                <w:szCs w:val="16"/>
              </w:rPr>
            </w:pPr>
            <w:r w:rsidRPr="006D48AB">
              <w:rPr>
                <w:b/>
                <w:sz w:val="16"/>
                <w:szCs w:val="16"/>
              </w:rPr>
              <w:t>1.5C high overshoot [35]</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63AFF37"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SR15</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505DE0A8"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73 (82, 66)</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3C807AA7"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9 (22, 3)</w:t>
            </w:r>
          </w:p>
        </w:tc>
      </w:tr>
      <w:tr w:rsidR="00C64BE7" w14:paraId="6D282C49" w14:textId="77777777" w:rsidTr="00A35F01">
        <w:trPr>
          <w:trHeight w:val="57"/>
        </w:trPr>
        <w:tc>
          <w:tcPr>
            <w:tcW w:w="1878" w:type="dxa"/>
            <w:vMerge/>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6962819" w14:textId="77777777" w:rsidR="00C64BE7" w:rsidRPr="006D48AB"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98D2B7C" w14:textId="77777777" w:rsidR="00C64BE7" w:rsidRPr="006D48AB" w:rsidRDefault="00C64BE7" w:rsidP="00A35F01">
            <w:pPr>
              <w:widowControl w:val="0"/>
              <w:spacing w:line="276" w:lineRule="auto"/>
              <w:jc w:val="center"/>
              <w:rPr>
                <w:b/>
                <w:sz w:val="16"/>
                <w:szCs w:val="16"/>
              </w:rPr>
            </w:pPr>
            <w:r w:rsidRPr="006D48AB">
              <w:rPr>
                <w:b/>
                <w:sz w:val="16"/>
                <w:szCs w:val="16"/>
              </w:rPr>
              <w:t>Lower 2C [74]</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37CA1D2C"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SR15</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5FCDF4D4"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71 (81, 61)</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B364CAB"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29 (34, 23)</w:t>
            </w:r>
          </w:p>
        </w:tc>
      </w:tr>
      <w:tr w:rsidR="00C64BE7" w14:paraId="6C91D592" w14:textId="77777777" w:rsidTr="00A35F01">
        <w:trPr>
          <w:trHeight w:val="57"/>
        </w:trPr>
        <w:tc>
          <w:tcPr>
            <w:tcW w:w="1878" w:type="dxa"/>
            <w:vMerge/>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3937E993" w14:textId="77777777" w:rsidR="00C64BE7" w:rsidRPr="006D48AB"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31088C63" w14:textId="77777777" w:rsidR="00C64BE7" w:rsidRPr="006D48AB" w:rsidRDefault="00C64BE7" w:rsidP="00A35F01">
            <w:pPr>
              <w:widowControl w:val="0"/>
              <w:spacing w:line="276" w:lineRule="auto"/>
              <w:jc w:val="center"/>
              <w:rPr>
                <w:b/>
                <w:sz w:val="16"/>
                <w:szCs w:val="16"/>
              </w:rPr>
            </w:pPr>
            <w:r w:rsidRPr="006D48AB">
              <w:rPr>
                <w:b/>
                <w:sz w:val="16"/>
                <w:szCs w:val="16"/>
              </w:rPr>
              <w:t>Higher 2C [58]</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2FFE7F98"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SR15</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5171A496"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80 (82, 74)</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0FC3FB71"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38 (45, 28)</w:t>
            </w:r>
          </w:p>
        </w:tc>
      </w:tr>
      <w:tr w:rsidR="00C64BE7" w14:paraId="025E8AB5" w14:textId="77777777" w:rsidTr="00A35F01">
        <w:trPr>
          <w:trHeight w:val="57"/>
        </w:trPr>
        <w:tc>
          <w:tcPr>
            <w:tcW w:w="1878" w:type="dxa"/>
            <w:vMerge/>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31BB32BB" w14:textId="77777777" w:rsidR="00C64BE7" w:rsidRPr="006D48AB"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59610F6" w14:textId="77777777" w:rsidR="00C64BE7" w:rsidRPr="006D48AB" w:rsidRDefault="00C64BE7" w:rsidP="00A35F01">
            <w:pPr>
              <w:widowControl w:val="0"/>
              <w:spacing w:line="276" w:lineRule="auto"/>
              <w:jc w:val="center"/>
              <w:rPr>
                <w:b/>
                <w:sz w:val="16"/>
                <w:szCs w:val="16"/>
              </w:rPr>
            </w:pPr>
            <w:r w:rsidRPr="006D48AB">
              <w:rPr>
                <w:b/>
                <w:sz w:val="16"/>
                <w:szCs w:val="16"/>
              </w:rPr>
              <w:t>Above 2C [188]</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1915B630"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SR15</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0FB1CFC"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94 (103, 88)</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6C93EFAC"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84 (98, 61)</w:t>
            </w:r>
          </w:p>
        </w:tc>
      </w:tr>
      <w:tr w:rsidR="00C64BE7" w14:paraId="62A616CA" w14:textId="77777777" w:rsidTr="00A35F01">
        <w:trPr>
          <w:trHeight w:val="57"/>
        </w:trPr>
        <w:tc>
          <w:tcPr>
            <w:tcW w:w="1878" w:type="dxa"/>
            <w:vMerge/>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FFBE08C" w14:textId="77777777" w:rsidR="00C64BE7" w:rsidRPr="006D48AB"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CE24DCC"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Rebalance</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10CF9475"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Pr>
                <w:b/>
                <w:sz w:val="16"/>
                <w:szCs w:val="16"/>
              </w:rPr>
              <w:t>E</w:t>
            </w:r>
            <w:r w:rsidRPr="006D48AB">
              <w:rPr>
                <w:b/>
                <w:sz w:val="16"/>
                <w:szCs w:val="16"/>
              </w:rPr>
              <w:t>quinor</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067EFE09"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79</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50E45538"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40</w:t>
            </w:r>
          </w:p>
        </w:tc>
      </w:tr>
      <w:tr w:rsidR="00C64BE7" w14:paraId="15B9499E" w14:textId="77777777" w:rsidTr="00A35F01">
        <w:trPr>
          <w:trHeight w:val="57"/>
        </w:trPr>
        <w:tc>
          <w:tcPr>
            <w:tcW w:w="1878" w:type="dxa"/>
            <w:vMerge/>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18C52E3C" w14:textId="77777777" w:rsidR="00C64BE7" w:rsidRPr="006D48AB"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5F8B6805"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Sky</w:t>
            </w:r>
            <w:r>
              <w:rPr>
                <w:b/>
                <w:sz w:val="16"/>
                <w:szCs w:val="16"/>
              </w:rPr>
              <w:t xml:space="preserve"> 1.5</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022278D0"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Pr>
                <w:b/>
                <w:sz w:val="16"/>
                <w:szCs w:val="16"/>
              </w:rPr>
              <w:t>S</w:t>
            </w:r>
            <w:r w:rsidRPr="006D48AB">
              <w:rPr>
                <w:b/>
                <w:sz w:val="16"/>
                <w:szCs w:val="16"/>
              </w:rPr>
              <w:t>hell</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F8173BD"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89</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24421200"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40</w:t>
            </w:r>
          </w:p>
        </w:tc>
      </w:tr>
      <w:tr w:rsidR="00C64BE7" w14:paraId="0D330D23" w14:textId="77777777" w:rsidTr="00A35F01">
        <w:trPr>
          <w:trHeight w:val="57"/>
        </w:trPr>
        <w:tc>
          <w:tcPr>
            <w:tcW w:w="1878" w:type="dxa"/>
            <w:vMerge/>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0049EE0C" w14:textId="77777777" w:rsidR="00C64BE7" w:rsidRPr="006D48AB"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2F3DE5F4"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SDS</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4AB7FD4"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Pr>
                <w:b/>
                <w:sz w:val="16"/>
                <w:szCs w:val="16"/>
              </w:rPr>
              <w:t>IEA</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253ED76"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76</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18C9B50A"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p>
        </w:tc>
      </w:tr>
      <w:tr w:rsidR="00C64BE7" w14:paraId="170EA2C6" w14:textId="77777777" w:rsidTr="00A35F01">
        <w:trPr>
          <w:trHeight w:val="57"/>
        </w:trPr>
        <w:tc>
          <w:tcPr>
            <w:tcW w:w="1878" w:type="dxa"/>
            <w:vMerge/>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7A8BBCA5" w14:textId="77777777" w:rsidR="00C64BE7" w:rsidRPr="006D48AB" w:rsidRDefault="00C64BE7" w:rsidP="00A35F01">
            <w:pPr>
              <w:widowControl w:val="0"/>
              <w:pBdr>
                <w:top w:val="nil"/>
                <w:left w:val="nil"/>
                <w:bottom w:val="nil"/>
                <w:right w:val="nil"/>
                <w:between w:val="nil"/>
              </w:pBdr>
              <w:jc w:val="center"/>
              <w:rPr>
                <w:b/>
                <w:color w:val="FFFFFF"/>
                <w:sz w:val="16"/>
                <w:szCs w:val="16"/>
              </w:rPr>
            </w:pP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5DD10A57"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sidRPr="006D48AB">
              <w:rPr>
                <w:b/>
                <w:sz w:val="16"/>
                <w:szCs w:val="16"/>
              </w:rPr>
              <w:t>NZE</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378683F2" w14:textId="77777777" w:rsidR="00C64BE7" w:rsidRPr="006D48AB" w:rsidRDefault="00C64BE7" w:rsidP="00A35F01">
            <w:pPr>
              <w:widowControl w:val="0"/>
              <w:pBdr>
                <w:top w:val="nil"/>
                <w:left w:val="nil"/>
                <w:bottom w:val="nil"/>
                <w:right w:val="nil"/>
                <w:between w:val="nil"/>
              </w:pBdr>
              <w:spacing w:line="276" w:lineRule="auto"/>
              <w:jc w:val="center"/>
              <w:rPr>
                <w:b/>
                <w:sz w:val="16"/>
                <w:szCs w:val="16"/>
              </w:rPr>
            </w:pPr>
            <w:r>
              <w:rPr>
                <w:b/>
                <w:sz w:val="16"/>
                <w:szCs w:val="16"/>
              </w:rPr>
              <w:t>IEA</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3E80BAAC"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62</w:t>
            </w:r>
          </w:p>
        </w:tc>
        <w:tc>
          <w:tcPr>
            <w:tcW w:w="1878" w:type="dxa"/>
            <w:tcBorders>
              <w:top w:val="single" w:sz="4" w:space="0" w:color="000000"/>
              <w:left w:val="single" w:sz="4" w:space="0" w:color="000000"/>
              <w:bottom w:val="single" w:sz="4" w:space="0" w:color="000000"/>
              <w:right w:val="single" w:sz="4" w:space="0" w:color="000000"/>
            </w:tcBorders>
            <w:shd w:val="clear" w:color="auto" w:fill="DCEBF8"/>
            <w:tcMar>
              <w:top w:w="100" w:type="dxa"/>
              <w:left w:w="100" w:type="dxa"/>
              <w:bottom w:w="100" w:type="dxa"/>
              <w:right w:w="100" w:type="dxa"/>
            </w:tcMar>
            <w:vAlign w:val="center"/>
          </w:tcPr>
          <w:p w14:paraId="6B863791" w14:textId="77777777" w:rsidR="00C64BE7" w:rsidRPr="006D48AB" w:rsidRDefault="00C64BE7" w:rsidP="00A35F01">
            <w:pPr>
              <w:widowControl w:val="0"/>
              <w:pBdr>
                <w:top w:val="nil"/>
                <w:left w:val="nil"/>
                <w:bottom w:val="nil"/>
                <w:right w:val="nil"/>
                <w:between w:val="nil"/>
              </w:pBdr>
              <w:spacing w:line="276" w:lineRule="auto"/>
              <w:jc w:val="center"/>
              <w:rPr>
                <w:b/>
                <w:color w:val="222222"/>
                <w:sz w:val="16"/>
                <w:szCs w:val="16"/>
              </w:rPr>
            </w:pPr>
            <w:r w:rsidRPr="006D48AB">
              <w:rPr>
                <w:b/>
                <w:color w:val="222222"/>
                <w:sz w:val="16"/>
                <w:szCs w:val="16"/>
              </w:rPr>
              <w:t>0</w:t>
            </w:r>
          </w:p>
        </w:tc>
      </w:tr>
    </w:tbl>
    <w:p w14:paraId="27874B64" w14:textId="77777777" w:rsidR="00C64BE7" w:rsidRDefault="00C64BE7" w:rsidP="00C64BE7">
      <w:pPr>
        <w:sectPr w:rsidR="00C64BE7">
          <w:pgSz w:w="11906" w:h="16838"/>
          <w:pgMar w:top="1418" w:right="1418" w:bottom="1418" w:left="1418" w:header="709" w:footer="709" w:gutter="0"/>
          <w:cols w:space="720"/>
        </w:sectPr>
      </w:pPr>
    </w:p>
    <w:p w14:paraId="339D7C4D" w14:textId="5725C0BB" w:rsidR="00B62B8F" w:rsidRDefault="00B62B8F" w:rsidP="00B62B8F">
      <w:pPr>
        <w:pStyle w:val="Heading3"/>
      </w:pPr>
      <w:bookmarkStart w:id="5" w:name="_Toc72859590"/>
      <w:r>
        <w:lastRenderedPageBreak/>
        <w:t>References</w:t>
      </w:r>
      <w:bookmarkEnd w:id="5"/>
    </w:p>
    <w:p w14:paraId="3B963753" w14:textId="707E8499" w:rsidR="00487EEB" w:rsidRPr="00487EEB" w:rsidRDefault="00B62B8F" w:rsidP="00487EEB">
      <w:pPr>
        <w:widowControl w:val="0"/>
        <w:autoSpaceDE w:val="0"/>
        <w:autoSpaceDN w:val="0"/>
        <w:adjustRightInd w:val="0"/>
        <w:ind w:left="640" w:hanging="640"/>
        <w:rPr>
          <w:rFonts w:ascii="Calibri" w:hAnsi="Calibri" w:cs="Calibri"/>
          <w:noProof/>
        </w:rPr>
      </w:pPr>
      <w:r>
        <w:fldChar w:fldCharType="begin" w:fldLock="1"/>
      </w:r>
      <w:r>
        <w:instrText xml:space="preserve">ADDIN Mendeley Bibliography CSL_BIBLIOGRAPHY </w:instrText>
      </w:r>
      <w:r>
        <w:fldChar w:fldCharType="separate"/>
      </w:r>
      <w:r w:rsidR="00487EEB" w:rsidRPr="00487EEB">
        <w:rPr>
          <w:rFonts w:ascii="Calibri" w:hAnsi="Calibri" w:cs="Calibri"/>
          <w:noProof/>
        </w:rPr>
        <w:t>1.</w:t>
      </w:r>
      <w:r w:rsidR="00487EEB" w:rsidRPr="00487EEB">
        <w:rPr>
          <w:rFonts w:ascii="Calibri" w:hAnsi="Calibri" w:cs="Calibri"/>
          <w:noProof/>
        </w:rPr>
        <w:tab/>
        <w:t xml:space="preserve">Lamboll, R. D., Nicholls, Z. R. J., Kikstra, J. S., Meinshausen, M. &amp; Rogelj, J. Silicone v1.0.0: An open-source Python package for inferring missing emissions data for climate change research. </w:t>
      </w:r>
      <w:r w:rsidR="00487EEB" w:rsidRPr="00487EEB">
        <w:rPr>
          <w:rFonts w:ascii="Calibri" w:hAnsi="Calibri" w:cs="Calibri"/>
          <w:i/>
          <w:iCs/>
          <w:noProof/>
        </w:rPr>
        <w:t>Geosci. Model Dev.</w:t>
      </w:r>
      <w:r w:rsidR="00487EEB" w:rsidRPr="00487EEB">
        <w:rPr>
          <w:rFonts w:ascii="Calibri" w:hAnsi="Calibri" w:cs="Calibri"/>
          <w:noProof/>
        </w:rPr>
        <w:t xml:space="preserve"> </w:t>
      </w:r>
      <w:r w:rsidR="00487EEB" w:rsidRPr="00487EEB">
        <w:rPr>
          <w:rFonts w:ascii="Calibri" w:hAnsi="Calibri" w:cs="Calibri"/>
          <w:b/>
          <w:bCs/>
          <w:noProof/>
        </w:rPr>
        <w:t>13</w:t>
      </w:r>
      <w:r w:rsidR="00487EEB" w:rsidRPr="00487EEB">
        <w:rPr>
          <w:rFonts w:ascii="Calibri" w:hAnsi="Calibri" w:cs="Calibri"/>
          <w:noProof/>
        </w:rPr>
        <w:t>, 5259–5275 (2020).</w:t>
      </w:r>
    </w:p>
    <w:p w14:paraId="0CD53928" w14:textId="77777777" w:rsidR="00487EEB" w:rsidRPr="00487EEB" w:rsidRDefault="00487EEB" w:rsidP="00487EEB">
      <w:pPr>
        <w:widowControl w:val="0"/>
        <w:autoSpaceDE w:val="0"/>
        <w:autoSpaceDN w:val="0"/>
        <w:adjustRightInd w:val="0"/>
        <w:ind w:left="640" w:hanging="640"/>
        <w:rPr>
          <w:rFonts w:ascii="Calibri" w:hAnsi="Calibri" w:cs="Calibri"/>
          <w:noProof/>
        </w:rPr>
      </w:pPr>
      <w:r w:rsidRPr="00487EEB">
        <w:rPr>
          <w:rFonts w:ascii="Calibri" w:hAnsi="Calibri" w:cs="Calibri"/>
          <w:noProof/>
        </w:rPr>
        <w:t>2.</w:t>
      </w:r>
      <w:r w:rsidRPr="00487EEB">
        <w:rPr>
          <w:rFonts w:ascii="Calibri" w:hAnsi="Calibri" w:cs="Calibri"/>
          <w:noProof/>
        </w:rPr>
        <w:tab/>
        <w:t xml:space="preserve">Rogelj, J. </w:t>
      </w:r>
      <w:r w:rsidRPr="00487EEB">
        <w:rPr>
          <w:rFonts w:ascii="Calibri" w:hAnsi="Calibri" w:cs="Calibri"/>
          <w:i/>
          <w:iCs/>
          <w:noProof/>
        </w:rPr>
        <w:t>et al.</w:t>
      </w:r>
      <w:r w:rsidRPr="00487EEB">
        <w:rPr>
          <w:rFonts w:ascii="Calibri" w:hAnsi="Calibri" w:cs="Calibri"/>
          <w:noProof/>
        </w:rPr>
        <w:t xml:space="preserve"> Chapter 2: Mitigation Pathways Compatible with 1.5°C in the Context of Sustainable Development. in </w:t>
      </w:r>
      <w:r w:rsidRPr="00487EEB">
        <w:rPr>
          <w:rFonts w:ascii="Calibri" w:hAnsi="Calibri" w:cs="Calibri"/>
          <w:i/>
          <w:iCs/>
          <w:noProof/>
        </w:rPr>
        <w:t>Global Warming of 1.5°C. An IPCC Special Report on the impacts of global warming of 1.5°C above pre-industrial levels and related global greenhouse gas emission pathways, in the context of strengthening the global response to the threat of climate change</w:t>
      </w:r>
      <w:r w:rsidRPr="00487EEB">
        <w:rPr>
          <w:rFonts w:ascii="Calibri" w:hAnsi="Calibri" w:cs="Calibri"/>
          <w:noProof/>
        </w:rPr>
        <w:t xml:space="preserve"> (eds. Masson-Delmotte, V. et al.) (IPCC, 2018).</w:t>
      </w:r>
    </w:p>
    <w:p w14:paraId="47AB2B16" w14:textId="6AFE6A60" w:rsidR="008636C4" w:rsidRPr="008636C4" w:rsidRDefault="00B62B8F" w:rsidP="00487EEB">
      <w:pPr>
        <w:widowControl w:val="0"/>
        <w:autoSpaceDE w:val="0"/>
        <w:autoSpaceDN w:val="0"/>
        <w:adjustRightInd w:val="0"/>
        <w:ind w:left="640" w:hanging="640"/>
      </w:pPr>
      <w:r>
        <w:fldChar w:fldCharType="end"/>
      </w:r>
    </w:p>
    <w:sectPr w:rsidR="008636C4" w:rsidRPr="008636C4">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70CC" w14:textId="77777777" w:rsidR="003C13B1" w:rsidRDefault="003C13B1">
      <w:r>
        <w:separator/>
      </w:r>
    </w:p>
  </w:endnote>
  <w:endnote w:type="continuationSeparator" w:id="0">
    <w:p w14:paraId="4A4BE27C" w14:textId="77777777" w:rsidR="003C13B1" w:rsidRDefault="003C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Brandon Grotesque">
    <w:panose1 w:val="00000000000000000000"/>
    <w:charset w:val="4D"/>
    <w:family w:val="swiss"/>
    <w:notTrueType/>
    <w:pitch w:val="variable"/>
    <w:sig w:usb0="A000002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DAB" w14:textId="77777777" w:rsidR="00AA4CF2" w:rsidRDefault="000A20DE">
    <w:pPr>
      <w:pStyle w:val="Footer"/>
    </w:pPr>
    <w:r>
      <w:t xml:space="preserve"> </w:t>
    </w:r>
  </w:p>
  <w:p w14:paraId="72823371" w14:textId="0CDF4C5C" w:rsidR="00AA4CF2" w:rsidRDefault="00991A2E">
    <w:pPr>
      <w:pStyle w:val="Footer"/>
      <w:jc w:val="right"/>
    </w:pPr>
    <w:r>
      <w:rPr>
        <w:sz w:val="18"/>
        <w:szCs w:val="18"/>
      </w:rPr>
      <w:tab/>
    </w:r>
    <w:r>
      <w:rPr>
        <w:sz w:val="18"/>
        <w:szCs w:val="18"/>
      </w:rPr>
      <w:tab/>
    </w:r>
    <w:r w:rsidR="000A20DE">
      <w:rPr>
        <w:sz w:val="18"/>
        <w:szCs w:val="18"/>
      </w:rPr>
      <w:fldChar w:fldCharType="begin"/>
    </w:r>
    <w:r w:rsidR="000A20DE">
      <w:rPr>
        <w:sz w:val="18"/>
        <w:szCs w:val="18"/>
      </w:rPr>
      <w:instrText xml:space="preserve"> PAGE </w:instrText>
    </w:r>
    <w:r w:rsidR="000A20DE">
      <w:rPr>
        <w:sz w:val="18"/>
        <w:szCs w:val="18"/>
      </w:rPr>
      <w:fldChar w:fldCharType="separate"/>
    </w:r>
    <w:r w:rsidR="000A20DE">
      <w:rPr>
        <w:sz w:val="18"/>
        <w:szCs w:val="18"/>
      </w:rPr>
      <w:t>2</w:t>
    </w:r>
    <w:r w:rsidR="000A20D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EF4C3" w14:textId="77777777" w:rsidR="003C13B1" w:rsidRDefault="003C13B1">
      <w:r>
        <w:separator/>
      </w:r>
    </w:p>
  </w:footnote>
  <w:footnote w:type="continuationSeparator" w:id="0">
    <w:p w14:paraId="45EA5F13" w14:textId="77777777" w:rsidR="003C13B1" w:rsidRDefault="003C1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D532" w14:textId="40BEB241" w:rsidR="00AA4CF2" w:rsidRDefault="003C13B1"/>
  <w:p w14:paraId="69829470" w14:textId="77777777" w:rsidR="00AA4CF2" w:rsidRDefault="003C13B1"/>
  <w:p w14:paraId="51856C25" w14:textId="77777777" w:rsidR="00AA4CF2" w:rsidRDefault="003C13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0040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769B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BA0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644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E4CD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2B0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4621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E49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E40D5E"/>
    <w:lvl w:ilvl="0">
      <w:start w:val="1"/>
      <w:numFmt w:val="decimal"/>
      <w:lvlText w:val="%1."/>
      <w:lvlJc w:val="left"/>
      <w:pPr>
        <w:tabs>
          <w:tab w:val="num" w:pos="360"/>
        </w:tabs>
        <w:ind w:left="360" w:hanging="360"/>
      </w:pPr>
    </w:lvl>
  </w:abstractNum>
  <w:abstractNum w:abstractNumId="9" w15:restartNumberingAfterBreak="0">
    <w:nsid w:val="07784120"/>
    <w:multiLevelType w:val="multilevel"/>
    <w:tmpl w:val="424A974E"/>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20A6A"/>
    <w:multiLevelType w:val="hybridMultilevel"/>
    <w:tmpl w:val="1D9079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45733"/>
    <w:multiLevelType w:val="multilevel"/>
    <w:tmpl w:val="5B24058A"/>
    <w:styleLink w:val="LFO3"/>
    <w:lvl w:ilvl="0">
      <w:start w:val="1"/>
      <w:numFmt w:val="decimal"/>
      <w:lvlText w:val="%1."/>
      <w:lvlJc w:val="left"/>
      <w:pPr>
        <w:ind w:left="360"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26913ADC"/>
    <w:multiLevelType w:val="multilevel"/>
    <w:tmpl w:val="8304ADA8"/>
    <w:styleLink w:val="LFO4"/>
    <w:lvl w:ilvl="0">
      <w:start w:val="1"/>
      <w:numFmt w:val="bullet"/>
      <w:lvlText w:val=""/>
      <w:lvlJc w:val="left"/>
      <w:pPr>
        <w:tabs>
          <w:tab w:val="num" w:pos="397"/>
        </w:tabs>
        <w:ind w:left="397" w:hanging="397"/>
      </w:pPr>
      <w:rPr>
        <w:rFonts w:ascii="Symbol" w:hAnsi="Symbol" w:hint="default"/>
        <w:sz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69E47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DFB23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133A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5132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04E082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387389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6595A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AF1472"/>
    <w:multiLevelType w:val="multilevel"/>
    <w:tmpl w:val="A8344D90"/>
    <w:lvl w:ilvl="0">
      <w:start w:val="1"/>
      <w:numFmt w:val="decimal"/>
      <w:pStyle w:val="ListParagraph"/>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tabs>
          <w:tab w:val="num" w:pos="1191"/>
        </w:tabs>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C85540"/>
    <w:multiLevelType w:val="multilevel"/>
    <w:tmpl w:val="D590A0F0"/>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1D0B6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36D7346"/>
    <w:multiLevelType w:val="multilevel"/>
    <w:tmpl w:val="34BEC68E"/>
    <w:lvl w:ilvl="0">
      <w:start w:val="1"/>
      <w:numFmt w:val="bullet"/>
      <w:pStyle w:val="ListBullet"/>
      <w:lvlText w:val=""/>
      <w:lvlJc w:val="left"/>
      <w:pPr>
        <w:tabs>
          <w:tab w:val="num" w:pos="397"/>
        </w:tabs>
        <w:ind w:left="397" w:hanging="397"/>
      </w:pPr>
      <w:rPr>
        <w:rFonts w:ascii="Symbol" w:hAnsi="Symbol" w:hint="default"/>
        <w:color w:val="auto"/>
        <w:sz w:val="20"/>
      </w:rPr>
    </w:lvl>
    <w:lvl w:ilvl="1">
      <w:start w:val="1"/>
      <w:numFmt w:val="bullet"/>
      <w:lvlText w:val=""/>
      <w:lvlJc w:val="left"/>
      <w:pPr>
        <w:tabs>
          <w:tab w:val="num" w:pos="1191"/>
        </w:tabs>
        <w:ind w:left="794" w:hanging="397"/>
      </w:pPr>
      <w:rPr>
        <w:rFonts w:ascii="Wingdings" w:hAnsi="Wingdings" w:hint="default"/>
      </w:rPr>
    </w:lvl>
    <w:lvl w:ilvl="2">
      <w:start w:val="1"/>
      <w:numFmt w:val="bullet"/>
      <w:lvlText w:val=""/>
      <w:lvlJc w:val="left"/>
      <w:pPr>
        <w:tabs>
          <w:tab w:val="num" w:pos="1588"/>
        </w:tabs>
        <w:ind w:left="1191" w:hanging="397"/>
      </w:pPr>
      <w:rPr>
        <w:rFonts w:ascii="Wingdings" w:hAnsi="Wingdings" w:hint="default"/>
      </w:rPr>
    </w:lvl>
    <w:lvl w:ilvl="3">
      <w:start w:val="1"/>
      <w:numFmt w:val="bullet"/>
      <w:lvlText w:val=""/>
      <w:lvlJc w:val="left"/>
      <w:pPr>
        <w:tabs>
          <w:tab w:val="num" w:pos="1985"/>
        </w:tabs>
        <w:ind w:left="1588" w:hanging="397"/>
      </w:pPr>
      <w:rPr>
        <w:rFonts w:ascii="Wingdings" w:hAnsi="Wingdings" w:hint="default"/>
      </w:rPr>
    </w:lvl>
    <w:lvl w:ilvl="4">
      <w:start w:val="1"/>
      <w:numFmt w:val="bullet"/>
      <w:lvlText w:val=""/>
      <w:lvlJc w:val="left"/>
      <w:pPr>
        <w:tabs>
          <w:tab w:val="num" w:pos="2381"/>
        </w:tabs>
        <w:ind w:left="1985" w:hanging="397"/>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F6D5F2A"/>
    <w:multiLevelType w:val="multilevel"/>
    <w:tmpl w:val="A82072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1"/>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6"/>
  </w:num>
  <w:num w:numId="20">
    <w:abstractNumId w:val="17"/>
  </w:num>
  <w:num w:numId="21">
    <w:abstractNumId w:val="20"/>
  </w:num>
  <w:num w:numId="22">
    <w:abstractNumId w:val="19"/>
  </w:num>
  <w:num w:numId="23">
    <w:abstractNumId w:val="14"/>
  </w:num>
  <w:num w:numId="24">
    <w:abstractNumId w:val="13"/>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1"/>
  </w:num>
  <w:num w:numId="28">
    <w:abstractNumId w:val="9"/>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8"/>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28B"/>
    <w:rsid w:val="00015DA8"/>
    <w:rsid w:val="00023E51"/>
    <w:rsid w:val="00024AC4"/>
    <w:rsid w:val="0005772B"/>
    <w:rsid w:val="000A093D"/>
    <w:rsid w:val="000A20DE"/>
    <w:rsid w:val="000A6370"/>
    <w:rsid w:val="000F66E5"/>
    <w:rsid w:val="00101FEA"/>
    <w:rsid w:val="0013021C"/>
    <w:rsid w:val="002148FA"/>
    <w:rsid w:val="00225385"/>
    <w:rsid w:val="00286CE0"/>
    <w:rsid w:val="00297FBE"/>
    <w:rsid w:val="002B72FB"/>
    <w:rsid w:val="002C4571"/>
    <w:rsid w:val="002F4A3F"/>
    <w:rsid w:val="003177C2"/>
    <w:rsid w:val="00327901"/>
    <w:rsid w:val="00330981"/>
    <w:rsid w:val="00350613"/>
    <w:rsid w:val="00352AC9"/>
    <w:rsid w:val="0036065F"/>
    <w:rsid w:val="003B5B7B"/>
    <w:rsid w:val="003C13B1"/>
    <w:rsid w:val="003F15F3"/>
    <w:rsid w:val="003F4166"/>
    <w:rsid w:val="00432497"/>
    <w:rsid w:val="004327B0"/>
    <w:rsid w:val="0045173D"/>
    <w:rsid w:val="00487EEB"/>
    <w:rsid w:val="00497623"/>
    <w:rsid w:val="004C4350"/>
    <w:rsid w:val="004D1EE4"/>
    <w:rsid w:val="004F1065"/>
    <w:rsid w:val="004F5E11"/>
    <w:rsid w:val="00510BE9"/>
    <w:rsid w:val="00512873"/>
    <w:rsid w:val="005153E5"/>
    <w:rsid w:val="00544178"/>
    <w:rsid w:val="005B6404"/>
    <w:rsid w:val="005C521E"/>
    <w:rsid w:val="005E42A1"/>
    <w:rsid w:val="00601E37"/>
    <w:rsid w:val="00603974"/>
    <w:rsid w:val="006136B6"/>
    <w:rsid w:val="006170E5"/>
    <w:rsid w:val="006641BB"/>
    <w:rsid w:val="006B0A59"/>
    <w:rsid w:val="006C416E"/>
    <w:rsid w:val="00741B16"/>
    <w:rsid w:val="007C14ED"/>
    <w:rsid w:val="007C7A03"/>
    <w:rsid w:val="007D5E53"/>
    <w:rsid w:val="008030B2"/>
    <w:rsid w:val="00846D35"/>
    <w:rsid w:val="00861997"/>
    <w:rsid w:val="008636C4"/>
    <w:rsid w:val="008940F0"/>
    <w:rsid w:val="008B2B8E"/>
    <w:rsid w:val="008C0131"/>
    <w:rsid w:val="008D3B9E"/>
    <w:rsid w:val="00912CA0"/>
    <w:rsid w:val="00923A2D"/>
    <w:rsid w:val="00936C78"/>
    <w:rsid w:val="00991A2E"/>
    <w:rsid w:val="009D1212"/>
    <w:rsid w:val="009D1E7D"/>
    <w:rsid w:val="00A20168"/>
    <w:rsid w:val="00A21F67"/>
    <w:rsid w:val="00A35564"/>
    <w:rsid w:val="00A53F8C"/>
    <w:rsid w:val="00A77DEF"/>
    <w:rsid w:val="00A9760D"/>
    <w:rsid w:val="00B14CD3"/>
    <w:rsid w:val="00B23A43"/>
    <w:rsid w:val="00B62B8F"/>
    <w:rsid w:val="00B8625C"/>
    <w:rsid w:val="00B972A0"/>
    <w:rsid w:val="00BC6656"/>
    <w:rsid w:val="00C05937"/>
    <w:rsid w:val="00C410C2"/>
    <w:rsid w:val="00C64BE7"/>
    <w:rsid w:val="00C81D9A"/>
    <w:rsid w:val="00C93B1C"/>
    <w:rsid w:val="00CC7F17"/>
    <w:rsid w:val="00CE2513"/>
    <w:rsid w:val="00D11985"/>
    <w:rsid w:val="00D24434"/>
    <w:rsid w:val="00D25F10"/>
    <w:rsid w:val="00D347F6"/>
    <w:rsid w:val="00D9321E"/>
    <w:rsid w:val="00DD6A71"/>
    <w:rsid w:val="00E050BE"/>
    <w:rsid w:val="00E11EEC"/>
    <w:rsid w:val="00E94F57"/>
    <w:rsid w:val="00EA51E3"/>
    <w:rsid w:val="00EC03BD"/>
    <w:rsid w:val="00EE27FA"/>
    <w:rsid w:val="00F03A1C"/>
    <w:rsid w:val="00F0728B"/>
    <w:rsid w:val="00F36564"/>
    <w:rsid w:val="00F46793"/>
    <w:rsid w:val="00F70AB7"/>
    <w:rsid w:val="00F72D0A"/>
    <w:rsid w:val="00FC028D"/>
    <w:rsid w:val="00FF5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65B"/>
  <w15:docId w15:val="{216B9FF6-8650-2644-B436-2D14787B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IE" w:eastAsia="en-US" w:bidi="ar-SA"/>
      </w:rPr>
    </w:rPrDefault>
    <w:pPrDefault>
      <w:pPr>
        <w:autoSpaceDN w:val="0"/>
        <w:spacing w:after="160" w:line="25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F8C"/>
    <w:pPr>
      <w:autoSpaceDN/>
      <w:spacing w:after="0" w:line="240" w:lineRule="auto"/>
      <w:jc w:val="both"/>
      <w:textAlignment w:val="auto"/>
    </w:pPr>
    <w:rPr>
      <w:rFonts w:asciiTheme="minorHAnsi" w:eastAsia="Times New Roman" w:hAnsiTheme="minorHAnsi"/>
      <w:szCs w:val="24"/>
      <w:lang w:val="en-GB"/>
    </w:rPr>
  </w:style>
  <w:style w:type="paragraph" w:styleId="Heading1">
    <w:name w:val="heading 1"/>
    <w:basedOn w:val="Normal"/>
    <w:next w:val="Normal"/>
    <w:uiPriority w:val="9"/>
    <w:qFormat/>
    <w:rsid w:val="00BC6656"/>
    <w:pPr>
      <w:keepNext/>
      <w:keepLines/>
      <w:spacing w:before="240"/>
      <w:outlineLvl w:val="0"/>
    </w:pPr>
    <w:rPr>
      <w:b/>
      <w:color w:val="365F91"/>
      <w:sz w:val="32"/>
      <w:szCs w:val="32"/>
      <w:u w:val="single"/>
    </w:rPr>
  </w:style>
  <w:style w:type="paragraph" w:styleId="Heading2">
    <w:name w:val="heading 2"/>
    <w:basedOn w:val="Normal"/>
    <w:next w:val="Normal"/>
    <w:uiPriority w:val="9"/>
    <w:unhideWhenUsed/>
    <w:qFormat/>
    <w:rsid w:val="00BC6656"/>
    <w:pPr>
      <w:keepNext/>
      <w:keepLines/>
      <w:spacing w:before="40"/>
      <w:outlineLvl w:val="1"/>
    </w:pPr>
    <w:rPr>
      <w:b/>
      <w:color w:val="1F497D"/>
      <w:sz w:val="28"/>
      <w:szCs w:val="26"/>
    </w:rPr>
  </w:style>
  <w:style w:type="paragraph" w:styleId="Heading3">
    <w:name w:val="heading 3"/>
    <w:basedOn w:val="Normal"/>
    <w:next w:val="Normal"/>
    <w:uiPriority w:val="9"/>
    <w:unhideWhenUsed/>
    <w:qFormat/>
    <w:rsid w:val="004C4350"/>
    <w:pPr>
      <w:keepNext/>
      <w:keepLines/>
      <w:spacing w:before="40"/>
      <w:outlineLvl w:val="2"/>
    </w:pPr>
    <w:rPr>
      <w:color w:val="1F497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Strong">
    <w:name w:val="Strong"/>
    <w:basedOn w:val="DefaultParagraphFont"/>
    <w:rPr>
      <w:b/>
      <w:bCs/>
    </w:r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character" w:styleId="Hyperlink">
    <w:name w:val="Hyperlink"/>
    <w:uiPriority w:val="99"/>
    <w:rPr>
      <w:rFonts w:ascii="Open Sans" w:hAnsi="Open Sans"/>
      <w:b w:val="0"/>
      <w:i w:val="0"/>
      <w:color w:val="7F7F7F"/>
      <w:sz w:val="14"/>
      <w:u w:val="none"/>
    </w:rPr>
  </w:style>
  <w:style w:type="paragraph" w:styleId="TOC1">
    <w:name w:val="toc 1"/>
    <w:basedOn w:val="Normal"/>
    <w:next w:val="Normal"/>
    <w:autoRedefine/>
    <w:pPr>
      <w:spacing w:before="120"/>
      <w:jc w:val="left"/>
    </w:pPr>
    <w:rPr>
      <w:rFonts w:cstheme="minorHAnsi"/>
      <w:b/>
      <w:bCs/>
      <w:i/>
      <w:iCs/>
      <w:sz w:val="24"/>
    </w:rPr>
  </w:style>
  <w:style w:type="paragraph" w:styleId="TOC2">
    <w:name w:val="toc 2"/>
    <w:basedOn w:val="Normal"/>
    <w:next w:val="Normal"/>
    <w:autoRedefine/>
    <w:uiPriority w:val="39"/>
    <w:pPr>
      <w:spacing w:before="120"/>
      <w:ind w:left="220"/>
      <w:jc w:val="left"/>
    </w:pPr>
    <w:rPr>
      <w:rFonts w:cstheme="minorHAnsi"/>
      <w:b/>
      <w:bCs/>
      <w:szCs w:val="22"/>
    </w:rPr>
  </w:style>
  <w:style w:type="character" w:customStyle="1" w:styleId="Heading1Char">
    <w:name w:val="Heading 1 Char"/>
    <w:basedOn w:val="DefaultParagraphFont"/>
    <w:uiPriority w:val="9"/>
    <w:rPr>
      <w:rFonts w:ascii="Calibri Light" w:eastAsia="Times New Roman" w:hAnsi="Calibri Light" w:cs="Times New Roman"/>
      <w:b/>
      <w:color w:val="365F91"/>
      <w:sz w:val="32"/>
      <w:szCs w:val="32"/>
      <w:u w:val="single"/>
      <w:lang w:eastAsia="en-IE"/>
    </w:rPr>
  </w:style>
  <w:style w:type="paragraph" w:styleId="NormalWeb">
    <w:name w:val="Normal (Web)"/>
    <w:basedOn w:val="Normal"/>
    <w:pPr>
      <w:spacing w:before="100" w:after="100"/>
    </w:pPr>
    <w:rPr>
      <w:rFonts w:ascii="Times New Roman" w:hAnsi="Times New Roman"/>
      <w:sz w:val="24"/>
    </w:rPr>
  </w:style>
  <w:style w:type="paragraph" w:customStyle="1" w:styleId="Table-Heading">
    <w:name w:val="Table - Heading"/>
    <w:basedOn w:val="ListParagraph"/>
    <w:pPr>
      <w:spacing w:after="40" w:line="192" w:lineRule="auto"/>
      <w:ind w:left="0"/>
      <w:jc w:val="center"/>
    </w:pPr>
    <w:rPr>
      <w:rFonts w:ascii="Brandon Grotesque" w:hAnsi="Brandon Grotesque"/>
      <w:b/>
      <w:bCs/>
      <w:color w:val="FFFFFF"/>
      <w:lang w:eastAsia="zh-CN"/>
    </w:rPr>
  </w:style>
  <w:style w:type="paragraph" w:styleId="ListParagraph">
    <w:name w:val="List Paragraph"/>
    <w:basedOn w:val="Normal"/>
    <w:rsid w:val="009D1E7D"/>
    <w:pPr>
      <w:numPr>
        <w:numId w:val="21"/>
      </w:numPr>
      <w:spacing w:after="80"/>
    </w:pPr>
  </w:style>
  <w:style w:type="paragraph" w:styleId="Title">
    <w:name w:val="Title"/>
    <w:next w:val="Normal"/>
    <w:uiPriority w:val="10"/>
    <w:qFormat/>
    <w:pPr>
      <w:suppressAutoHyphens/>
      <w:spacing w:after="0"/>
    </w:pPr>
    <w:rPr>
      <w:rFonts w:eastAsia="Times New Roman"/>
      <w:color w:val="FFFFFF"/>
      <w:spacing w:val="-10"/>
      <w:kern w:val="3"/>
      <w:szCs w:val="56"/>
      <w:lang w:eastAsia="en-IE"/>
    </w:rPr>
  </w:style>
  <w:style w:type="character" w:customStyle="1" w:styleId="TitleChar">
    <w:name w:val="Title Char"/>
    <w:basedOn w:val="DefaultParagraphFont"/>
    <w:rPr>
      <w:rFonts w:eastAsia="Times New Roman" w:cs="Times New Roman"/>
      <w:color w:val="FFFFFF"/>
      <w:spacing w:val="-10"/>
      <w:kern w:val="3"/>
      <w:szCs w:val="56"/>
      <w:lang w:eastAsia="en-IE"/>
    </w:rPr>
  </w:style>
  <w:style w:type="paragraph" w:customStyle="1" w:styleId="CaptionTable">
    <w:name w:val="Caption_Table"/>
    <w:basedOn w:val="Caption"/>
    <w:rsid w:val="00846D35"/>
    <w:pPr>
      <w:keepNext/>
      <w:spacing w:before="40" w:after="80"/>
    </w:pPr>
    <w:rPr>
      <w:rFonts w:ascii="Calibri Light" w:hAnsi="Calibri Light"/>
      <w:lang w:eastAsia="zh-CN"/>
    </w:rPr>
  </w:style>
  <w:style w:type="paragraph" w:styleId="Caption">
    <w:name w:val="caption"/>
    <w:basedOn w:val="Normal"/>
    <w:next w:val="Normal"/>
    <w:pPr>
      <w:spacing w:after="200"/>
    </w:pPr>
    <w:rPr>
      <w:i/>
      <w:iCs/>
      <w:color w:val="1F497D"/>
      <w:sz w:val="18"/>
      <w:szCs w:val="18"/>
    </w:rPr>
  </w:style>
  <w:style w:type="character" w:styleId="PlaceholderText">
    <w:name w:val="Placeholder Text"/>
    <w:basedOn w:val="DefaultParagraphFont"/>
    <w:rPr>
      <w:color w:val="808080"/>
    </w:rPr>
  </w:style>
  <w:style w:type="paragraph" w:styleId="FootnoteText">
    <w:name w:val="footnote text"/>
    <w:basedOn w:val="Normal"/>
    <w:rsid w:val="00F72D0A"/>
    <w:pPr>
      <w:spacing w:after="40"/>
      <w:ind w:left="340" w:hanging="340"/>
    </w:pPr>
    <w:rPr>
      <w:sz w:val="18"/>
      <w:szCs w:val="20"/>
    </w:rPr>
  </w:style>
  <w:style w:type="character" w:customStyle="1" w:styleId="FootnoteTextChar">
    <w:name w:val="Footnote Text Char"/>
    <w:basedOn w:val="DefaultParagraphFont"/>
    <w:rPr>
      <w:rFonts w:eastAsia="Times New Roman" w:cs="Arial"/>
      <w:color w:val="222222"/>
      <w:sz w:val="18"/>
      <w:szCs w:val="20"/>
      <w:lang w:eastAsia="en-IE"/>
    </w:rPr>
  </w:style>
  <w:style w:type="character" w:styleId="FootnoteReference">
    <w:name w:val="footnote reference"/>
    <w:basedOn w:val="DefaultParagraphFont"/>
    <w:rPr>
      <w:position w:val="0"/>
      <w:vertAlign w:val="superscript"/>
    </w:rPr>
  </w:style>
  <w:style w:type="paragraph" w:customStyle="1" w:styleId="Table-BodyRows">
    <w:name w:val="Table-BodyRows"/>
    <w:basedOn w:val="Normal"/>
    <w:rsid w:val="008940F0"/>
    <w:pPr>
      <w:keepNext/>
      <w:keepLines/>
      <w:snapToGrid w:val="0"/>
    </w:pPr>
    <w:rPr>
      <w:rFonts w:cs="Calibri Light"/>
      <w:color w:val="000000" w:themeColor="text1"/>
      <w:sz w:val="20"/>
      <w:szCs w:val="20"/>
      <w:lang w:val="en-AU"/>
    </w:rPr>
  </w:style>
  <w:style w:type="character" w:customStyle="1" w:styleId="Heading2Char">
    <w:name w:val="Heading 2 Char"/>
    <w:basedOn w:val="DefaultParagraphFont"/>
    <w:rPr>
      <w:rFonts w:eastAsia="Times New Roman" w:cs="Times New Roman"/>
      <w:b/>
      <w:color w:val="1F497D"/>
      <w:sz w:val="28"/>
      <w:szCs w:val="26"/>
      <w:lang w:eastAsia="en-IE"/>
    </w:rPr>
  </w:style>
  <w:style w:type="character" w:customStyle="1" w:styleId="Heading3Char">
    <w:name w:val="Heading 3 Char"/>
    <w:basedOn w:val="DefaultParagraphFont"/>
    <w:rPr>
      <w:rFonts w:eastAsia="Times New Roman" w:cs="Times New Roman"/>
      <w:color w:val="1F497D"/>
      <w:sz w:val="28"/>
      <w:szCs w:val="24"/>
      <w:lang w:eastAsia="en-IE"/>
    </w:rPr>
  </w:style>
  <w:style w:type="paragraph" w:styleId="Quote">
    <w:name w:val="Quote"/>
    <w:basedOn w:val="Normal"/>
    <w:next w:val="Normal"/>
    <w:pPr>
      <w:spacing w:before="200" w:after="160"/>
      <w:ind w:left="864" w:right="864"/>
      <w:jc w:val="center"/>
    </w:pPr>
    <w:rPr>
      <w:i/>
      <w:iCs/>
      <w:color w:val="404040"/>
    </w:rPr>
  </w:style>
  <w:style w:type="character" w:customStyle="1" w:styleId="QuoteChar">
    <w:name w:val="Quote Char"/>
    <w:basedOn w:val="DefaultParagraphFont"/>
    <w:rPr>
      <w:rFonts w:eastAsia="Times New Roman" w:cs="Arial"/>
      <w:i/>
      <w:iCs/>
      <w:color w:val="404040"/>
      <w:lang w:eastAsia="en-IE"/>
    </w:rPr>
  </w:style>
  <w:style w:type="paragraph" w:styleId="ListBullet">
    <w:name w:val="List Bullet"/>
    <w:basedOn w:val="ListParagraph"/>
    <w:rsid w:val="00B23A43"/>
    <w:pPr>
      <w:numPr>
        <w:numId w:val="26"/>
      </w:numPr>
    </w:pPr>
  </w:style>
  <w:style w:type="character" w:customStyle="1" w:styleId="Colour-White">
    <w:name w:val="Colour-White"/>
    <w:uiPriority w:val="1"/>
    <w:qFormat/>
    <w:rsid w:val="0013021C"/>
    <w:rPr>
      <w:color w:val="FFFFFF" w:themeColor="background1"/>
    </w:rPr>
  </w:style>
  <w:style w:type="paragraph" w:customStyle="1" w:styleId="HeadingDocTitleFrame">
    <w:name w:val="Heading_DocTitle_Frame"/>
    <w:basedOn w:val="Normal"/>
    <w:next w:val="Normal"/>
    <w:qFormat/>
    <w:rsid w:val="00BC6656"/>
    <w:pPr>
      <w:keepNext/>
      <w:keepLines/>
      <w:pBdr>
        <w:top w:val="single" w:sz="24" w:space="1" w:color="15586D"/>
        <w:left w:val="single" w:sz="24" w:space="4" w:color="15586D"/>
        <w:bottom w:val="single" w:sz="24" w:space="1" w:color="15586D"/>
        <w:right w:val="single" w:sz="24" w:space="4" w:color="15586D"/>
      </w:pBdr>
      <w:shd w:val="clear" w:color="auto" w:fill="15586D"/>
      <w:ind w:left="142" w:right="139"/>
      <w:outlineLvl w:val="0"/>
    </w:pPr>
    <w:rPr>
      <w:rFonts w:eastAsiaTheme="majorEastAsia" w:cstheme="majorBidi"/>
      <w:b/>
      <w:bCs/>
      <w:caps/>
      <w:color w:val="FFFFFF" w:themeColor="background1"/>
      <w:sz w:val="32"/>
      <w:szCs w:val="20"/>
      <w:lang w:eastAsia="zh-CN"/>
    </w:rPr>
  </w:style>
  <w:style w:type="numbering" w:customStyle="1" w:styleId="LFO3">
    <w:name w:val="LFO3"/>
    <w:basedOn w:val="NoList"/>
    <w:pPr>
      <w:numPr>
        <w:numId w:val="1"/>
      </w:numPr>
    </w:pPr>
  </w:style>
  <w:style w:type="numbering" w:customStyle="1" w:styleId="LFO4">
    <w:name w:val="LFO4"/>
    <w:basedOn w:val="NoList"/>
    <w:pPr>
      <w:numPr>
        <w:numId w:val="2"/>
      </w:numPr>
    </w:pPr>
  </w:style>
  <w:style w:type="paragraph" w:customStyle="1" w:styleId="BoxHeaderWhite">
    <w:name w:val="Box_Header_White"/>
    <w:basedOn w:val="Table-BodyRows"/>
    <w:rsid w:val="00CE2513"/>
    <w:rPr>
      <w:b/>
      <w:bCs/>
      <w:color w:val="FFFFFF" w:themeColor="background1"/>
      <w:sz w:val="22"/>
    </w:rPr>
  </w:style>
  <w:style w:type="paragraph" w:customStyle="1" w:styleId="TableHeaderRow">
    <w:name w:val="Table_HeaderRow"/>
    <w:basedOn w:val="Title"/>
    <w:rsid w:val="008940F0"/>
    <w:rPr>
      <w:b/>
      <w:bCs/>
      <w:sz w:val="20"/>
    </w:rPr>
  </w:style>
  <w:style w:type="paragraph" w:styleId="Subtitle">
    <w:name w:val="Subtitle"/>
    <w:basedOn w:val="Normal"/>
    <w:next w:val="Normal"/>
    <w:link w:val="SubtitleChar"/>
    <w:uiPriority w:val="11"/>
    <w:qFormat/>
    <w:rsid w:val="00C05937"/>
    <w:pPr>
      <w:numPr>
        <w:ilvl w:val="1"/>
      </w:numPr>
    </w:pPr>
    <w:rPr>
      <w:rFonts w:eastAsiaTheme="minorEastAsia" w:cs="Times New Roman (Body CS)"/>
      <w:caps/>
      <w:color w:val="1F3864" w:themeColor="accent1" w:themeShade="80"/>
      <w:spacing w:val="15"/>
      <w:sz w:val="24"/>
    </w:rPr>
  </w:style>
  <w:style w:type="character" w:customStyle="1" w:styleId="SubtitleChar">
    <w:name w:val="Subtitle Char"/>
    <w:basedOn w:val="DefaultParagraphFont"/>
    <w:link w:val="Subtitle"/>
    <w:uiPriority w:val="11"/>
    <w:rsid w:val="00C05937"/>
    <w:rPr>
      <w:rFonts w:asciiTheme="minorHAnsi" w:eastAsiaTheme="minorEastAsia" w:hAnsiTheme="minorHAnsi" w:cs="Times New Roman (Body CS)"/>
      <w:caps/>
      <w:color w:val="1F3864" w:themeColor="accent1" w:themeShade="80"/>
      <w:spacing w:val="15"/>
      <w:sz w:val="24"/>
      <w:szCs w:val="24"/>
      <w:lang w:val="en-GB"/>
    </w:rPr>
  </w:style>
  <w:style w:type="paragraph" w:styleId="Header">
    <w:name w:val="header"/>
    <w:basedOn w:val="Normal"/>
    <w:link w:val="HeaderChar1"/>
    <w:uiPriority w:val="99"/>
    <w:unhideWhenUsed/>
    <w:rsid w:val="00991A2E"/>
    <w:pPr>
      <w:tabs>
        <w:tab w:val="center" w:pos="4680"/>
        <w:tab w:val="right" w:pos="9360"/>
      </w:tabs>
    </w:pPr>
  </w:style>
  <w:style w:type="character" w:customStyle="1" w:styleId="HeaderChar1">
    <w:name w:val="Header Char1"/>
    <w:basedOn w:val="DefaultParagraphFont"/>
    <w:link w:val="Header"/>
    <w:uiPriority w:val="99"/>
    <w:rsid w:val="00991A2E"/>
    <w:rPr>
      <w:rFonts w:eastAsia="Times New Roman" w:cs="Arial"/>
      <w:color w:val="222222"/>
      <w:lang w:eastAsia="en-IE"/>
    </w:rPr>
  </w:style>
  <w:style w:type="paragraph" w:customStyle="1" w:styleId="Style1">
    <w:name w:val="Style1"/>
    <w:basedOn w:val="Normal"/>
    <w:next w:val="TableHeaderRow"/>
    <w:qFormat/>
    <w:rsid w:val="008940F0"/>
    <w:rPr>
      <w:rFonts w:eastAsia="MS Mincho"/>
      <w:b/>
      <w:bCs/>
      <w:sz w:val="20"/>
      <w:lang w:eastAsia="en-GB"/>
    </w:rPr>
  </w:style>
  <w:style w:type="paragraph" w:customStyle="1" w:styleId="CaptionFigure">
    <w:name w:val="Caption_Figure"/>
    <w:basedOn w:val="CaptionTable"/>
    <w:qFormat/>
    <w:rsid w:val="00846D35"/>
    <w:pPr>
      <w:spacing w:before="120" w:after="40"/>
    </w:pPr>
  </w:style>
  <w:style w:type="paragraph" w:customStyle="1" w:styleId="Heading-DocumentTitle">
    <w:name w:val="Heading-DocumentTitle"/>
    <w:basedOn w:val="HeadingDocTitleFrame"/>
    <w:qFormat/>
    <w:rsid w:val="00C05937"/>
  </w:style>
  <w:style w:type="paragraph" w:customStyle="1" w:styleId="HeadingDocumentSubtitle">
    <w:name w:val="Heading_Document_Subtitle"/>
    <w:basedOn w:val="Subtitle"/>
    <w:qFormat/>
    <w:rsid w:val="00BC6656"/>
    <w:pPr>
      <w:pBdr>
        <w:bottom w:val="single" w:sz="4" w:space="1" w:color="1F4E79" w:themeColor="accent5" w:themeShade="80"/>
      </w:pBdr>
      <w:spacing w:before="80" w:after="320" w:line="288" w:lineRule="auto"/>
    </w:pPr>
    <w:rPr>
      <w:spacing w:val="0"/>
    </w:rPr>
  </w:style>
  <w:style w:type="character" w:customStyle="1" w:styleId="Heading4Char">
    <w:name w:val="Heading 4 Char"/>
    <w:basedOn w:val="DefaultParagraphFont"/>
    <w:uiPriority w:val="9"/>
    <w:semiHidden/>
    <w:rsid w:val="009D1E7D"/>
    <w:rPr>
      <w:rFonts w:asciiTheme="majorHAnsi" w:eastAsiaTheme="majorEastAsia" w:hAnsiTheme="majorHAnsi" w:cstheme="majorBidi"/>
      <w:i/>
      <w:iCs/>
      <w:color w:val="2F5496" w:themeColor="accent1" w:themeShade="BF"/>
      <w:szCs w:val="24"/>
      <w:lang w:val="en-GB"/>
    </w:rPr>
  </w:style>
  <w:style w:type="character" w:customStyle="1" w:styleId="Heading5Char">
    <w:name w:val="Heading 5 Char"/>
    <w:basedOn w:val="DefaultParagraphFont"/>
    <w:uiPriority w:val="9"/>
    <w:semiHidden/>
    <w:rsid w:val="009D1E7D"/>
    <w:rPr>
      <w:rFonts w:asciiTheme="majorHAnsi" w:eastAsiaTheme="majorEastAsia" w:hAnsiTheme="majorHAnsi" w:cstheme="majorBidi"/>
      <w:color w:val="2F5496" w:themeColor="accent1" w:themeShade="BF"/>
      <w:szCs w:val="24"/>
      <w:lang w:val="en-GB"/>
    </w:rPr>
  </w:style>
  <w:style w:type="character" w:customStyle="1" w:styleId="Heading6Char">
    <w:name w:val="Heading 6 Char"/>
    <w:basedOn w:val="DefaultParagraphFont"/>
    <w:uiPriority w:val="9"/>
    <w:semiHidden/>
    <w:rsid w:val="009D1E7D"/>
    <w:rPr>
      <w:rFonts w:asciiTheme="majorHAnsi" w:eastAsiaTheme="majorEastAsia" w:hAnsiTheme="majorHAnsi" w:cstheme="majorBidi"/>
      <w:color w:val="1F3763" w:themeColor="accent1" w:themeShade="7F"/>
      <w:szCs w:val="24"/>
      <w:lang w:val="en-GB"/>
    </w:rPr>
  </w:style>
  <w:style w:type="character" w:customStyle="1" w:styleId="Heading7Char">
    <w:name w:val="Heading 7 Char"/>
    <w:basedOn w:val="DefaultParagraphFont"/>
    <w:uiPriority w:val="9"/>
    <w:semiHidden/>
    <w:rsid w:val="009D1E7D"/>
    <w:rPr>
      <w:rFonts w:asciiTheme="majorHAnsi" w:eastAsiaTheme="majorEastAsia" w:hAnsiTheme="majorHAnsi" w:cstheme="majorBidi"/>
      <w:i/>
      <w:iCs/>
      <w:color w:val="1F3763" w:themeColor="accent1" w:themeShade="7F"/>
      <w:szCs w:val="24"/>
      <w:lang w:val="en-GB"/>
    </w:rPr>
  </w:style>
  <w:style w:type="character" w:customStyle="1" w:styleId="Heading8Char">
    <w:name w:val="Heading 8 Char"/>
    <w:basedOn w:val="DefaultParagraphFont"/>
    <w:uiPriority w:val="9"/>
    <w:semiHidden/>
    <w:rsid w:val="009D1E7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uiPriority w:val="9"/>
    <w:semiHidden/>
    <w:rsid w:val="009D1E7D"/>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8636C4"/>
    <w:pPr>
      <w:spacing w:before="480" w:line="276" w:lineRule="auto"/>
      <w:jc w:val="left"/>
      <w:outlineLvl w:val="9"/>
    </w:pPr>
    <w:rPr>
      <w:rFonts w:asciiTheme="majorHAnsi" w:eastAsiaTheme="majorEastAsia" w:hAnsiTheme="majorHAnsi" w:cstheme="majorBidi"/>
      <w:bCs/>
      <w:color w:val="2F5496" w:themeColor="accent1" w:themeShade="BF"/>
      <w:sz w:val="28"/>
      <w:szCs w:val="28"/>
      <w:u w:val="none"/>
      <w:lang w:val="en-US"/>
    </w:rPr>
  </w:style>
  <w:style w:type="paragraph" w:styleId="TOC3">
    <w:name w:val="toc 3"/>
    <w:basedOn w:val="Normal"/>
    <w:next w:val="Normal"/>
    <w:autoRedefine/>
    <w:uiPriority w:val="39"/>
    <w:unhideWhenUsed/>
    <w:rsid w:val="008636C4"/>
    <w:pPr>
      <w:ind w:left="440"/>
      <w:jc w:val="left"/>
    </w:pPr>
    <w:rPr>
      <w:rFonts w:cstheme="minorHAnsi"/>
      <w:sz w:val="20"/>
      <w:szCs w:val="20"/>
    </w:rPr>
  </w:style>
  <w:style w:type="paragraph" w:styleId="TOC4">
    <w:name w:val="toc 4"/>
    <w:basedOn w:val="Normal"/>
    <w:next w:val="Normal"/>
    <w:autoRedefine/>
    <w:uiPriority w:val="39"/>
    <w:semiHidden/>
    <w:unhideWhenUsed/>
    <w:rsid w:val="008636C4"/>
    <w:pPr>
      <w:ind w:left="660"/>
      <w:jc w:val="left"/>
    </w:pPr>
    <w:rPr>
      <w:rFonts w:cstheme="minorHAnsi"/>
      <w:sz w:val="20"/>
      <w:szCs w:val="20"/>
    </w:rPr>
  </w:style>
  <w:style w:type="paragraph" w:styleId="TOC5">
    <w:name w:val="toc 5"/>
    <w:basedOn w:val="Normal"/>
    <w:next w:val="Normal"/>
    <w:autoRedefine/>
    <w:uiPriority w:val="39"/>
    <w:semiHidden/>
    <w:unhideWhenUsed/>
    <w:rsid w:val="008636C4"/>
    <w:pPr>
      <w:ind w:left="880"/>
      <w:jc w:val="left"/>
    </w:pPr>
    <w:rPr>
      <w:rFonts w:cstheme="minorHAnsi"/>
      <w:sz w:val="20"/>
      <w:szCs w:val="20"/>
    </w:rPr>
  </w:style>
  <w:style w:type="paragraph" w:styleId="TOC6">
    <w:name w:val="toc 6"/>
    <w:basedOn w:val="Normal"/>
    <w:next w:val="Normal"/>
    <w:autoRedefine/>
    <w:uiPriority w:val="39"/>
    <w:semiHidden/>
    <w:unhideWhenUsed/>
    <w:rsid w:val="008636C4"/>
    <w:pPr>
      <w:ind w:left="1100"/>
      <w:jc w:val="left"/>
    </w:pPr>
    <w:rPr>
      <w:rFonts w:cstheme="minorHAnsi"/>
      <w:sz w:val="20"/>
      <w:szCs w:val="20"/>
    </w:rPr>
  </w:style>
  <w:style w:type="paragraph" w:styleId="TOC7">
    <w:name w:val="toc 7"/>
    <w:basedOn w:val="Normal"/>
    <w:next w:val="Normal"/>
    <w:autoRedefine/>
    <w:uiPriority w:val="39"/>
    <w:semiHidden/>
    <w:unhideWhenUsed/>
    <w:rsid w:val="008636C4"/>
    <w:pPr>
      <w:ind w:left="1320"/>
      <w:jc w:val="left"/>
    </w:pPr>
    <w:rPr>
      <w:rFonts w:cstheme="minorHAnsi"/>
      <w:sz w:val="20"/>
      <w:szCs w:val="20"/>
    </w:rPr>
  </w:style>
  <w:style w:type="paragraph" w:styleId="TOC8">
    <w:name w:val="toc 8"/>
    <w:basedOn w:val="Normal"/>
    <w:next w:val="Normal"/>
    <w:autoRedefine/>
    <w:uiPriority w:val="39"/>
    <w:semiHidden/>
    <w:unhideWhenUsed/>
    <w:rsid w:val="008636C4"/>
    <w:pPr>
      <w:ind w:left="1540"/>
      <w:jc w:val="left"/>
    </w:pPr>
    <w:rPr>
      <w:rFonts w:cstheme="minorHAnsi"/>
      <w:sz w:val="20"/>
      <w:szCs w:val="20"/>
    </w:rPr>
  </w:style>
  <w:style w:type="paragraph" w:styleId="TOC9">
    <w:name w:val="toc 9"/>
    <w:basedOn w:val="Normal"/>
    <w:next w:val="Normal"/>
    <w:autoRedefine/>
    <w:uiPriority w:val="39"/>
    <w:semiHidden/>
    <w:unhideWhenUsed/>
    <w:rsid w:val="008636C4"/>
    <w:pPr>
      <w:ind w:left="1760"/>
      <w:jc w:val="left"/>
    </w:pPr>
    <w:rPr>
      <w:rFonts w:cstheme="minorHAnsi"/>
      <w:sz w:val="20"/>
      <w:szCs w:val="20"/>
    </w:rPr>
  </w:style>
  <w:style w:type="table" w:styleId="TableGrid">
    <w:name w:val="Table Grid"/>
    <w:basedOn w:val="TableNormal"/>
    <w:uiPriority w:val="39"/>
    <w:rsid w:val="00A77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4F57"/>
    <w:rPr>
      <w:sz w:val="18"/>
      <w:szCs w:val="18"/>
    </w:rPr>
  </w:style>
  <w:style w:type="paragraph" w:styleId="CommentText">
    <w:name w:val="annotation text"/>
    <w:basedOn w:val="Normal"/>
    <w:link w:val="CommentTextChar"/>
    <w:uiPriority w:val="99"/>
    <w:semiHidden/>
    <w:unhideWhenUsed/>
    <w:rsid w:val="00E94F57"/>
    <w:pPr>
      <w:spacing w:after="160" w:line="259" w:lineRule="auto"/>
      <w:jc w:val="left"/>
    </w:pPr>
    <w:rPr>
      <w:rFonts w:eastAsiaTheme="minorHAnsi" w:cstheme="minorBidi"/>
      <w:szCs w:val="22"/>
      <w:lang w:val="en-US"/>
    </w:rPr>
  </w:style>
  <w:style w:type="character" w:customStyle="1" w:styleId="CommentTextChar">
    <w:name w:val="Comment Text Char"/>
    <w:basedOn w:val="DefaultParagraphFont"/>
    <w:link w:val="CommentText"/>
    <w:uiPriority w:val="99"/>
    <w:semiHidden/>
    <w:rsid w:val="00E94F57"/>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73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bert.brecha@climateanalytic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BE69C-92B8-2740-8273-46FC880F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3002</Words>
  <Characters>17116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Ganti</dc:creator>
  <dc:description/>
  <cp:lastModifiedBy>Robert Brecha</cp:lastModifiedBy>
  <cp:revision>54</cp:revision>
  <dcterms:created xsi:type="dcterms:W3CDTF">2021-05-25T13:10:00Z</dcterms:created>
  <dcterms:modified xsi:type="dcterms:W3CDTF">2021-06-07T11:38:00Z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e89da5ac-4fc6-3ba9-956a-eb269166133a</vt:lpwstr>
  </property>
  <property fmtid="{D5CDD505-2E9C-101B-9397-08002B2CF9AE}" pid="24" name="Mendeley Citation Style_1">
    <vt:lpwstr>http://www.zotero.org/styles/nature</vt:lpwstr>
  </property>
</Properties>
</file>