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5138E2" w14:textId="3AD3C9D0" w:rsidR="009D6204" w:rsidRPr="00722813" w:rsidRDefault="00B034FE" w:rsidP="00722813">
      <w:pPr>
        <w:rPr>
          <w:b/>
          <w:bCs/>
          <w:lang w:val="en-US"/>
        </w:rPr>
      </w:pPr>
      <w:r w:rsidRPr="00722813">
        <w:rPr>
          <w:b/>
          <w:bCs/>
          <w:lang w:val="en-US"/>
        </w:rPr>
        <w:t>Supplementary Methods</w:t>
      </w:r>
    </w:p>
    <w:p w14:paraId="71A1EE10" w14:textId="77777777" w:rsidR="009D6204" w:rsidRDefault="009D6204" w:rsidP="00B00A76">
      <w:pPr>
        <w:pStyle w:val="Heading2"/>
        <w:rPr>
          <w:b/>
          <w:bCs/>
          <w:lang w:val="en-US"/>
        </w:rPr>
      </w:pPr>
    </w:p>
    <w:p w14:paraId="6047828A" w14:textId="39C6E1D1" w:rsidR="007D13CC" w:rsidRDefault="00B034FE" w:rsidP="00722813">
      <w:pPr>
        <w:rPr>
          <w:b/>
          <w:bCs/>
          <w:lang w:val="en-US"/>
        </w:rPr>
      </w:pPr>
      <w:r w:rsidRPr="00722813">
        <w:rPr>
          <w:b/>
          <w:bCs/>
          <w:lang w:val="en-US"/>
        </w:rPr>
        <w:t>Method 1: Coding and classifying multilevel</w:t>
      </w:r>
      <w:r w:rsidR="00B00A76" w:rsidRPr="00722813">
        <w:rPr>
          <w:b/>
          <w:bCs/>
          <w:lang w:val="en-US"/>
        </w:rPr>
        <w:t xml:space="preserve"> demand-side polic</w:t>
      </w:r>
      <w:r w:rsidRPr="00722813">
        <w:rPr>
          <w:b/>
          <w:bCs/>
          <w:lang w:val="en-US"/>
        </w:rPr>
        <w:t>y</w:t>
      </w:r>
      <w:r w:rsidR="00B00A76" w:rsidRPr="00722813">
        <w:rPr>
          <w:b/>
          <w:bCs/>
          <w:lang w:val="en-US"/>
        </w:rPr>
        <w:t xml:space="preserve"> </w:t>
      </w:r>
      <w:r w:rsidRPr="00722813">
        <w:rPr>
          <w:b/>
          <w:bCs/>
          <w:lang w:val="en-US"/>
        </w:rPr>
        <w:t>mixes</w:t>
      </w:r>
    </w:p>
    <w:p w14:paraId="68BC742E" w14:textId="77777777" w:rsidR="00722813" w:rsidRPr="00722813" w:rsidRDefault="00722813" w:rsidP="00722813">
      <w:pPr>
        <w:rPr>
          <w:b/>
          <w:bCs/>
          <w:lang w:val="en-US"/>
        </w:rPr>
      </w:pPr>
    </w:p>
    <w:p w14:paraId="5D914233" w14:textId="4584E6D4" w:rsidR="0066401F" w:rsidRPr="0066401F" w:rsidRDefault="007D13CC" w:rsidP="0066401F">
      <w:pPr>
        <w:spacing w:after="240" w:line="360" w:lineRule="auto"/>
        <w:jc w:val="both"/>
        <w:rPr>
          <w:lang w:val="en-US"/>
        </w:rPr>
      </w:pPr>
      <w:r>
        <w:rPr>
          <w:lang w:val="en-US"/>
        </w:rPr>
        <w:t>The longitudinal demand-side policy mapping include</w:t>
      </w:r>
      <w:r w:rsidR="00D67F69">
        <w:rPr>
          <w:lang w:val="en-US"/>
        </w:rPr>
        <w:t>s</w:t>
      </w:r>
      <w:r>
        <w:rPr>
          <w:lang w:val="en-US"/>
        </w:rPr>
        <w:t xml:space="preserve"> </w:t>
      </w:r>
      <w:r w:rsidR="00935ACF">
        <w:rPr>
          <w:lang w:val="en-US"/>
        </w:rPr>
        <w:t>polic</w:t>
      </w:r>
      <w:r w:rsidR="00D67F69">
        <w:rPr>
          <w:lang w:val="en-US"/>
        </w:rPr>
        <w:t xml:space="preserve">ies </w:t>
      </w:r>
      <w:r w:rsidR="00935ACF">
        <w:rPr>
          <w:lang w:val="en-US"/>
        </w:rPr>
        <w:t>and public infrastructure investment</w:t>
      </w:r>
      <w:r w:rsidR="00D67F69">
        <w:rPr>
          <w:lang w:val="en-US"/>
        </w:rPr>
        <w:t xml:space="preserve"> decisions</w:t>
      </w:r>
      <w:r w:rsidR="001A3B52">
        <w:rPr>
          <w:lang w:val="en-US"/>
        </w:rPr>
        <w:t xml:space="preserve"> </w:t>
      </w:r>
      <w:r w:rsidR="004A095C">
        <w:rPr>
          <w:lang w:val="en-US"/>
        </w:rPr>
        <w:t xml:space="preserve">from 1995 to 2024 (excluding December 2024) that </w:t>
      </w:r>
      <w:r w:rsidR="00D67F69">
        <w:rPr>
          <w:lang w:val="en-US"/>
        </w:rPr>
        <w:t>aimed at influencing</w:t>
      </w:r>
      <w:r w:rsidR="001A3B52" w:rsidRPr="00612B79">
        <w:rPr>
          <w:lang w:val="en-US"/>
        </w:rPr>
        <w:t xml:space="preserve"> investment or co</w:t>
      </w:r>
      <w:r w:rsidR="001A3B52">
        <w:rPr>
          <w:lang w:val="en-US"/>
        </w:rPr>
        <w:t xml:space="preserve">nsumption decisions or </w:t>
      </w:r>
      <w:proofErr w:type="spellStart"/>
      <w:r w:rsidR="001A3B52">
        <w:rPr>
          <w:lang w:val="en-US"/>
        </w:rPr>
        <w:t>behaviour</w:t>
      </w:r>
      <w:proofErr w:type="spellEnd"/>
      <w:r w:rsidR="001A3B52">
        <w:rPr>
          <w:lang w:val="en-US"/>
        </w:rPr>
        <w:t xml:space="preserve"> of households, </w:t>
      </w:r>
      <w:r w:rsidR="00D67F69">
        <w:rPr>
          <w:lang w:val="en-US"/>
        </w:rPr>
        <w:t>in ways</w:t>
      </w:r>
      <w:r w:rsidR="001A3B52">
        <w:rPr>
          <w:lang w:val="en-US"/>
        </w:rPr>
        <w:t xml:space="preserve"> that </w:t>
      </w:r>
      <w:r w:rsidR="00D67F69">
        <w:rPr>
          <w:lang w:val="en-US"/>
        </w:rPr>
        <w:t xml:space="preserve">reduce </w:t>
      </w:r>
      <w:r w:rsidR="001A3B52">
        <w:rPr>
          <w:lang w:val="en-US"/>
        </w:rPr>
        <w:t xml:space="preserve">household GHG emissions in the transport and housing sector. </w:t>
      </w:r>
      <w:r w:rsidR="0066401F">
        <w:rPr>
          <w:lang w:val="en-US"/>
        </w:rPr>
        <w:t>We adopted a multilevel perspective, focusing on policies at</w:t>
      </w:r>
      <w:r w:rsidR="00EE2027">
        <w:rPr>
          <w:lang w:val="en-US"/>
        </w:rPr>
        <w:t xml:space="preserve"> the EU level (regulations, directives, strategies and action plans)</w:t>
      </w:r>
      <w:r w:rsidR="00B22940">
        <w:rPr>
          <w:lang w:val="en-US"/>
        </w:rPr>
        <w:t>, the federal Austrian</w:t>
      </w:r>
      <w:r w:rsidR="00EE2027">
        <w:rPr>
          <w:lang w:val="en-US"/>
        </w:rPr>
        <w:t xml:space="preserve"> </w:t>
      </w:r>
      <w:r w:rsidR="00E01A3A">
        <w:rPr>
          <w:lang w:val="en-US"/>
        </w:rPr>
        <w:t>as well as the</w:t>
      </w:r>
      <w:r w:rsidR="00D67F69">
        <w:rPr>
          <w:lang w:val="en-US"/>
        </w:rPr>
        <w:t xml:space="preserve"> level of two</w:t>
      </w:r>
      <w:r w:rsidR="00E01A3A">
        <w:rPr>
          <w:lang w:val="en-US"/>
        </w:rPr>
        <w:t xml:space="preserve"> </w:t>
      </w:r>
      <w:r w:rsidR="00D67F69">
        <w:rPr>
          <w:lang w:val="en-US"/>
        </w:rPr>
        <w:t>Austrian provinces</w:t>
      </w:r>
      <w:r w:rsidR="00E01A3A">
        <w:rPr>
          <w:lang w:val="en-US"/>
        </w:rPr>
        <w:t xml:space="preserve"> (Vienna and Lower Austria). We considered the provincial level because many </w:t>
      </w:r>
      <w:r w:rsidR="00E01A3A" w:rsidRPr="00E01A3A">
        <w:rPr>
          <w:lang w:val="en-US"/>
        </w:rPr>
        <w:t xml:space="preserve">competencies, particularly in the areas of transport and </w:t>
      </w:r>
      <w:r w:rsidR="00E01A3A">
        <w:rPr>
          <w:lang w:val="en-US"/>
        </w:rPr>
        <w:t>housing</w:t>
      </w:r>
      <w:r w:rsidR="00E01A3A" w:rsidRPr="00E01A3A">
        <w:rPr>
          <w:lang w:val="en-US"/>
        </w:rPr>
        <w:t>, are located there</w:t>
      </w:r>
      <w:r w:rsidR="00CF3CE4">
        <w:rPr>
          <w:lang w:val="en-US"/>
        </w:rPr>
        <w:fldChar w:fldCharType="begin"/>
      </w:r>
      <w:r w:rsidR="002A697D">
        <w:rPr>
          <w:lang w:val="en-US"/>
        </w:rPr>
        <w:instrText xml:space="preserve"> ADDIN ZOTERO_ITEM CSL_CITATION {"citationID":"KsOXthN8","properties":{"formattedCitation":"\\super 1\\nosupersub{}","plainCitation":"1","noteIndex":0},"citationItems":[{"id":11483,"uris":["http://zotero.org/groups/2433940/items/XILVM87W"],"itemData":{"id":11483,"type":"chapter","abstract":"Zusammenfassung\n            Die Governance zur Klimakrise in Österreich ist traditionell geprägt von einer Bundesregierung, die Emissionsreduktionen im Inland nicht zielorientiert verfolgt, von einer Sozialpartnerschaft, die vorwiegend ökonomische sowie soziale Interessen vertritt und damit ökologische Fortschritte oft blockiert, von einer für Klimapolitik oft hinderlichen föderalen Kompetenzstruktur und von einer Zivilgesellschaft, die diesen strukturellen Hemmnissen lange Zeit nichts entgegenzusetzen hatte.\n            Seit 2019 haben sich nur zwei dieser vier Governance-Aspekte verändert: Gesellschaftliche Bewegungen wie Fridays for Future haben im Jahr 2019 eine neue Dynamik in das Politikfeld Klima gebracht. Im Zuge dieser Dynamik wurde 2020 ein Klimaschutzministerium eingerichtet, das zielorientierte Klimapolitik voranzutreiben versucht, allerdings nach wie vor oft an regierungsinternen, sozialpartnerschaftlichen und/oder föderalen Widerständen scheitert.\n            Somit zeichnet sich schon jetzt ab, dass Österreich seine klimapolitischen Ziele einmal mehr verfehlen wird. Dieses Kapitel analysiert die Hintergründe dieses Versagens.","container-title":"APCC Special Report: Strukturen für ein klimafreundliches Leben [structures for a climate-friendly living]","event-place":"Berlin, Heidelberg","ISBN":"978-3-662-66496-4","language":"de","note":"DOI: 10.1007/978-3-662-66497-1_16","page":"389-402","publisher":"Springer Berlin Heidelberg","publisher-place":"Berlin, Heidelberg","source":"DOI.org (Crossref)","title":"Governance und politische Beteiligung (Chapter 12)","URL":"https://link.springer.com/10.1007/978-3-662-66497-1_16","editor":[{"family":"Görg","given":"Christoph"},{"family":"Madner","given":"Verena"},{"family":"Muhar","given":"Andreas"},{"family":"Novy","given":"Andreas"},{"family":"Posch","given":"Alfred"},{"family":"Steininger","given":"Karl W."},{"family":"Aigner","given":"Ernest"}],"author":[{"family":"Steurer","given":"Reinhard"},{"family":"Buzogány","given":"Aron"},{"family":"Scherhaufer","given":"Patrick"},{"family":"Clar","given":"Christoph"},{"family":"Nash","given":"Sarah L."}],"accessed":{"date-parts":[["2024",12,19]]},"issued":{"date-parts":[["2023"]]}}}],"schema":"https://github.com/citation-style-language/schema/raw/master/csl-citation.json"} </w:instrText>
      </w:r>
      <w:r w:rsidR="00CF3CE4">
        <w:rPr>
          <w:lang w:val="en-US"/>
        </w:rPr>
        <w:fldChar w:fldCharType="separate"/>
      </w:r>
      <w:r w:rsidR="00CF3CE4" w:rsidRPr="00124373">
        <w:rPr>
          <w:rFonts w:ascii="Calibri" w:cs="Calibri"/>
          <w:kern w:val="0"/>
          <w:vertAlign w:val="superscript"/>
          <w:lang w:val="en-US"/>
        </w:rPr>
        <w:t>1</w:t>
      </w:r>
      <w:r w:rsidR="00CF3CE4">
        <w:rPr>
          <w:lang w:val="en-US"/>
        </w:rPr>
        <w:fldChar w:fldCharType="end"/>
      </w:r>
      <w:r w:rsidR="00E01A3A">
        <w:rPr>
          <w:lang w:val="en-US"/>
        </w:rPr>
        <w:t>. Vienna and Lower Austria</w:t>
      </w:r>
      <w:r w:rsidR="00B22940">
        <w:rPr>
          <w:lang w:val="en-US"/>
        </w:rPr>
        <w:t xml:space="preserve">, </w:t>
      </w:r>
      <w:r w:rsidR="00E01A3A">
        <w:rPr>
          <w:lang w:val="en-US"/>
        </w:rPr>
        <w:t xml:space="preserve">Austria’s two </w:t>
      </w:r>
      <w:r w:rsidR="00B22940">
        <w:rPr>
          <w:lang w:val="en-US"/>
        </w:rPr>
        <w:t xml:space="preserve">most populous provinces, </w:t>
      </w:r>
      <w:r w:rsidR="00E01A3A">
        <w:rPr>
          <w:lang w:val="en-US"/>
        </w:rPr>
        <w:t xml:space="preserve">were selected </w:t>
      </w:r>
      <w:r w:rsidR="00B22940">
        <w:rPr>
          <w:lang w:val="en-US"/>
        </w:rPr>
        <w:t>for</w:t>
      </w:r>
      <w:r w:rsidR="00EE2027" w:rsidRPr="0066401F">
        <w:rPr>
          <w:lang w:val="en-US"/>
        </w:rPr>
        <w:t xml:space="preserve"> their </w:t>
      </w:r>
      <w:r w:rsidR="00B22940">
        <w:rPr>
          <w:lang w:val="en-US"/>
        </w:rPr>
        <w:t>contrasting</w:t>
      </w:r>
      <w:r w:rsidR="00EE2027" w:rsidRPr="0066401F">
        <w:rPr>
          <w:lang w:val="en-US"/>
        </w:rPr>
        <w:t xml:space="preserve"> profiles in terms of homeownership </w:t>
      </w:r>
      <w:r w:rsidR="00B22940">
        <w:rPr>
          <w:lang w:val="en-US"/>
        </w:rPr>
        <w:t>and tenancy rates</w:t>
      </w:r>
      <w:r w:rsidR="00EE2027" w:rsidRPr="0066401F">
        <w:rPr>
          <w:lang w:val="en-US"/>
        </w:rPr>
        <w:t>, rural or peri-urban vs. urban settlement structures, and related mobility patterns.</w:t>
      </w:r>
      <w:r w:rsidR="00E01A3A">
        <w:rPr>
          <w:lang w:val="en-US"/>
        </w:rPr>
        <w:t xml:space="preserve"> </w:t>
      </w:r>
      <w:r w:rsidR="00203504" w:rsidRPr="0066401F">
        <w:rPr>
          <w:lang w:val="en-US"/>
        </w:rPr>
        <w:t>We focused on the housing and transport sector because these two sectors – as in other OECD countries</w:t>
      </w:r>
      <w:r w:rsidR="007D6BD9">
        <w:rPr>
          <w:lang w:val="en-US"/>
        </w:rPr>
        <w:fldChar w:fldCharType="begin"/>
      </w:r>
      <w:r w:rsidR="007D6BD9">
        <w:rPr>
          <w:lang w:val="en-US"/>
        </w:rPr>
        <w:instrText xml:space="preserve"> ADDIN ZOTERO_ITEM CSL_CITATION {"citationID":"A3vp4jQh","properties":{"formattedCitation":"\\super 2\\nosupersub{}","plainCitation":"2","noteIndex":0},"citationItems":[{"id":3983,"uris":["http://zotero.org/groups/2433940/items/K8WNY6FU"],"itemData":{"id":3983,"type":"article-journal","abstract":"Through their consumption behavior, households are responsible for 72% of global greenhouse gas emissions. Thus, they are key actors in reaching the 1.5 °C goal under the Paris Agreement. However, the possible contribution and position of households in climate policies is neither well understood, nor do households receive sufficiently high priority in current climate policy strategies. This paper investigates how behavioral change can achieve a substantial reduction in greenhouse gas emissions in European high-income countries. It uses theoretical thinking and some core results from the HOPE research project, which investigated household preferences for reducing emissions in four European cities in France, Germany, Norway and Sweden. The paper makes five major points: First, car and plane mobility, meat and dairy consumption, as well as heating are the most dominant components of household footprints. Second, household living situations (demographics, size of home) greatly influence the household potential to reduce their footprint, even more than country or city location. Third, household decisions can be sequential and temporally dynamic, shifting through different phases such as childhood, adulthood, and illness. Fourth, short term voluntary efforts will not be sufficient by themselves to reach the drastic reductions needed to achieve the 1.5 °C goal; instead, households need a regulatory framework supporting their behavioral changes. Fifth, there is a mismatch between the roles and responsibilities conveyed by current climate policies and household perceptions of responsibility. We then conclude with further recommendations for research and policy.","container-title":"Energy Research &amp; Social Science","DOI":"10.1016/j.erss.2019.02.001","ISSN":"22146296","journalAbbreviation":"Energy Research &amp; Social Science","language":"en","page":"144-158","source":"DOI.org (Crossref)","title":"It starts at home? Climate policies targeting household consumption and behavioral decisions are key to low-carbon futures","title-short":"It starts at home?","URL":"https://linkinghub.elsevier.com/retrieve/pii/S2214629618310314","volume":"52","author":[{"family":"Dubois","given":"Ghislain"},{"family":"Sovacool","given":"Benjamin"},{"family":"Aall","given":"Carlo"},{"family":"Nilsson","given":"Maria"},{"family":"Barbier","given":"Carine"},{"family":"Herrmann","given":"Alina"},{"family":"Bruyère","given":"Sébastien"},{"family":"Andersson","given":"Camilla"},{"family":"Skold","given":"Bore"},{"family":"Nadaud","given":"Franck"},{"family":"Dorner","given":"Florian"},{"family":"Moberg","given":"Karen Richardsen"},{"family":"Ceron","given":"Jean Paul"},{"family":"Fischer","given":"Helen"},{"family":"Amelung","given":"Dorothee"},{"family":"Baltruszewicz","given":"Marta"},{"family":"Fischer","given":"Jeremy"},{"family":"Benevise","given":"Françoise"},{"family":"Louis","given":"Valérie R."},{"family":"Sauerborn","given":"Rainer"}],"accessed":{"date-parts":[["2022",1,14]]},"issued":{"date-parts":[["2019",6]]}}}],"schema":"https://github.com/citation-style-language/schema/raw/master/csl-citation.json"} </w:instrText>
      </w:r>
      <w:r w:rsidR="007D6BD9">
        <w:rPr>
          <w:lang w:val="en-US"/>
        </w:rPr>
        <w:fldChar w:fldCharType="separate"/>
      </w:r>
      <w:r w:rsidR="007D6BD9" w:rsidRPr="007D6BD9">
        <w:rPr>
          <w:rFonts w:ascii="Calibri" w:cs="Calibri"/>
          <w:kern w:val="0"/>
          <w:vertAlign w:val="superscript"/>
          <w:lang w:val="en-US"/>
        </w:rPr>
        <w:t>2</w:t>
      </w:r>
      <w:r w:rsidR="007D6BD9">
        <w:rPr>
          <w:lang w:val="en-US"/>
        </w:rPr>
        <w:fldChar w:fldCharType="end"/>
      </w:r>
      <w:r w:rsidR="00203504" w:rsidRPr="0066401F">
        <w:rPr>
          <w:lang w:val="en-US"/>
        </w:rPr>
        <w:t xml:space="preserve"> – account for the majority of household GHG footprint emissions</w:t>
      </w:r>
      <w:r w:rsidR="00D67F69">
        <w:rPr>
          <w:lang w:val="en-US"/>
        </w:rPr>
        <w:t xml:space="preserve"> </w:t>
      </w:r>
      <w:r w:rsidR="00D67F69" w:rsidRPr="0066401F">
        <w:rPr>
          <w:lang w:val="en-US"/>
        </w:rPr>
        <w:t>(</w:t>
      </w:r>
      <w:r w:rsidR="00D67F69">
        <w:rPr>
          <w:lang w:val="en-US"/>
        </w:rPr>
        <w:t>Fig. 1</w:t>
      </w:r>
      <w:r w:rsidR="00D67F69" w:rsidRPr="0066401F">
        <w:rPr>
          <w:lang w:val="en-US"/>
        </w:rPr>
        <w:t>)</w:t>
      </w:r>
      <w:r w:rsidR="00016345">
        <w:rPr>
          <w:lang w:val="en-US"/>
        </w:rPr>
        <w:t>.</w:t>
      </w:r>
    </w:p>
    <w:p w14:paraId="26E3D2BB" w14:textId="0D668C8C" w:rsidR="00830EFF" w:rsidRDefault="00203504" w:rsidP="00203504">
      <w:pPr>
        <w:spacing w:after="240" w:line="360" w:lineRule="auto"/>
        <w:jc w:val="both"/>
        <w:rPr>
          <w:lang w:val="en-US"/>
        </w:rPr>
      </w:pPr>
      <w:r>
        <w:rPr>
          <w:lang w:val="en-US"/>
        </w:rPr>
        <w:t xml:space="preserve">We identified demand-side policies and infrastructure investments based on </w:t>
      </w:r>
      <w:r w:rsidR="00440DDA">
        <w:rPr>
          <w:lang w:val="en-US"/>
        </w:rPr>
        <w:t xml:space="preserve">multiple research strategies. First, we </w:t>
      </w:r>
      <w:r w:rsidR="00AC2D77">
        <w:rPr>
          <w:lang w:val="en-US"/>
        </w:rPr>
        <w:t xml:space="preserve">conducted a </w:t>
      </w:r>
      <w:r w:rsidR="006A5015">
        <w:rPr>
          <w:lang w:val="en-US"/>
        </w:rPr>
        <w:t xml:space="preserve">systematic </w:t>
      </w:r>
      <w:r w:rsidR="00AC2D77">
        <w:rPr>
          <w:lang w:val="en-US"/>
        </w:rPr>
        <w:t>literature review on relevant climate policy in Austria based</w:t>
      </w:r>
      <w:r w:rsidR="00440DDA">
        <w:rPr>
          <w:lang w:val="en-US"/>
        </w:rPr>
        <w:t xml:space="preserve"> </w:t>
      </w:r>
      <w:r w:rsidR="00AC2D77">
        <w:rPr>
          <w:lang w:val="en-US"/>
        </w:rPr>
        <w:t>keyword search</w:t>
      </w:r>
      <w:r>
        <w:rPr>
          <w:lang w:val="en-US"/>
        </w:rPr>
        <w:t xml:space="preserve"> in Scopus and Google Scholar</w:t>
      </w:r>
      <w:r w:rsidR="00AC2D77">
        <w:rPr>
          <w:lang w:val="en-US"/>
        </w:rPr>
        <w:t xml:space="preserve"> (keywords: “Austria” AND </w:t>
      </w:r>
      <w:r w:rsidR="00516BC8">
        <w:rPr>
          <w:lang w:val="en-US"/>
        </w:rPr>
        <w:t>(</w:t>
      </w:r>
      <w:r w:rsidR="00AC2D77">
        <w:rPr>
          <w:lang w:val="en-US"/>
        </w:rPr>
        <w:t>“transport”</w:t>
      </w:r>
      <w:r w:rsidR="00C15722">
        <w:rPr>
          <w:lang w:val="en-US"/>
        </w:rPr>
        <w:t xml:space="preserve"> OR “mobility”</w:t>
      </w:r>
      <w:r w:rsidR="00AC2D77">
        <w:rPr>
          <w:lang w:val="en-US"/>
        </w:rPr>
        <w:t xml:space="preserve"> </w:t>
      </w:r>
      <w:r w:rsidR="00C15722">
        <w:rPr>
          <w:lang w:val="en-US"/>
        </w:rPr>
        <w:t>OR</w:t>
      </w:r>
      <w:r w:rsidR="00CB27E6">
        <w:rPr>
          <w:lang w:val="en-US"/>
        </w:rPr>
        <w:t xml:space="preserve"> </w:t>
      </w:r>
      <w:r w:rsidR="00CF3CE4">
        <w:rPr>
          <w:lang w:val="en-US"/>
        </w:rPr>
        <w:t>“</w:t>
      </w:r>
      <w:r w:rsidR="00AC2D77">
        <w:rPr>
          <w:lang w:val="en-US"/>
        </w:rPr>
        <w:t>housing”</w:t>
      </w:r>
      <w:r w:rsidR="00516BC8">
        <w:rPr>
          <w:lang w:val="en-US"/>
        </w:rPr>
        <w:t>)</w:t>
      </w:r>
      <w:r w:rsidR="00AC2D77">
        <w:rPr>
          <w:lang w:val="en-US"/>
        </w:rPr>
        <w:t xml:space="preserve"> </w:t>
      </w:r>
      <w:r w:rsidR="00516BC8">
        <w:rPr>
          <w:lang w:val="en-US"/>
        </w:rPr>
        <w:t>AND</w:t>
      </w:r>
      <w:r w:rsidR="00AC2D77">
        <w:rPr>
          <w:lang w:val="en-US"/>
        </w:rPr>
        <w:t xml:space="preserve"> </w:t>
      </w:r>
      <w:r w:rsidR="00516BC8">
        <w:rPr>
          <w:lang w:val="en-US"/>
        </w:rPr>
        <w:t>(</w:t>
      </w:r>
      <w:r w:rsidR="00AC2D77">
        <w:rPr>
          <w:lang w:val="en-US"/>
        </w:rPr>
        <w:t xml:space="preserve">“policy” </w:t>
      </w:r>
      <w:r w:rsidR="00C15722">
        <w:rPr>
          <w:lang w:val="en-US"/>
        </w:rPr>
        <w:t>OR</w:t>
      </w:r>
      <w:r w:rsidR="00AC2D77">
        <w:rPr>
          <w:lang w:val="en-US"/>
        </w:rPr>
        <w:t xml:space="preserve"> </w:t>
      </w:r>
      <w:r w:rsidR="00CF3CE4">
        <w:rPr>
          <w:lang w:val="en-US"/>
        </w:rPr>
        <w:t>“</w:t>
      </w:r>
      <w:r w:rsidR="00AC2D77">
        <w:rPr>
          <w:lang w:val="en-US"/>
        </w:rPr>
        <w:t>policies”</w:t>
      </w:r>
      <w:r w:rsidR="00516BC8">
        <w:rPr>
          <w:lang w:val="en-US"/>
        </w:rPr>
        <w:t>)</w:t>
      </w:r>
      <w:r w:rsidR="00AC2D77">
        <w:rPr>
          <w:lang w:val="en-US"/>
        </w:rPr>
        <w:t>)</w:t>
      </w:r>
      <w:r w:rsidR="00C15722">
        <w:rPr>
          <w:lang w:val="en-US"/>
        </w:rPr>
        <w:t xml:space="preserve"> between January and October 2023</w:t>
      </w:r>
      <w:r w:rsidR="00AC2D77">
        <w:rPr>
          <w:lang w:val="en-US"/>
        </w:rPr>
        <w:t xml:space="preserve">. </w:t>
      </w:r>
      <w:r w:rsidR="00516BC8">
        <w:rPr>
          <w:lang w:val="en-US"/>
        </w:rPr>
        <w:t xml:space="preserve">This reaped a result of </w:t>
      </w:r>
      <w:r w:rsidR="00C771D9">
        <w:rPr>
          <w:lang w:val="en-US"/>
        </w:rPr>
        <w:t>199</w:t>
      </w:r>
      <w:r w:rsidR="00516BC8">
        <w:rPr>
          <w:lang w:val="en-US"/>
        </w:rPr>
        <w:t xml:space="preserve"> articles</w:t>
      </w:r>
      <w:r w:rsidR="00C771D9">
        <w:rPr>
          <w:lang w:val="en-US"/>
        </w:rPr>
        <w:t xml:space="preserve"> and book chapters (109 transport, 90 housing)</w:t>
      </w:r>
      <w:r w:rsidR="00516BC8">
        <w:rPr>
          <w:lang w:val="en-US"/>
        </w:rPr>
        <w:t xml:space="preserve">, </w:t>
      </w:r>
      <w:r w:rsidR="00C771D9">
        <w:rPr>
          <w:lang w:val="en-US"/>
        </w:rPr>
        <w:t>90</w:t>
      </w:r>
      <w:r w:rsidR="00516BC8">
        <w:rPr>
          <w:lang w:val="en-US"/>
        </w:rPr>
        <w:t xml:space="preserve"> of which were selected </w:t>
      </w:r>
      <w:r w:rsidR="00D36966">
        <w:rPr>
          <w:lang w:val="en-US"/>
        </w:rPr>
        <w:t xml:space="preserve">for systematic coding </w:t>
      </w:r>
      <w:r w:rsidR="00516BC8">
        <w:rPr>
          <w:lang w:val="en-US"/>
        </w:rPr>
        <w:t>after title, abstract and keyword screening.</w:t>
      </w:r>
      <w:r w:rsidR="006A5015">
        <w:rPr>
          <w:lang w:val="en-US"/>
        </w:rPr>
        <w:t xml:space="preserve"> Literature review was</w:t>
      </w:r>
      <w:r w:rsidR="00516BC8">
        <w:rPr>
          <w:lang w:val="en-US"/>
        </w:rPr>
        <w:t xml:space="preserve"> </w:t>
      </w:r>
      <w:r w:rsidR="006A5015" w:rsidRPr="006A5015">
        <w:rPr>
          <w:lang w:val="en-US"/>
        </w:rPr>
        <w:t xml:space="preserve">followed by a targeted </w:t>
      </w:r>
      <w:r w:rsidR="006A5015">
        <w:rPr>
          <w:lang w:val="en-US"/>
        </w:rPr>
        <w:t>web</w:t>
      </w:r>
      <w:r w:rsidR="006A5015" w:rsidRPr="006A5015">
        <w:rPr>
          <w:lang w:val="en-US"/>
        </w:rPr>
        <w:t xml:space="preserve"> search to locate the specific policies mentioned in the literature, such as legal texts or policy documents</w:t>
      </w:r>
      <w:r w:rsidR="006A5015">
        <w:rPr>
          <w:lang w:val="en-US"/>
        </w:rPr>
        <w:t xml:space="preserve">. Second, an additional web search was conducted based on the literature review to investigate </w:t>
      </w:r>
      <w:r w:rsidR="00830EFF">
        <w:rPr>
          <w:lang w:val="en-US"/>
        </w:rPr>
        <w:t>when</w:t>
      </w:r>
      <w:r w:rsidR="006A5015">
        <w:rPr>
          <w:lang w:val="en-US"/>
        </w:rPr>
        <w:t xml:space="preserve"> a particular subsidy schemes or program mentioned for a specific year or time span had been implemented, and when it expired. </w:t>
      </w:r>
    </w:p>
    <w:p w14:paraId="4C57B349" w14:textId="6A750A84" w:rsidR="00440DDA" w:rsidRDefault="006A5015" w:rsidP="00203504">
      <w:pPr>
        <w:spacing w:after="240" w:line="360" w:lineRule="auto"/>
        <w:jc w:val="both"/>
        <w:rPr>
          <w:lang w:val="en-US"/>
        </w:rPr>
      </w:pPr>
      <w:r>
        <w:rPr>
          <w:lang w:val="en-US"/>
        </w:rPr>
        <w:t>Third</w:t>
      </w:r>
      <w:r w:rsidR="006F5B91">
        <w:rPr>
          <w:lang w:val="en-US"/>
        </w:rPr>
        <w:t xml:space="preserve">, we </w:t>
      </w:r>
      <w:r>
        <w:rPr>
          <w:lang w:val="en-US"/>
        </w:rPr>
        <w:t>systematically screened</w:t>
      </w:r>
      <w:r w:rsidR="006F5B91">
        <w:rPr>
          <w:lang w:val="en-US"/>
        </w:rPr>
        <w:t xml:space="preserve"> websites of relevant federal ministries and provincial government agencies (particularly based on systematic screening of press releases for the available years) as well as websites of initiatives or institutions in charge of implementing climate policy measures </w:t>
      </w:r>
      <w:r>
        <w:rPr>
          <w:lang w:val="en-US"/>
        </w:rPr>
        <w:t xml:space="preserve">on behalf of the federal or provincial administrations </w:t>
      </w:r>
      <w:r w:rsidR="006F5B91">
        <w:rPr>
          <w:lang w:val="en-US"/>
        </w:rPr>
        <w:t xml:space="preserve">(e.g., the </w:t>
      </w:r>
      <w:r w:rsidR="006F5B91">
        <w:rPr>
          <w:lang w:val="en-US"/>
        </w:rPr>
        <w:lastRenderedPageBreak/>
        <w:t>initiative “</w:t>
      </w:r>
      <w:proofErr w:type="spellStart"/>
      <w:r w:rsidR="006F5B91">
        <w:rPr>
          <w:lang w:val="en-US"/>
        </w:rPr>
        <w:t>klimaaktiv</w:t>
      </w:r>
      <w:proofErr w:type="spellEnd"/>
      <w:r w:rsidR="006F5B91">
        <w:rPr>
          <w:lang w:val="en-US"/>
        </w:rPr>
        <w:t>”</w:t>
      </w:r>
      <w:r w:rsidR="007E7B2B">
        <w:rPr>
          <w:lang w:val="en-US"/>
        </w:rPr>
        <w:t xml:space="preserve"> implementing various information campaigns and subsidy schemes on behalf of the federal government). </w:t>
      </w:r>
      <w:r>
        <w:rPr>
          <w:lang w:val="en-US"/>
        </w:rPr>
        <w:t>Fourth</w:t>
      </w:r>
      <w:r w:rsidR="007E7B2B">
        <w:rPr>
          <w:lang w:val="en-US"/>
        </w:rPr>
        <w:t xml:space="preserve">, </w:t>
      </w:r>
      <w:r w:rsidR="00B22940">
        <w:rPr>
          <w:lang w:val="en-US"/>
        </w:rPr>
        <w:t>many policy documents mentioned previous</w:t>
      </w:r>
      <w:r w:rsidR="00B22940" w:rsidRPr="00B22940">
        <w:rPr>
          <w:lang w:val="en-US"/>
        </w:rPr>
        <w:t xml:space="preserve"> policies </w:t>
      </w:r>
      <w:r w:rsidR="00B22940">
        <w:rPr>
          <w:lang w:val="en-US"/>
        </w:rPr>
        <w:t xml:space="preserve">in the area which </w:t>
      </w:r>
      <w:r w:rsidR="00B22940" w:rsidRPr="00B22940">
        <w:rPr>
          <w:lang w:val="en-US"/>
        </w:rPr>
        <w:t xml:space="preserve">they built upon or </w:t>
      </w:r>
      <w:r w:rsidR="00B22940">
        <w:rPr>
          <w:lang w:val="en-US"/>
        </w:rPr>
        <w:t>which</w:t>
      </w:r>
      <w:r w:rsidR="00B22940" w:rsidRPr="00B22940">
        <w:rPr>
          <w:lang w:val="en-US"/>
        </w:rPr>
        <w:t xml:space="preserve"> they replaced or modified</w:t>
      </w:r>
      <w:r w:rsidR="00B22940">
        <w:rPr>
          <w:lang w:val="en-US"/>
        </w:rPr>
        <w:t xml:space="preserve">, which allowed us to trace policy evolution backwards. Fifth, </w:t>
      </w:r>
      <w:r w:rsidR="007E7B2B">
        <w:rPr>
          <w:lang w:val="en-US"/>
        </w:rPr>
        <w:t xml:space="preserve">to triangulate </w:t>
      </w:r>
      <w:r w:rsidR="00647D20">
        <w:rPr>
          <w:lang w:val="en-US"/>
        </w:rPr>
        <w:t>the results from these search strategies</w:t>
      </w:r>
      <w:r w:rsidR="00B02A0F">
        <w:rPr>
          <w:lang w:val="en-US"/>
        </w:rPr>
        <w:t xml:space="preserve"> and identify remaining gaps</w:t>
      </w:r>
      <w:r w:rsidR="00647D20">
        <w:rPr>
          <w:lang w:val="en-US"/>
        </w:rPr>
        <w:t xml:space="preserve">, we conducted four </w:t>
      </w:r>
      <w:r w:rsidR="00FB42E4">
        <w:rPr>
          <w:lang w:val="en-US"/>
        </w:rPr>
        <w:t xml:space="preserve">semi-structured </w:t>
      </w:r>
      <w:r w:rsidR="00647D20">
        <w:rPr>
          <w:lang w:val="en-US"/>
        </w:rPr>
        <w:t xml:space="preserve">expert interviews with civil servants at the Federal Ministry of Climate Action, Environment, Energy, Mobility, Innovation and Technology as well as the </w:t>
      </w:r>
      <w:proofErr w:type="gramStart"/>
      <w:r w:rsidR="001936B1" w:rsidRPr="001936B1">
        <w:rPr>
          <w:lang w:val="en-US"/>
        </w:rPr>
        <w:t>Director‘</w:t>
      </w:r>
      <w:proofErr w:type="gramEnd"/>
      <w:r w:rsidR="001936B1" w:rsidRPr="001936B1">
        <w:rPr>
          <w:lang w:val="en-US"/>
        </w:rPr>
        <w:t>s Office for Climate Affairs</w:t>
      </w:r>
      <w:r w:rsidR="001936B1">
        <w:rPr>
          <w:lang w:val="en-US"/>
        </w:rPr>
        <w:t xml:space="preserve"> </w:t>
      </w:r>
      <w:r w:rsidR="00647D20">
        <w:rPr>
          <w:lang w:val="en-US"/>
        </w:rPr>
        <w:t>at the city of Vienna</w:t>
      </w:r>
      <w:r w:rsidR="00B02A0F">
        <w:rPr>
          <w:lang w:val="en-US"/>
        </w:rPr>
        <w:t xml:space="preserve"> in </w:t>
      </w:r>
      <w:r w:rsidR="00282DC6">
        <w:rPr>
          <w:lang w:val="en-US"/>
        </w:rPr>
        <w:t>March and April 2023</w:t>
      </w:r>
      <w:r w:rsidR="00B02A0F">
        <w:rPr>
          <w:lang w:val="en-US"/>
        </w:rPr>
        <w:t xml:space="preserve"> and </w:t>
      </w:r>
      <w:r w:rsidR="00282DC6">
        <w:rPr>
          <w:lang w:val="en-US"/>
        </w:rPr>
        <w:t xml:space="preserve">in </w:t>
      </w:r>
      <w:r w:rsidR="00B02A0F">
        <w:rPr>
          <w:lang w:val="en-US"/>
        </w:rPr>
        <w:t>December 2024</w:t>
      </w:r>
      <w:r w:rsidR="00647D20">
        <w:rPr>
          <w:lang w:val="en-US"/>
        </w:rPr>
        <w:t xml:space="preserve">. </w:t>
      </w:r>
      <w:r w:rsidR="002F716A">
        <w:rPr>
          <w:lang w:val="en-US"/>
        </w:rPr>
        <w:t xml:space="preserve">We also presented key intermediate findings at a stakeholder workshop with federal and provincial climate policy makers in Austria as well as NGOs involved in climate policy in November 2024 to obtain feedback. </w:t>
      </w:r>
      <w:r w:rsidR="00B22940">
        <w:rPr>
          <w:lang w:val="en-US"/>
        </w:rPr>
        <w:t>Sixth</w:t>
      </w:r>
      <w:r w:rsidR="000E33E8">
        <w:rPr>
          <w:lang w:val="en-US"/>
        </w:rPr>
        <w:t xml:space="preserve">, we shared and discussed our </w:t>
      </w:r>
      <w:r w:rsidR="00B22940">
        <w:rPr>
          <w:lang w:val="en-US"/>
        </w:rPr>
        <w:t xml:space="preserve">policy </w:t>
      </w:r>
      <w:r w:rsidR="000E33E8">
        <w:rPr>
          <w:lang w:val="en-US"/>
        </w:rPr>
        <w:t>data</w:t>
      </w:r>
      <w:r w:rsidR="00B22940">
        <w:rPr>
          <w:lang w:val="en-US"/>
        </w:rPr>
        <w:t xml:space="preserve">set </w:t>
      </w:r>
      <w:r w:rsidR="000E33E8">
        <w:rPr>
          <w:lang w:val="en-US"/>
        </w:rPr>
        <w:t xml:space="preserve">with members of the Austrian climate policy research community in two online meetings held in </w:t>
      </w:r>
      <w:r w:rsidR="000E33E8" w:rsidRPr="00391421">
        <w:rPr>
          <w:lang w:val="en-US"/>
        </w:rPr>
        <w:t>July and December 2024</w:t>
      </w:r>
      <w:r w:rsidR="000E33E8">
        <w:rPr>
          <w:lang w:val="en-US"/>
        </w:rPr>
        <w:t xml:space="preserve"> to obtain peer-feedback and pinpoint gaps in the dataset.   </w:t>
      </w:r>
    </w:p>
    <w:p w14:paraId="475EE58B" w14:textId="2966B9EB" w:rsidR="00E25780" w:rsidRDefault="00203504" w:rsidP="00203504">
      <w:pPr>
        <w:spacing w:after="240" w:line="360" w:lineRule="auto"/>
        <w:jc w:val="both"/>
        <w:rPr>
          <w:lang w:val="en-US"/>
        </w:rPr>
      </w:pPr>
      <w:r>
        <w:rPr>
          <w:lang w:val="en-US"/>
        </w:rPr>
        <w:t xml:space="preserve">This resulted in a </w:t>
      </w:r>
      <w:r w:rsidR="00F5162A">
        <w:rPr>
          <w:lang w:val="en-US"/>
        </w:rPr>
        <w:t>data</w:t>
      </w:r>
      <w:r w:rsidR="00D52DB3">
        <w:rPr>
          <w:lang w:val="en-US"/>
        </w:rPr>
        <w:t xml:space="preserve">set </w:t>
      </w:r>
      <w:r w:rsidR="00F5162A">
        <w:rPr>
          <w:lang w:val="en-US"/>
        </w:rPr>
        <w:t xml:space="preserve">comprising </w:t>
      </w:r>
      <w:r w:rsidR="006430E0">
        <w:rPr>
          <w:lang w:val="en-US"/>
        </w:rPr>
        <w:t>351</w:t>
      </w:r>
      <w:r>
        <w:rPr>
          <w:lang w:val="en-US"/>
        </w:rPr>
        <w:t xml:space="preserve"> policies </w:t>
      </w:r>
      <w:r w:rsidR="00F5162A">
        <w:rPr>
          <w:lang w:val="en-US"/>
        </w:rPr>
        <w:t xml:space="preserve">in total </w:t>
      </w:r>
      <w:r>
        <w:rPr>
          <w:lang w:val="en-US"/>
        </w:rPr>
        <w:t>(</w:t>
      </w:r>
      <w:r w:rsidR="006430E0">
        <w:rPr>
          <w:lang w:val="en-US"/>
        </w:rPr>
        <w:t>231</w:t>
      </w:r>
      <w:r>
        <w:rPr>
          <w:lang w:val="en-US"/>
        </w:rPr>
        <w:t xml:space="preserve"> transport</w:t>
      </w:r>
      <w:r w:rsidR="006430E0">
        <w:rPr>
          <w:lang w:val="en-US"/>
        </w:rPr>
        <w:t>, 120 housing</w:t>
      </w:r>
      <w:r>
        <w:rPr>
          <w:lang w:val="en-US"/>
        </w:rPr>
        <w:t>)</w:t>
      </w:r>
      <w:r w:rsidR="00F2313E">
        <w:rPr>
          <w:lang w:val="en-US"/>
        </w:rPr>
        <w:t xml:space="preserve">. </w:t>
      </w:r>
      <w:r w:rsidR="00B22940">
        <w:rPr>
          <w:lang w:val="en-US"/>
        </w:rPr>
        <w:t>In parallel with data collection, policies were</w:t>
      </w:r>
      <w:r w:rsidR="00F2313E">
        <w:rPr>
          <w:lang w:val="en-US"/>
        </w:rPr>
        <w:t xml:space="preserve"> </w:t>
      </w:r>
      <w:r>
        <w:rPr>
          <w:lang w:val="en-US"/>
        </w:rPr>
        <w:t xml:space="preserve">systematically coded along three dimensions: (1) policy target (2) type of policy intervention, and (3) demand-side mitigation option pursued </w:t>
      </w:r>
      <w:r w:rsidR="00E25780">
        <w:rPr>
          <w:lang w:val="en-US"/>
        </w:rPr>
        <w:t xml:space="preserve">(see Table 2). </w:t>
      </w: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shd w:val="clear" w:color="auto" w:fill="E7E6E6" w:themeFill="background2"/>
        <w:tblLook w:val="04A0" w:firstRow="1" w:lastRow="0" w:firstColumn="1" w:lastColumn="0" w:noHBand="0" w:noVBand="1"/>
      </w:tblPr>
      <w:tblGrid>
        <w:gridCol w:w="1418"/>
        <w:gridCol w:w="3118"/>
        <w:gridCol w:w="2268"/>
        <w:gridCol w:w="2268"/>
      </w:tblGrid>
      <w:tr w:rsidR="00E25780" w:rsidRPr="00FB42E4" w14:paraId="3869E040" w14:textId="77777777" w:rsidTr="00AC05D9">
        <w:tc>
          <w:tcPr>
            <w:tcW w:w="0" w:type="auto"/>
            <w:gridSpan w:val="4"/>
            <w:tcBorders>
              <w:top w:val="nil"/>
              <w:bottom w:val="nil"/>
            </w:tcBorders>
            <w:shd w:val="clear" w:color="auto" w:fill="E7E6E6" w:themeFill="background2"/>
          </w:tcPr>
          <w:p w14:paraId="3606A80E" w14:textId="3BF398F7" w:rsidR="00E25780" w:rsidRPr="00AB2ED7" w:rsidRDefault="00E25780" w:rsidP="00AC05D9">
            <w:pPr>
              <w:spacing w:before="120" w:after="120"/>
              <w:rPr>
                <w:b/>
                <w:bCs/>
                <w:lang w:val="en-US"/>
              </w:rPr>
            </w:pPr>
            <w:r w:rsidRPr="00AB2ED7">
              <w:rPr>
                <w:b/>
                <w:bCs/>
                <w:lang w:val="en-US"/>
              </w:rPr>
              <w:t xml:space="preserve">Table </w:t>
            </w:r>
            <w:r>
              <w:rPr>
                <w:b/>
                <w:bCs/>
                <w:lang w:val="en-US"/>
              </w:rPr>
              <w:t>2</w:t>
            </w:r>
            <w:r w:rsidRPr="00AB2ED7">
              <w:rPr>
                <w:b/>
                <w:bCs/>
                <w:lang w:val="en-US"/>
              </w:rPr>
              <w:t xml:space="preserve">: </w:t>
            </w:r>
            <w:r>
              <w:rPr>
                <w:b/>
                <w:bCs/>
                <w:lang w:val="en-US"/>
              </w:rPr>
              <w:t>Three-dimensional policy coding scheme</w:t>
            </w:r>
            <w:r w:rsidRPr="00202749">
              <w:rPr>
                <w:lang w:val="en-US"/>
              </w:rPr>
              <w:fldChar w:fldCharType="begin"/>
            </w:r>
            <w:r w:rsidR="007D6BD9">
              <w:rPr>
                <w:lang w:val="en-US"/>
              </w:rPr>
              <w:instrText xml:space="preserve"> ADDIN ZOTERO_ITEM CSL_CITATION {"citationID":"zgazenUK","properties":{"formattedCitation":"\\super 3\\nosupersub{}","plainCitation":"3","noteIndex":0},"citationItems":[{"id":8973,"uris":["http://zotero.org/groups/2433940/items/I4D2DIUH"],"itemData":{"id":8973,"type":"article-journal","container-title":"Nature Climate Change","DOI":"10.1038/s41558-021-01219-y","ISSN":"1758-678X, 1758-6798","issue":"1","journalAbbreviation":"Nat. Clim. Chang.","language":"en","page":"36-46","source":"DOI.org (Crossref)","title":"Demand-side solutions to climate change mitigation consistent with high levels of well-being","URL":"https://www.nature.com/articles/s41558-021-01219-y","volume":"12","author":[{"family":"Creutzig","given":"Felix"},{"family":"Niamir","given":"Leila"},{"family":"Bai","given":"Xuemei"},{"family":"Callaghan","given":"Max"},{"family":"Cullen","given":"Jonathan"},{"family":"Díaz-José","given":"Julio"},{"family":"Figueroa","given":"Maria"},{"family":"Grubler","given":"Arnulf"},{"family":"Lamb","given":"William F."},{"family":"Leip","given":"Adrian"},{"family":"Masanet","given":"Eric"},{"family":"Mata","given":"Érika"},{"family":"Mattauch","given":"Linus"},{"family":"Minx","given":"Jan C."},{"family":"Mirasgedis","given":"Sebastian"},{"family":"Mulugetta","given":"Yacob"},{"family":"Nugroho","given":"Sudarmanto Budi"},{"family":"Pathak","given":"Minal"},{"family":"Perkins","given":"Patricia"},{"family":"Roy","given":"Joyashree"},{"family":"Rue du Can","given":"Stephane","non-dropping-particle":"de la"},{"family":"Saheb","given":"Yamina"},{"family":"Some","given":"Shreya"},{"family":"Steg","given":"Linda"},{"family":"Steinberger","given":"Julia"},{"family":"Ürge-Vorsatz","given":"Diana"}],"accessed":{"date-parts":[["2022",10,18]]},"issued":{"date-parts":[["2022",1]]}}}],"schema":"https://github.com/citation-style-language/schema/raw/master/csl-citation.json"} </w:instrText>
            </w:r>
            <w:r w:rsidRPr="00202749">
              <w:rPr>
                <w:lang w:val="en-US"/>
              </w:rPr>
              <w:fldChar w:fldCharType="separate"/>
            </w:r>
            <w:r w:rsidR="007D6BD9" w:rsidRPr="007D6BD9">
              <w:rPr>
                <w:rFonts w:ascii="Calibri" w:hAnsi="Calibri" w:cs="Calibri"/>
                <w:kern w:val="0"/>
                <w:vertAlign w:val="superscript"/>
                <w:lang w:val="en-US"/>
              </w:rPr>
              <w:t>3</w:t>
            </w:r>
            <w:r w:rsidRPr="00202749">
              <w:rPr>
                <w:lang w:val="en-US"/>
              </w:rPr>
              <w:fldChar w:fldCharType="end"/>
            </w:r>
          </w:p>
        </w:tc>
      </w:tr>
      <w:tr w:rsidR="00E25780" w:rsidRPr="00E25780" w14:paraId="77A043B8" w14:textId="77777777" w:rsidTr="00A67DBD">
        <w:tc>
          <w:tcPr>
            <w:tcW w:w="1418" w:type="dxa"/>
            <w:tcBorders>
              <w:top w:val="nil"/>
              <w:bottom w:val="single" w:sz="4" w:space="0" w:color="FFFFFF" w:themeColor="background1"/>
            </w:tcBorders>
            <w:shd w:val="clear" w:color="auto" w:fill="F2F2F2" w:themeFill="background1" w:themeFillShade="F2"/>
          </w:tcPr>
          <w:p w14:paraId="50CCD5CF" w14:textId="77777777" w:rsidR="00E25780" w:rsidRDefault="00E25780" w:rsidP="00AC05D9">
            <w:pPr>
              <w:spacing w:before="240"/>
              <w:rPr>
                <w:lang w:val="en-US"/>
              </w:rPr>
            </w:pPr>
          </w:p>
        </w:tc>
        <w:tc>
          <w:tcPr>
            <w:tcW w:w="3118" w:type="dxa"/>
            <w:tcBorders>
              <w:top w:val="nil"/>
              <w:bottom w:val="single" w:sz="4" w:space="0" w:color="FFFFFF" w:themeColor="background1"/>
            </w:tcBorders>
            <w:shd w:val="clear" w:color="auto" w:fill="DEECF8"/>
            <w:vAlign w:val="center"/>
          </w:tcPr>
          <w:p w14:paraId="5D3348E1" w14:textId="3DFF80F6" w:rsidR="00E25780" w:rsidRPr="00907BF0" w:rsidRDefault="00E25780" w:rsidP="00F5162A">
            <w:pPr>
              <w:spacing w:before="120" w:after="120"/>
              <w:jc w:val="center"/>
              <w:rPr>
                <w:lang w:val="en-US"/>
              </w:rPr>
            </w:pPr>
            <w:r>
              <w:rPr>
                <w:lang w:val="en-US"/>
              </w:rPr>
              <w:t>policy target</w:t>
            </w:r>
          </w:p>
        </w:tc>
        <w:tc>
          <w:tcPr>
            <w:tcW w:w="2268" w:type="dxa"/>
            <w:tcBorders>
              <w:top w:val="nil"/>
              <w:bottom w:val="single" w:sz="4" w:space="0" w:color="FFFFFF"/>
            </w:tcBorders>
            <w:shd w:val="clear" w:color="auto" w:fill="E3F1D9"/>
            <w:vAlign w:val="center"/>
          </w:tcPr>
          <w:p w14:paraId="137FC20C" w14:textId="28CBBE3E" w:rsidR="00E25780" w:rsidRPr="00907BF0" w:rsidRDefault="00E25780" w:rsidP="00F5162A">
            <w:pPr>
              <w:spacing w:before="120" w:after="120"/>
              <w:jc w:val="center"/>
              <w:rPr>
                <w:lang w:val="en-US"/>
              </w:rPr>
            </w:pPr>
            <w:r>
              <w:rPr>
                <w:lang w:val="en-US"/>
              </w:rPr>
              <w:t>type of policy intervention</w:t>
            </w:r>
          </w:p>
        </w:tc>
        <w:tc>
          <w:tcPr>
            <w:tcW w:w="2268" w:type="dxa"/>
            <w:tcBorders>
              <w:top w:val="nil"/>
              <w:bottom w:val="single" w:sz="4" w:space="0" w:color="FFFFFF" w:themeColor="background1"/>
            </w:tcBorders>
            <w:shd w:val="clear" w:color="auto" w:fill="FFF2CC"/>
            <w:vAlign w:val="center"/>
          </w:tcPr>
          <w:p w14:paraId="274405D3" w14:textId="7EA1131B" w:rsidR="00E25780" w:rsidRPr="00907BF0" w:rsidRDefault="00E25780" w:rsidP="00F5162A">
            <w:pPr>
              <w:spacing w:before="120" w:after="120"/>
              <w:jc w:val="center"/>
              <w:rPr>
                <w:lang w:val="en-US"/>
              </w:rPr>
            </w:pPr>
            <w:r>
              <w:rPr>
                <w:lang w:val="en-US"/>
              </w:rPr>
              <w:t>demand-side mitigation option</w:t>
            </w:r>
          </w:p>
        </w:tc>
      </w:tr>
      <w:tr w:rsidR="00F5162A" w:rsidRPr="009A0CD4" w14:paraId="00E6B710" w14:textId="77777777" w:rsidTr="00A67DBD">
        <w:tc>
          <w:tcPr>
            <w:tcW w:w="1418" w:type="dxa"/>
            <w:tcBorders>
              <w:top w:val="single" w:sz="4" w:space="0" w:color="FFFFFF" w:themeColor="background1"/>
              <w:bottom w:val="single" w:sz="4" w:space="0" w:color="FFFFFF"/>
            </w:tcBorders>
            <w:shd w:val="clear" w:color="auto" w:fill="F2F2F2" w:themeFill="background1" w:themeFillShade="F2"/>
          </w:tcPr>
          <w:p w14:paraId="5A52E267" w14:textId="77777777" w:rsidR="00F5162A" w:rsidRPr="00004D95" w:rsidRDefault="00F5162A" w:rsidP="00AC05D9">
            <w:pPr>
              <w:spacing w:before="60" w:after="60"/>
              <w:rPr>
                <w:sz w:val="22"/>
                <w:szCs w:val="22"/>
                <w:lang w:val="en-US"/>
              </w:rPr>
            </w:pPr>
            <w:r w:rsidRPr="0007062C">
              <w:rPr>
                <w:lang w:val="en-US"/>
              </w:rPr>
              <w:t>Transport</w:t>
            </w:r>
          </w:p>
        </w:tc>
        <w:tc>
          <w:tcPr>
            <w:tcW w:w="3118" w:type="dxa"/>
            <w:tcBorders>
              <w:top w:val="single" w:sz="4" w:space="0" w:color="FFFFFF" w:themeColor="background1"/>
              <w:bottom w:val="single" w:sz="4" w:space="0" w:color="FFFFFF"/>
            </w:tcBorders>
            <w:shd w:val="clear" w:color="auto" w:fill="DEECF8"/>
          </w:tcPr>
          <w:p w14:paraId="36DF5FDF" w14:textId="77777777" w:rsidR="00F5162A" w:rsidRDefault="00F5162A" w:rsidP="00F5162A">
            <w:pPr>
              <w:pStyle w:val="ListParagraph"/>
              <w:numPr>
                <w:ilvl w:val="0"/>
                <w:numId w:val="5"/>
              </w:numPr>
              <w:spacing w:before="60" w:after="60"/>
              <w:ind w:left="313" w:hanging="283"/>
              <w:rPr>
                <w:sz w:val="21"/>
                <w:szCs w:val="21"/>
                <w:lang w:val="en-US"/>
              </w:rPr>
            </w:pPr>
            <w:r>
              <w:rPr>
                <w:sz w:val="21"/>
                <w:szCs w:val="21"/>
                <w:lang w:val="en-US"/>
              </w:rPr>
              <w:t xml:space="preserve">behavioral energy saving </w:t>
            </w:r>
          </w:p>
          <w:p w14:paraId="665EECC4" w14:textId="285DF07B" w:rsidR="00F5162A" w:rsidRDefault="00F5162A" w:rsidP="00F5162A">
            <w:pPr>
              <w:pStyle w:val="ListParagraph"/>
              <w:numPr>
                <w:ilvl w:val="0"/>
                <w:numId w:val="5"/>
              </w:numPr>
              <w:spacing w:before="60" w:after="60"/>
              <w:ind w:left="313" w:hanging="283"/>
              <w:rPr>
                <w:sz w:val="21"/>
                <w:szCs w:val="21"/>
                <w:lang w:val="en-US"/>
              </w:rPr>
            </w:pPr>
            <w:r>
              <w:rPr>
                <w:sz w:val="21"/>
                <w:szCs w:val="21"/>
                <w:lang w:val="en-US"/>
              </w:rPr>
              <w:t>building design</w:t>
            </w:r>
          </w:p>
          <w:p w14:paraId="60123381" w14:textId="77777777" w:rsidR="00F5162A" w:rsidRDefault="00F5162A" w:rsidP="00F5162A">
            <w:pPr>
              <w:pStyle w:val="ListParagraph"/>
              <w:numPr>
                <w:ilvl w:val="0"/>
                <w:numId w:val="5"/>
              </w:numPr>
              <w:spacing w:before="60" w:after="60"/>
              <w:ind w:left="313" w:hanging="283"/>
              <w:rPr>
                <w:sz w:val="21"/>
                <w:szCs w:val="21"/>
                <w:lang w:val="en-US"/>
              </w:rPr>
            </w:pPr>
            <w:r>
              <w:rPr>
                <w:sz w:val="21"/>
                <w:szCs w:val="21"/>
                <w:lang w:val="en-US"/>
              </w:rPr>
              <w:t>energy efficiency of buildings</w:t>
            </w:r>
          </w:p>
          <w:p w14:paraId="0875FF7B" w14:textId="28C343BC" w:rsidR="00F5162A" w:rsidRPr="00F5162A" w:rsidRDefault="00F5162A" w:rsidP="00F5162A">
            <w:pPr>
              <w:pStyle w:val="ListParagraph"/>
              <w:numPr>
                <w:ilvl w:val="0"/>
                <w:numId w:val="5"/>
              </w:numPr>
              <w:spacing w:before="60" w:after="60"/>
              <w:ind w:left="313" w:hanging="283"/>
              <w:rPr>
                <w:sz w:val="21"/>
                <w:szCs w:val="21"/>
                <w:lang w:val="en-US"/>
              </w:rPr>
            </w:pPr>
            <w:r>
              <w:rPr>
                <w:sz w:val="21"/>
                <w:szCs w:val="21"/>
                <w:lang w:val="en-US"/>
              </w:rPr>
              <w:t>household appliances</w:t>
            </w:r>
          </w:p>
          <w:p w14:paraId="38C46D4C" w14:textId="3B621D01" w:rsidR="00F5162A" w:rsidRPr="00F5162A" w:rsidRDefault="00F5162A" w:rsidP="00F5162A">
            <w:pPr>
              <w:pStyle w:val="ListParagraph"/>
              <w:numPr>
                <w:ilvl w:val="0"/>
                <w:numId w:val="5"/>
              </w:numPr>
              <w:spacing w:before="60" w:after="60"/>
              <w:ind w:left="313" w:hanging="283"/>
              <w:rPr>
                <w:sz w:val="21"/>
                <w:szCs w:val="21"/>
                <w:lang w:val="en-US"/>
              </w:rPr>
            </w:pPr>
            <w:r>
              <w:rPr>
                <w:sz w:val="21"/>
                <w:szCs w:val="21"/>
                <w:lang w:val="en-US"/>
              </w:rPr>
              <w:t>renewable energy</w:t>
            </w:r>
          </w:p>
        </w:tc>
        <w:tc>
          <w:tcPr>
            <w:tcW w:w="2268" w:type="dxa"/>
            <w:vMerge w:val="restart"/>
            <w:tcBorders>
              <w:top w:val="single" w:sz="4" w:space="0" w:color="FFFFFF"/>
            </w:tcBorders>
            <w:shd w:val="clear" w:color="auto" w:fill="E3F1D9"/>
            <w:vAlign w:val="center"/>
          </w:tcPr>
          <w:p w14:paraId="3169A3CD" w14:textId="77777777" w:rsidR="00F5162A" w:rsidRDefault="00AA04A9" w:rsidP="00F35BEC">
            <w:pPr>
              <w:pStyle w:val="ListParagraph"/>
              <w:numPr>
                <w:ilvl w:val="0"/>
                <w:numId w:val="5"/>
              </w:numPr>
              <w:spacing w:before="60" w:after="60"/>
              <w:ind w:left="315" w:hanging="315"/>
              <w:rPr>
                <w:sz w:val="21"/>
                <w:szCs w:val="21"/>
                <w:lang w:val="en-US"/>
              </w:rPr>
            </w:pPr>
            <w:r>
              <w:rPr>
                <w:sz w:val="21"/>
                <w:szCs w:val="21"/>
                <w:lang w:val="en-US"/>
              </w:rPr>
              <w:t>Economic</w:t>
            </w:r>
          </w:p>
          <w:p w14:paraId="2787FCD0" w14:textId="26FA83C4" w:rsidR="00F35BEC" w:rsidRDefault="00F35BEC" w:rsidP="00F35BEC">
            <w:pPr>
              <w:pStyle w:val="ListParagraph"/>
              <w:numPr>
                <w:ilvl w:val="0"/>
                <w:numId w:val="5"/>
              </w:numPr>
              <w:spacing w:before="60" w:after="60"/>
              <w:ind w:left="315" w:hanging="315"/>
              <w:rPr>
                <w:sz w:val="21"/>
                <w:szCs w:val="21"/>
                <w:lang w:val="en-US"/>
              </w:rPr>
            </w:pPr>
            <w:r>
              <w:rPr>
                <w:sz w:val="21"/>
                <w:szCs w:val="21"/>
                <w:lang w:val="en-US"/>
              </w:rPr>
              <w:t>Information</w:t>
            </w:r>
          </w:p>
          <w:p w14:paraId="7D44EC83" w14:textId="2FECB928" w:rsidR="00AA04A9" w:rsidRDefault="00AA04A9" w:rsidP="00F35BEC">
            <w:pPr>
              <w:pStyle w:val="ListParagraph"/>
              <w:numPr>
                <w:ilvl w:val="0"/>
                <w:numId w:val="5"/>
              </w:numPr>
              <w:spacing w:before="60" w:after="60"/>
              <w:ind w:left="315" w:hanging="315"/>
              <w:rPr>
                <w:sz w:val="21"/>
                <w:szCs w:val="21"/>
                <w:lang w:val="en-US"/>
              </w:rPr>
            </w:pPr>
            <w:r>
              <w:rPr>
                <w:sz w:val="21"/>
                <w:szCs w:val="21"/>
                <w:lang w:val="en-US"/>
              </w:rPr>
              <w:t>Infrastructure Investment</w:t>
            </w:r>
          </w:p>
          <w:p w14:paraId="7CFDAB7D" w14:textId="709617E1" w:rsidR="00F35BEC" w:rsidRPr="00F35BEC" w:rsidRDefault="00F35BEC" w:rsidP="00F35BEC">
            <w:pPr>
              <w:pStyle w:val="ListParagraph"/>
              <w:numPr>
                <w:ilvl w:val="0"/>
                <w:numId w:val="5"/>
              </w:numPr>
              <w:spacing w:before="60" w:after="60"/>
              <w:ind w:left="315" w:hanging="315"/>
              <w:rPr>
                <w:sz w:val="21"/>
                <w:szCs w:val="21"/>
                <w:lang w:val="en-US"/>
              </w:rPr>
            </w:pPr>
            <w:r>
              <w:rPr>
                <w:sz w:val="21"/>
                <w:szCs w:val="21"/>
                <w:lang w:val="en-US"/>
              </w:rPr>
              <w:t>Regulatory</w:t>
            </w:r>
          </w:p>
          <w:p w14:paraId="62A1DB51" w14:textId="64E13CF7" w:rsidR="00AA04A9" w:rsidRPr="00F35BEC" w:rsidRDefault="00AA04A9" w:rsidP="00F35BEC">
            <w:pPr>
              <w:spacing w:before="60" w:after="60"/>
              <w:rPr>
                <w:sz w:val="21"/>
                <w:szCs w:val="21"/>
                <w:lang w:val="en-US"/>
              </w:rPr>
            </w:pPr>
          </w:p>
        </w:tc>
        <w:tc>
          <w:tcPr>
            <w:tcW w:w="2268" w:type="dxa"/>
            <w:vMerge w:val="restart"/>
            <w:tcBorders>
              <w:top w:val="single" w:sz="4" w:space="0" w:color="FFFFFF" w:themeColor="background1"/>
            </w:tcBorders>
            <w:shd w:val="clear" w:color="auto" w:fill="FFF2CC"/>
            <w:vAlign w:val="center"/>
          </w:tcPr>
          <w:p w14:paraId="44354E08" w14:textId="77777777" w:rsidR="00F5162A" w:rsidRDefault="00F35BEC" w:rsidP="00F35BEC">
            <w:pPr>
              <w:pStyle w:val="ListParagraph"/>
              <w:numPr>
                <w:ilvl w:val="0"/>
                <w:numId w:val="5"/>
              </w:numPr>
              <w:spacing w:before="60" w:after="60"/>
              <w:ind w:left="313" w:hanging="283"/>
              <w:rPr>
                <w:sz w:val="21"/>
                <w:szCs w:val="21"/>
                <w:lang w:val="en-US"/>
              </w:rPr>
            </w:pPr>
            <w:r>
              <w:rPr>
                <w:sz w:val="21"/>
                <w:szCs w:val="21"/>
                <w:lang w:val="en-US"/>
              </w:rPr>
              <w:t>Avoid</w:t>
            </w:r>
          </w:p>
          <w:p w14:paraId="2D8BF460" w14:textId="6172E730" w:rsidR="00F35BEC" w:rsidRDefault="00F35BEC" w:rsidP="00F35BEC">
            <w:pPr>
              <w:pStyle w:val="ListParagraph"/>
              <w:numPr>
                <w:ilvl w:val="0"/>
                <w:numId w:val="5"/>
              </w:numPr>
              <w:spacing w:before="60" w:after="60"/>
              <w:ind w:left="313" w:hanging="283"/>
              <w:rPr>
                <w:sz w:val="21"/>
                <w:szCs w:val="21"/>
                <w:lang w:val="en-US"/>
              </w:rPr>
            </w:pPr>
            <w:r>
              <w:rPr>
                <w:sz w:val="21"/>
                <w:szCs w:val="21"/>
                <w:lang w:val="en-US"/>
              </w:rPr>
              <w:t>Shift</w:t>
            </w:r>
          </w:p>
          <w:p w14:paraId="7541DDDC" w14:textId="55E67F31" w:rsidR="008B145B" w:rsidRPr="008B145B" w:rsidRDefault="008B145B" w:rsidP="008B145B">
            <w:pPr>
              <w:pStyle w:val="ListParagraph"/>
              <w:numPr>
                <w:ilvl w:val="0"/>
                <w:numId w:val="5"/>
              </w:numPr>
              <w:spacing w:before="60" w:after="60"/>
              <w:ind w:left="313" w:hanging="283"/>
              <w:rPr>
                <w:sz w:val="21"/>
                <w:szCs w:val="21"/>
                <w:lang w:val="en-US"/>
              </w:rPr>
            </w:pPr>
            <w:r>
              <w:rPr>
                <w:sz w:val="21"/>
                <w:szCs w:val="21"/>
                <w:lang w:val="en-US"/>
              </w:rPr>
              <w:t xml:space="preserve">Improve </w:t>
            </w:r>
          </w:p>
          <w:p w14:paraId="7667A30A" w14:textId="311B1BA2" w:rsidR="00F35BEC" w:rsidRPr="00F35BEC" w:rsidRDefault="00F35BEC" w:rsidP="00F35BEC">
            <w:pPr>
              <w:spacing w:before="60" w:after="60"/>
              <w:ind w:left="30"/>
              <w:rPr>
                <w:sz w:val="21"/>
                <w:szCs w:val="21"/>
                <w:lang w:val="en-US"/>
              </w:rPr>
            </w:pPr>
          </w:p>
        </w:tc>
      </w:tr>
      <w:tr w:rsidR="00F5162A" w:rsidRPr="009A0CD4" w14:paraId="351917FF" w14:textId="77777777" w:rsidTr="00A67DBD">
        <w:tc>
          <w:tcPr>
            <w:tcW w:w="1418" w:type="dxa"/>
            <w:tcBorders>
              <w:top w:val="single" w:sz="4" w:space="0" w:color="FFFFFF"/>
            </w:tcBorders>
            <w:shd w:val="clear" w:color="auto" w:fill="F2F2F2" w:themeFill="background1" w:themeFillShade="F2"/>
          </w:tcPr>
          <w:p w14:paraId="2E09A107" w14:textId="77777777" w:rsidR="00F5162A" w:rsidRPr="00004D95" w:rsidRDefault="00F5162A" w:rsidP="00AC05D9">
            <w:pPr>
              <w:spacing w:before="60" w:after="60"/>
              <w:rPr>
                <w:sz w:val="22"/>
                <w:szCs w:val="22"/>
                <w:lang w:val="en-US"/>
              </w:rPr>
            </w:pPr>
            <w:r w:rsidRPr="0007062C">
              <w:rPr>
                <w:lang w:val="en-US"/>
              </w:rPr>
              <w:t>Housing</w:t>
            </w:r>
          </w:p>
        </w:tc>
        <w:tc>
          <w:tcPr>
            <w:tcW w:w="3118" w:type="dxa"/>
            <w:tcBorders>
              <w:top w:val="single" w:sz="4" w:space="0" w:color="FFFFFF"/>
            </w:tcBorders>
            <w:shd w:val="clear" w:color="auto" w:fill="DEECF8"/>
          </w:tcPr>
          <w:p w14:paraId="71DA3526" w14:textId="457CFC5F" w:rsidR="00F5162A" w:rsidRDefault="00F5162A" w:rsidP="00F5162A">
            <w:pPr>
              <w:pStyle w:val="ListParagraph"/>
              <w:numPr>
                <w:ilvl w:val="0"/>
                <w:numId w:val="5"/>
              </w:numPr>
              <w:spacing w:before="60" w:after="60"/>
              <w:ind w:left="313" w:hanging="283"/>
              <w:rPr>
                <w:sz w:val="21"/>
                <w:szCs w:val="21"/>
                <w:lang w:val="en-US"/>
              </w:rPr>
            </w:pPr>
            <w:r>
              <w:rPr>
                <w:sz w:val="21"/>
                <w:szCs w:val="21"/>
                <w:lang w:val="en-US"/>
              </w:rPr>
              <w:t>aviation</w:t>
            </w:r>
          </w:p>
          <w:p w14:paraId="2DADBBA5" w14:textId="645D460D" w:rsidR="00F5162A" w:rsidRDefault="00F5162A" w:rsidP="00F5162A">
            <w:pPr>
              <w:pStyle w:val="ListParagraph"/>
              <w:numPr>
                <w:ilvl w:val="0"/>
                <w:numId w:val="5"/>
              </w:numPr>
              <w:spacing w:before="60" w:after="60"/>
              <w:ind w:left="313" w:hanging="283"/>
              <w:rPr>
                <w:sz w:val="21"/>
                <w:szCs w:val="21"/>
                <w:lang w:val="en-US"/>
              </w:rPr>
            </w:pPr>
            <w:r>
              <w:rPr>
                <w:sz w:val="21"/>
                <w:szCs w:val="21"/>
                <w:lang w:val="en-US"/>
              </w:rPr>
              <w:t>battery electric vehicle (BEV)</w:t>
            </w:r>
          </w:p>
          <w:p w14:paraId="0777C3AF" w14:textId="5317073F" w:rsidR="00F5162A" w:rsidRDefault="00F5162A" w:rsidP="00F5162A">
            <w:pPr>
              <w:pStyle w:val="ListParagraph"/>
              <w:numPr>
                <w:ilvl w:val="0"/>
                <w:numId w:val="5"/>
              </w:numPr>
              <w:spacing w:before="60" w:after="60"/>
              <w:ind w:left="313" w:hanging="283"/>
              <w:rPr>
                <w:sz w:val="21"/>
                <w:szCs w:val="21"/>
                <w:lang w:val="en-US"/>
              </w:rPr>
            </w:pPr>
            <w:r>
              <w:rPr>
                <w:sz w:val="21"/>
                <w:szCs w:val="21"/>
                <w:lang w:val="en-US"/>
              </w:rPr>
              <w:t>bicycle</w:t>
            </w:r>
          </w:p>
          <w:p w14:paraId="372C95DD" w14:textId="37B61338" w:rsidR="00F5162A" w:rsidRDefault="00F5162A" w:rsidP="00F5162A">
            <w:pPr>
              <w:pStyle w:val="ListParagraph"/>
              <w:numPr>
                <w:ilvl w:val="0"/>
                <w:numId w:val="5"/>
              </w:numPr>
              <w:spacing w:before="60" w:after="60"/>
              <w:ind w:left="313" w:hanging="283"/>
              <w:rPr>
                <w:sz w:val="21"/>
                <w:szCs w:val="21"/>
                <w:lang w:val="en-US"/>
              </w:rPr>
            </w:pPr>
            <w:r>
              <w:rPr>
                <w:sz w:val="21"/>
                <w:szCs w:val="21"/>
                <w:lang w:val="en-US"/>
              </w:rPr>
              <w:t>car</w:t>
            </w:r>
          </w:p>
          <w:p w14:paraId="6E210315" w14:textId="548023B1" w:rsidR="00F5162A" w:rsidRDefault="00F5162A" w:rsidP="00F5162A">
            <w:pPr>
              <w:pStyle w:val="ListParagraph"/>
              <w:numPr>
                <w:ilvl w:val="0"/>
                <w:numId w:val="5"/>
              </w:numPr>
              <w:spacing w:before="60" w:after="60"/>
              <w:ind w:left="313" w:hanging="283"/>
              <w:rPr>
                <w:sz w:val="21"/>
                <w:szCs w:val="21"/>
                <w:lang w:val="en-US"/>
              </w:rPr>
            </w:pPr>
            <w:r>
              <w:rPr>
                <w:sz w:val="21"/>
                <w:szCs w:val="21"/>
                <w:lang w:val="en-US"/>
              </w:rPr>
              <w:t>car-sharing</w:t>
            </w:r>
          </w:p>
          <w:p w14:paraId="3783434C" w14:textId="0E7AA639" w:rsidR="00F5162A" w:rsidRDefault="00F5162A" w:rsidP="00F5162A">
            <w:pPr>
              <w:pStyle w:val="ListParagraph"/>
              <w:numPr>
                <w:ilvl w:val="0"/>
                <w:numId w:val="5"/>
              </w:numPr>
              <w:spacing w:before="60" w:after="60"/>
              <w:ind w:left="313" w:hanging="283"/>
              <w:rPr>
                <w:sz w:val="21"/>
                <w:szCs w:val="21"/>
                <w:lang w:val="en-US"/>
              </w:rPr>
            </w:pPr>
            <w:r>
              <w:rPr>
                <w:sz w:val="21"/>
                <w:szCs w:val="21"/>
                <w:lang w:val="en-US"/>
              </w:rPr>
              <w:t>pedestrian</w:t>
            </w:r>
          </w:p>
          <w:p w14:paraId="5F9F96EC" w14:textId="6C91BF51" w:rsidR="00F5162A" w:rsidRDefault="00F5162A" w:rsidP="00F5162A">
            <w:pPr>
              <w:pStyle w:val="ListParagraph"/>
              <w:numPr>
                <w:ilvl w:val="0"/>
                <w:numId w:val="5"/>
              </w:numPr>
              <w:spacing w:before="60" w:after="60"/>
              <w:ind w:left="313" w:hanging="283"/>
              <w:rPr>
                <w:sz w:val="21"/>
                <w:szCs w:val="21"/>
                <w:lang w:val="en-US"/>
              </w:rPr>
            </w:pPr>
            <w:r>
              <w:rPr>
                <w:sz w:val="21"/>
                <w:szCs w:val="21"/>
                <w:lang w:val="en-US"/>
              </w:rPr>
              <w:t>public transport</w:t>
            </w:r>
          </w:p>
          <w:p w14:paraId="42735692" w14:textId="52823976" w:rsidR="00F5162A" w:rsidRPr="00F35BEC" w:rsidRDefault="00F5162A" w:rsidP="00F5162A">
            <w:pPr>
              <w:pStyle w:val="ListParagraph"/>
              <w:numPr>
                <w:ilvl w:val="0"/>
                <w:numId w:val="5"/>
              </w:numPr>
              <w:spacing w:before="60" w:after="60"/>
              <w:ind w:left="313" w:hanging="283"/>
              <w:rPr>
                <w:sz w:val="21"/>
                <w:szCs w:val="21"/>
                <w:lang w:val="en-US"/>
              </w:rPr>
            </w:pPr>
            <w:r>
              <w:rPr>
                <w:sz w:val="21"/>
                <w:szCs w:val="21"/>
                <w:lang w:val="en-US"/>
              </w:rPr>
              <w:t>rail</w:t>
            </w:r>
          </w:p>
        </w:tc>
        <w:tc>
          <w:tcPr>
            <w:tcW w:w="2268" w:type="dxa"/>
            <w:vMerge/>
            <w:shd w:val="clear" w:color="auto" w:fill="E3F1D9"/>
          </w:tcPr>
          <w:p w14:paraId="5DCCF9E3" w14:textId="74E12E05" w:rsidR="00F5162A" w:rsidRPr="00004D95" w:rsidRDefault="00F5162A" w:rsidP="00AC05D9">
            <w:pPr>
              <w:spacing w:before="60" w:after="60"/>
              <w:rPr>
                <w:sz w:val="21"/>
                <w:szCs w:val="21"/>
                <w:lang w:val="en-US"/>
              </w:rPr>
            </w:pPr>
          </w:p>
        </w:tc>
        <w:tc>
          <w:tcPr>
            <w:tcW w:w="2268" w:type="dxa"/>
            <w:vMerge/>
            <w:shd w:val="clear" w:color="auto" w:fill="FFF2CC"/>
          </w:tcPr>
          <w:p w14:paraId="1B9B6FB4" w14:textId="4DDF801E" w:rsidR="00F5162A" w:rsidRPr="00004D95" w:rsidRDefault="00F5162A" w:rsidP="00AC05D9">
            <w:pPr>
              <w:spacing w:before="60" w:after="60"/>
              <w:rPr>
                <w:sz w:val="21"/>
                <w:szCs w:val="21"/>
                <w:lang w:val="en-US"/>
              </w:rPr>
            </w:pPr>
          </w:p>
        </w:tc>
      </w:tr>
    </w:tbl>
    <w:p w14:paraId="12DCAAC8" w14:textId="77777777" w:rsidR="00FB42E4" w:rsidRDefault="00FB42E4" w:rsidP="00384B1C">
      <w:pPr>
        <w:spacing w:after="240" w:line="360" w:lineRule="auto"/>
        <w:jc w:val="both"/>
        <w:rPr>
          <w:lang w:val="en-US"/>
        </w:rPr>
      </w:pPr>
    </w:p>
    <w:p w14:paraId="7DE10200" w14:textId="5F7E7F0B" w:rsidR="009973AA" w:rsidRDefault="009973AA" w:rsidP="00384B1C">
      <w:pPr>
        <w:spacing w:after="240" w:line="360" w:lineRule="auto"/>
        <w:jc w:val="both"/>
        <w:rPr>
          <w:lang w:val="en-US"/>
        </w:rPr>
      </w:pPr>
      <w:r>
        <w:rPr>
          <w:lang w:val="en-US"/>
        </w:rPr>
        <w:lastRenderedPageBreak/>
        <w:t>While assigning codes to policies was straightforward in most cases,</w:t>
      </w:r>
      <w:r w:rsidR="00A67A27">
        <w:rPr>
          <w:lang w:val="en-US"/>
        </w:rPr>
        <w:t xml:space="preserve"> the following coding rules were developed to guide the </w:t>
      </w:r>
      <w:r w:rsidR="00B22940">
        <w:rPr>
          <w:lang w:val="en-US"/>
        </w:rPr>
        <w:t>coding exercise</w:t>
      </w:r>
      <w:r w:rsidR="00A67A27">
        <w:rPr>
          <w:lang w:val="en-US"/>
        </w:rPr>
        <w:t xml:space="preserve"> in intricate cases </w:t>
      </w:r>
      <w:r w:rsidR="009D74CB">
        <w:rPr>
          <w:lang w:val="en-US"/>
        </w:rPr>
        <w:t>and cross-checked for consistency by at least three authors</w:t>
      </w:r>
      <w:r w:rsidR="00166EBB">
        <w:rPr>
          <w:lang w:val="en-US"/>
        </w:rPr>
        <w:t xml:space="preserve"> familiar with the dataset and respective coding rules</w:t>
      </w:r>
      <w:r w:rsidR="009D74CB">
        <w:rPr>
          <w:lang w:val="en-US"/>
        </w:rPr>
        <w:t xml:space="preserve">. </w:t>
      </w:r>
      <w:r w:rsidR="00A67A27">
        <w:rPr>
          <w:lang w:val="en-US"/>
        </w:rPr>
        <w:t xml:space="preserve"> </w:t>
      </w:r>
    </w:p>
    <w:p w14:paraId="0DE7F478" w14:textId="36906FB5" w:rsidR="00567985" w:rsidRPr="00666F53" w:rsidRDefault="00567985" w:rsidP="00666F53">
      <w:pPr>
        <w:pStyle w:val="ListParagraph"/>
        <w:numPr>
          <w:ilvl w:val="0"/>
          <w:numId w:val="6"/>
        </w:numPr>
        <w:spacing w:after="240" w:line="360" w:lineRule="auto"/>
        <w:jc w:val="both"/>
        <w:rPr>
          <w:lang w:val="en-US"/>
        </w:rPr>
      </w:pPr>
      <w:r>
        <w:rPr>
          <w:lang w:val="en-US"/>
        </w:rPr>
        <w:t>If policy measures aimed at multiple targets or relied on several policy instruments, they were coded multiple times to adequately reflect the diversity of the policy mix.</w:t>
      </w:r>
    </w:p>
    <w:p w14:paraId="113994AF" w14:textId="496B9488" w:rsidR="000E0232" w:rsidRDefault="00DD7D40" w:rsidP="000E0232">
      <w:pPr>
        <w:pStyle w:val="ListParagraph"/>
        <w:numPr>
          <w:ilvl w:val="0"/>
          <w:numId w:val="6"/>
        </w:numPr>
        <w:spacing w:after="240" w:line="360" w:lineRule="auto"/>
        <w:jc w:val="both"/>
        <w:rPr>
          <w:lang w:val="en-US"/>
        </w:rPr>
      </w:pPr>
      <w:r>
        <w:rPr>
          <w:lang w:val="en-US"/>
        </w:rPr>
        <w:t xml:space="preserve">Subsidy schemes (e.g., purchasing premia for </w:t>
      </w:r>
      <w:r w:rsidR="00FB42E4">
        <w:rPr>
          <w:lang w:val="en-US"/>
        </w:rPr>
        <w:t>electric vehicles</w:t>
      </w:r>
      <w:r>
        <w:rPr>
          <w:lang w:val="en-US"/>
        </w:rPr>
        <w:t xml:space="preserve">) were counted as a single policy measure even if they were </w:t>
      </w:r>
      <w:r w:rsidR="001061CF">
        <w:rPr>
          <w:lang w:val="en-US"/>
        </w:rPr>
        <w:t>renewed</w:t>
      </w:r>
      <w:r w:rsidR="000E0232">
        <w:rPr>
          <w:lang w:val="en-US"/>
        </w:rPr>
        <w:t xml:space="preserve"> with minor adaptations</w:t>
      </w:r>
      <w:r w:rsidR="001061CF">
        <w:rPr>
          <w:lang w:val="en-US"/>
        </w:rPr>
        <w:t xml:space="preserve"> </w:t>
      </w:r>
      <w:r w:rsidR="000E0232">
        <w:rPr>
          <w:lang w:val="en-US"/>
        </w:rPr>
        <w:t>over</w:t>
      </w:r>
      <w:r w:rsidR="001061CF">
        <w:rPr>
          <w:lang w:val="en-US"/>
        </w:rPr>
        <w:t xml:space="preserve"> several consecutive years. However, if subsidy schemes were significantly expanded in scope or volume (</w:t>
      </w:r>
      <w:r w:rsidR="00FB42E4">
        <w:rPr>
          <w:lang w:val="en-US"/>
        </w:rPr>
        <w:t>e</w:t>
      </w:r>
      <w:r w:rsidR="001061CF">
        <w:rPr>
          <w:lang w:val="en-US"/>
        </w:rPr>
        <w:t>.</w:t>
      </w:r>
      <w:r w:rsidR="00FB42E4">
        <w:rPr>
          <w:lang w:val="en-US"/>
        </w:rPr>
        <w:t>g</w:t>
      </w:r>
      <w:r w:rsidR="001061CF">
        <w:rPr>
          <w:lang w:val="en-US"/>
        </w:rPr>
        <w:t xml:space="preserve">., more than doubled), we coded them as an additional policy measure. </w:t>
      </w:r>
      <w:r w:rsidR="000E0232" w:rsidRPr="000E0232">
        <w:rPr>
          <w:lang w:val="en-US"/>
        </w:rPr>
        <w:t>This approach enabled us to more accurately determine the primary focus areas of existing policy mixes. Counting subsidy schemes on an annual basis would have created a strong bias, making policy mixes appear disproportionately focused on subsidies.</w:t>
      </w:r>
    </w:p>
    <w:p w14:paraId="59F2D258" w14:textId="0A67FB00" w:rsidR="00F547A9" w:rsidRPr="00F547A9" w:rsidRDefault="001061CF" w:rsidP="00F547A9">
      <w:pPr>
        <w:pStyle w:val="ListParagraph"/>
        <w:numPr>
          <w:ilvl w:val="0"/>
          <w:numId w:val="6"/>
        </w:numPr>
        <w:spacing w:after="240" w:line="360" w:lineRule="auto"/>
        <w:jc w:val="both"/>
        <w:rPr>
          <w:lang w:val="en-US"/>
        </w:rPr>
      </w:pPr>
      <w:r w:rsidRPr="000E0232">
        <w:rPr>
          <w:lang w:val="en-US"/>
        </w:rPr>
        <w:t xml:space="preserve">Similarly, information campaigns (e.g., on energy saving) were counted as a single policy even if </w:t>
      </w:r>
      <w:r w:rsidR="000E0232" w:rsidRPr="000E0232">
        <w:rPr>
          <w:lang w:val="en-US"/>
        </w:rPr>
        <w:t xml:space="preserve">they were relaunched multiple times or relevant information was provided over several </w:t>
      </w:r>
      <w:r w:rsidR="00FB42E4">
        <w:rPr>
          <w:lang w:val="en-US"/>
        </w:rPr>
        <w:t xml:space="preserve">consecutive </w:t>
      </w:r>
      <w:r w:rsidR="000E0232" w:rsidRPr="000E0232">
        <w:rPr>
          <w:lang w:val="en-US"/>
        </w:rPr>
        <w:t xml:space="preserve">years. </w:t>
      </w:r>
    </w:p>
    <w:p w14:paraId="3D6368B0" w14:textId="76C11147" w:rsidR="00F547A9" w:rsidRDefault="000E0232" w:rsidP="00F547A9">
      <w:pPr>
        <w:pStyle w:val="ListParagraph"/>
        <w:numPr>
          <w:ilvl w:val="0"/>
          <w:numId w:val="6"/>
        </w:numPr>
        <w:spacing w:after="240" w:line="360" w:lineRule="auto"/>
        <w:jc w:val="both"/>
        <w:rPr>
          <w:lang w:val="en-US"/>
        </w:rPr>
      </w:pPr>
      <w:r>
        <w:rPr>
          <w:lang w:val="en-US"/>
        </w:rPr>
        <w:t>Policy measures were considered</w:t>
      </w:r>
      <w:r w:rsidR="00567985">
        <w:rPr>
          <w:lang w:val="en-US"/>
        </w:rPr>
        <w:t xml:space="preserve"> to target “rail” instead of “public transport” if the primary focus </w:t>
      </w:r>
      <w:r w:rsidR="009E437E">
        <w:rPr>
          <w:lang w:val="en-US"/>
        </w:rPr>
        <w:t xml:space="preserve">was </w:t>
      </w:r>
      <w:r w:rsidR="00567985">
        <w:rPr>
          <w:lang w:val="en-US"/>
        </w:rPr>
        <w:t xml:space="preserve">on </w:t>
      </w:r>
      <w:r w:rsidR="00567985" w:rsidRPr="000E0232">
        <w:rPr>
          <w:lang w:val="en-US"/>
        </w:rPr>
        <w:t>longer-distance intercity connections</w:t>
      </w:r>
      <w:r w:rsidR="00567985">
        <w:rPr>
          <w:lang w:val="en-US"/>
        </w:rPr>
        <w:t xml:space="preserve">. By contrast, they were coded as targeting public transport if the focus was on public transport within cities or between cities and surrounding areas. </w:t>
      </w:r>
    </w:p>
    <w:p w14:paraId="23ED616F" w14:textId="272BF14C" w:rsidR="00087850" w:rsidRPr="00087850" w:rsidRDefault="00F547A9" w:rsidP="00087850">
      <w:pPr>
        <w:pStyle w:val="ListParagraph"/>
        <w:numPr>
          <w:ilvl w:val="0"/>
          <w:numId w:val="6"/>
        </w:numPr>
        <w:spacing w:after="240" w:line="360" w:lineRule="auto"/>
        <w:jc w:val="both"/>
        <w:rPr>
          <w:lang w:val="en-US"/>
        </w:rPr>
      </w:pPr>
      <w:r>
        <w:rPr>
          <w:lang w:val="en-US"/>
        </w:rPr>
        <w:t xml:space="preserve">Policies targeting the use of private cars fall into two broad categories: Some aim at improving the use of cars with internal combustion engine (e.g., information campaigns on fuel-efficient driving), </w:t>
      </w:r>
      <w:r w:rsidR="00FB42E4">
        <w:rPr>
          <w:lang w:val="en-US"/>
        </w:rPr>
        <w:t>others</w:t>
      </w:r>
      <w:r>
        <w:rPr>
          <w:lang w:val="en-US"/>
        </w:rPr>
        <w:t xml:space="preserve"> aim at disincentivizing the use of private cars (e.g., </w:t>
      </w:r>
      <w:r w:rsidR="00087850">
        <w:rPr>
          <w:lang w:val="en-US"/>
        </w:rPr>
        <w:t xml:space="preserve">through comprehensive short-term </w:t>
      </w:r>
      <w:r>
        <w:rPr>
          <w:lang w:val="en-US"/>
        </w:rPr>
        <w:t>parking fees</w:t>
      </w:r>
      <w:r w:rsidR="00087850">
        <w:rPr>
          <w:lang w:val="en-US"/>
        </w:rPr>
        <w:t xml:space="preserve">. We coded both policy types as targeting private cars, but pursuing different demand-side policy options (improve or shift, see below). While policies that aim at promoting </w:t>
      </w:r>
      <w:r w:rsidR="00FB42E4">
        <w:rPr>
          <w:lang w:val="en-US"/>
        </w:rPr>
        <w:t>transition</w:t>
      </w:r>
      <w:r w:rsidR="00087850">
        <w:rPr>
          <w:lang w:val="en-US"/>
        </w:rPr>
        <w:t xml:space="preserve"> </w:t>
      </w:r>
      <w:r w:rsidR="00087850" w:rsidRPr="00087850">
        <w:rPr>
          <w:i/>
          <w:iCs/>
          <w:lang w:val="en-US"/>
        </w:rPr>
        <w:t>away</w:t>
      </w:r>
      <w:r w:rsidR="00087850">
        <w:rPr>
          <w:lang w:val="en-US"/>
        </w:rPr>
        <w:t xml:space="preserve"> from the use of private cars can also be considered to indirectly target shifts </w:t>
      </w:r>
      <w:r w:rsidR="00087850" w:rsidRPr="00087850">
        <w:rPr>
          <w:i/>
          <w:iCs/>
          <w:lang w:val="en-US"/>
        </w:rPr>
        <w:t>towards</w:t>
      </w:r>
      <w:r w:rsidR="00087850">
        <w:rPr>
          <w:lang w:val="en-US"/>
        </w:rPr>
        <w:t xml:space="preserve"> </w:t>
      </w:r>
      <w:r w:rsidR="00087850" w:rsidRPr="00087850">
        <w:rPr>
          <w:lang w:val="en-US"/>
        </w:rPr>
        <w:t>other transport modes (e.g., public transport, cycling)</w:t>
      </w:r>
      <w:r w:rsidR="00087850">
        <w:rPr>
          <w:lang w:val="en-US"/>
        </w:rPr>
        <w:t xml:space="preserve">, we </w:t>
      </w:r>
      <w:r w:rsidR="00FB42E4">
        <w:rPr>
          <w:lang w:val="en-US"/>
        </w:rPr>
        <w:t xml:space="preserve">only </w:t>
      </w:r>
      <w:r w:rsidR="006B23BC">
        <w:rPr>
          <w:lang w:val="en-US"/>
        </w:rPr>
        <w:t xml:space="preserve">coded </w:t>
      </w:r>
      <w:r w:rsidR="00087850">
        <w:rPr>
          <w:lang w:val="en-US"/>
        </w:rPr>
        <w:t xml:space="preserve">these policies as targeting shifts away from the use of private cars. </w:t>
      </w:r>
    </w:p>
    <w:p w14:paraId="305A0DB9" w14:textId="1B517EC2" w:rsidR="00567985" w:rsidRDefault="00666F53" w:rsidP="00567985">
      <w:pPr>
        <w:pStyle w:val="ListParagraph"/>
        <w:numPr>
          <w:ilvl w:val="0"/>
          <w:numId w:val="6"/>
        </w:numPr>
        <w:spacing w:after="240" w:line="360" w:lineRule="auto"/>
        <w:jc w:val="both"/>
        <w:rPr>
          <w:lang w:val="en-US"/>
        </w:rPr>
      </w:pPr>
      <w:r>
        <w:rPr>
          <w:lang w:val="en-US"/>
        </w:rPr>
        <w:t xml:space="preserve">Regarding instrument choice, policies were coded as economic when they sought to affect household investment or </w:t>
      </w:r>
      <w:proofErr w:type="spellStart"/>
      <w:r>
        <w:rPr>
          <w:lang w:val="en-US"/>
        </w:rPr>
        <w:t>behaviour</w:t>
      </w:r>
      <w:r w:rsidR="00FB42E4">
        <w:rPr>
          <w:lang w:val="en-US"/>
        </w:rPr>
        <w:t>al</w:t>
      </w:r>
      <w:proofErr w:type="spellEnd"/>
      <w:r>
        <w:rPr>
          <w:lang w:val="en-US"/>
        </w:rPr>
        <w:t xml:space="preserve"> </w:t>
      </w:r>
      <w:r w:rsidR="00FB42E4">
        <w:rPr>
          <w:lang w:val="en-US"/>
        </w:rPr>
        <w:t>choices</w:t>
      </w:r>
      <w:r>
        <w:rPr>
          <w:lang w:val="en-US"/>
        </w:rPr>
        <w:t xml:space="preserve"> through financial incentives or disincentives, even if the policy itself introduced regulatory changes to achieve this reconfiguration of incentive structures. </w:t>
      </w:r>
      <w:r w:rsidR="00087850">
        <w:rPr>
          <w:lang w:val="en-US"/>
        </w:rPr>
        <w:t xml:space="preserve">In other words, the key criterion for the coding </w:t>
      </w:r>
      <w:r w:rsidR="00087850">
        <w:rPr>
          <w:lang w:val="en-US"/>
        </w:rPr>
        <w:lastRenderedPageBreak/>
        <w:t xml:space="preserve">decision was the mechanisms by which policies aimed at affecting household GHG emissions, rather than the policy instrument type </w:t>
      </w:r>
      <w:r w:rsidR="00C520A5">
        <w:rPr>
          <w:lang w:val="en-US"/>
        </w:rPr>
        <w:t>as such. For instance, the introduction and successive expansion of short-term parking zones and fees in Vienna was correspondingly coded as “economic” rather than “regulatory”, because it increase</w:t>
      </w:r>
      <w:r w:rsidR="00FB42E4">
        <w:rPr>
          <w:lang w:val="en-US"/>
        </w:rPr>
        <w:t>d</w:t>
      </w:r>
      <w:r w:rsidR="00C520A5">
        <w:rPr>
          <w:lang w:val="en-US"/>
        </w:rPr>
        <w:t xml:space="preserve"> the costs of using private cars for trips within or to the city. </w:t>
      </w:r>
    </w:p>
    <w:p w14:paraId="1D3C6F32" w14:textId="12074CBB" w:rsidR="000E0232" w:rsidRPr="00AC5BBB" w:rsidRDefault="00087850" w:rsidP="00384B1C">
      <w:pPr>
        <w:pStyle w:val="ListParagraph"/>
        <w:numPr>
          <w:ilvl w:val="0"/>
          <w:numId w:val="6"/>
        </w:numPr>
        <w:spacing w:after="240" w:line="360" w:lineRule="auto"/>
        <w:jc w:val="both"/>
        <w:rPr>
          <w:lang w:val="en-US"/>
        </w:rPr>
      </w:pPr>
      <w:r>
        <w:rPr>
          <w:lang w:val="en-US"/>
        </w:rPr>
        <w:t xml:space="preserve">In some cases, striking a balance between </w:t>
      </w:r>
      <w:r w:rsidR="00C520A5">
        <w:rPr>
          <w:lang w:val="en-US"/>
        </w:rPr>
        <w:t>ensuring a high resolution and level of detail of the policy mix analysis</w:t>
      </w:r>
      <w:r w:rsidR="006B3BE3">
        <w:rPr>
          <w:lang w:val="en-US"/>
        </w:rPr>
        <w:t xml:space="preserve"> on the one hand,</w:t>
      </w:r>
      <w:r w:rsidR="00C520A5">
        <w:rPr>
          <w:lang w:val="en-US"/>
        </w:rPr>
        <w:t xml:space="preserve"> and </w:t>
      </w:r>
      <w:r w:rsidR="006B3BE3">
        <w:rPr>
          <w:lang w:val="en-US"/>
        </w:rPr>
        <w:t>maintaining a focus on the overarching picture necessitated discretionary decisions. For instance, the federally funded program ‘</w:t>
      </w:r>
      <w:r w:rsidR="006B3BE3" w:rsidRPr="006B3BE3">
        <w:rPr>
          <w:lang w:val="en-US"/>
        </w:rPr>
        <w:t xml:space="preserve">Climate and </w:t>
      </w:r>
      <w:r w:rsidR="006B3BE3">
        <w:rPr>
          <w:lang w:val="en-US"/>
        </w:rPr>
        <w:t>E</w:t>
      </w:r>
      <w:r w:rsidR="006B3BE3" w:rsidRPr="006B3BE3">
        <w:rPr>
          <w:lang w:val="en-US"/>
        </w:rPr>
        <w:t xml:space="preserve">nergy </w:t>
      </w:r>
      <w:r w:rsidR="006B3BE3">
        <w:rPr>
          <w:lang w:val="en-US"/>
        </w:rPr>
        <w:t>M</w:t>
      </w:r>
      <w:r w:rsidR="006B3BE3" w:rsidRPr="006B3BE3">
        <w:rPr>
          <w:lang w:val="en-US"/>
        </w:rPr>
        <w:t xml:space="preserve">odel </w:t>
      </w:r>
      <w:r w:rsidR="006B3BE3">
        <w:rPr>
          <w:lang w:val="en-US"/>
        </w:rPr>
        <w:t>R</w:t>
      </w:r>
      <w:r w:rsidR="006B3BE3" w:rsidRPr="006B3BE3">
        <w:rPr>
          <w:lang w:val="en-US"/>
        </w:rPr>
        <w:t>egions</w:t>
      </w:r>
      <w:r w:rsidR="006B3BE3">
        <w:rPr>
          <w:lang w:val="en-US"/>
        </w:rPr>
        <w:t xml:space="preserve">’ leaves municipalities some space to decide what measures they pursue to mitigate climate change and lower dependence on fossil energy. Here, we did not consider every single measure implemented in a municipality, but the main foci of the program, identified through tender specification and measures most frequently deployed across municipalities. </w:t>
      </w:r>
    </w:p>
    <w:p w14:paraId="4273D77B" w14:textId="31FB82CA" w:rsidR="00AC5BBB" w:rsidRDefault="00AC5BBB" w:rsidP="00AC5BBB">
      <w:pPr>
        <w:spacing w:after="240" w:line="360" w:lineRule="auto"/>
        <w:jc w:val="both"/>
        <w:rPr>
          <w:lang w:val="en-US"/>
        </w:rPr>
      </w:pPr>
      <w:r>
        <w:rPr>
          <w:lang w:val="en-US"/>
        </w:rPr>
        <w:t xml:space="preserve">The avoid-shift-improve framework is well established in the literature, but classifying policies accordingly required developing some further coding rules (see also Table 1 in the main article): </w:t>
      </w:r>
    </w:p>
    <w:p w14:paraId="4BBB7228" w14:textId="6A2E20D5" w:rsidR="00AC5BBB" w:rsidRPr="00B22940" w:rsidRDefault="00AC5BBB" w:rsidP="00AC5BBB">
      <w:pPr>
        <w:pStyle w:val="ListParagraph"/>
        <w:numPr>
          <w:ilvl w:val="0"/>
          <w:numId w:val="6"/>
        </w:numPr>
        <w:spacing w:after="240" w:line="360" w:lineRule="auto"/>
        <w:jc w:val="both"/>
        <w:rPr>
          <w:lang w:val="en-US"/>
        </w:rPr>
      </w:pPr>
      <w:r w:rsidRPr="00AC5BBB">
        <w:rPr>
          <w:lang w:val="en-US"/>
        </w:rPr>
        <w:t xml:space="preserve">For transport, we coded policies as </w:t>
      </w:r>
      <w:r w:rsidRPr="00FB42E4">
        <w:rPr>
          <w:i/>
          <w:iCs/>
          <w:lang w:val="en-US"/>
        </w:rPr>
        <w:t>avoid</w:t>
      </w:r>
      <w:r w:rsidRPr="00AC5BBB">
        <w:rPr>
          <w:lang w:val="en-US"/>
        </w:rPr>
        <w:t xml:space="preserve"> if they primarily aimed at avoiding or reducing </w:t>
      </w:r>
      <w:r w:rsidRPr="00B22940">
        <w:rPr>
          <w:lang w:val="en-US"/>
        </w:rPr>
        <w:t xml:space="preserve">mobility and related emissions, e.g., through </w:t>
      </w:r>
      <w:r w:rsidR="00FB42E4">
        <w:rPr>
          <w:lang w:val="en-US"/>
        </w:rPr>
        <w:t xml:space="preserve">promotion of </w:t>
      </w:r>
      <w:r w:rsidRPr="00B22940">
        <w:rPr>
          <w:lang w:val="en-US"/>
        </w:rPr>
        <w:t xml:space="preserve">teleworking or compact city structures. </w:t>
      </w:r>
    </w:p>
    <w:p w14:paraId="23D98C62" w14:textId="279DB459" w:rsidR="00AC5BBB" w:rsidRPr="00B22940" w:rsidRDefault="00AC5BBB" w:rsidP="00AC5BBB">
      <w:pPr>
        <w:pStyle w:val="ListParagraph"/>
        <w:numPr>
          <w:ilvl w:val="0"/>
          <w:numId w:val="6"/>
        </w:numPr>
        <w:spacing w:after="240" w:line="360" w:lineRule="auto"/>
        <w:jc w:val="both"/>
        <w:rPr>
          <w:lang w:val="en-US"/>
        </w:rPr>
      </w:pPr>
      <w:r w:rsidRPr="00B22940">
        <w:rPr>
          <w:lang w:val="en-US"/>
        </w:rPr>
        <w:t xml:space="preserve">Policies </w:t>
      </w:r>
      <w:r w:rsidR="00B22940" w:rsidRPr="00B22940">
        <w:rPr>
          <w:lang w:val="en-US"/>
        </w:rPr>
        <w:t>were</w:t>
      </w:r>
      <w:r w:rsidRPr="00B22940">
        <w:rPr>
          <w:lang w:val="en-US"/>
        </w:rPr>
        <w:t xml:space="preserve"> coded as </w:t>
      </w:r>
      <w:r w:rsidRPr="00FB42E4">
        <w:rPr>
          <w:i/>
          <w:iCs/>
          <w:lang w:val="en-US"/>
        </w:rPr>
        <w:t>shift</w:t>
      </w:r>
      <w:r w:rsidRPr="00B22940">
        <w:rPr>
          <w:lang w:val="en-US"/>
        </w:rPr>
        <w:t xml:space="preserve"> if they aimed at promoting </w:t>
      </w:r>
      <w:r w:rsidR="00FB42E4">
        <w:rPr>
          <w:lang w:val="en-US"/>
        </w:rPr>
        <w:t>transitions</w:t>
      </w:r>
      <w:r w:rsidRPr="00B22940">
        <w:rPr>
          <w:lang w:val="en-US"/>
        </w:rPr>
        <w:t xml:space="preserve"> from private car </w:t>
      </w:r>
      <w:r w:rsidR="00FB42E4">
        <w:rPr>
          <w:lang w:val="en-US"/>
        </w:rPr>
        <w:t xml:space="preserve">use </w:t>
      </w:r>
      <w:r w:rsidRPr="00B22940">
        <w:rPr>
          <w:lang w:val="en-US"/>
        </w:rPr>
        <w:t>to other transport</w:t>
      </w:r>
      <w:r w:rsidR="00FB42E4">
        <w:rPr>
          <w:lang w:val="en-US"/>
        </w:rPr>
        <w:t xml:space="preserve"> modes</w:t>
      </w:r>
      <w:r w:rsidRPr="00B22940">
        <w:rPr>
          <w:lang w:val="en-US"/>
        </w:rPr>
        <w:t xml:space="preserve"> (public transport, cycling, walking) or car-sharing. </w:t>
      </w:r>
    </w:p>
    <w:p w14:paraId="05E73C2F" w14:textId="51403589" w:rsidR="00AC5BBB" w:rsidRPr="00AC5BBB" w:rsidRDefault="00AC5BBB" w:rsidP="00AC5BBB">
      <w:pPr>
        <w:pStyle w:val="ListParagraph"/>
        <w:numPr>
          <w:ilvl w:val="0"/>
          <w:numId w:val="6"/>
        </w:numPr>
        <w:spacing w:after="240" w:line="360" w:lineRule="auto"/>
        <w:jc w:val="both"/>
        <w:rPr>
          <w:lang w:val="en-US"/>
        </w:rPr>
      </w:pPr>
      <w:r w:rsidRPr="00B22940">
        <w:rPr>
          <w:lang w:val="en-US"/>
        </w:rPr>
        <w:t xml:space="preserve">Policies coded as </w:t>
      </w:r>
      <w:r w:rsidRPr="00FB42E4">
        <w:rPr>
          <w:i/>
          <w:iCs/>
          <w:lang w:val="en-US"/>
        </w:rPr>
        <w:t>improve</w:t>
      </w:r>
      <w:r w:rsidRPr="00B22940">
        <w:rPr>
          <w:lang w:val="en-US"/>
        </w:rPr>
        <w:t xml:space="preserve"> aim at reducing energy consumption and related GHG emissions by fostering choices for smaller or more efficient</w:t>
      </w:r>
      <w:r w:rsidRPr="00AC5BBB">
        <w:rPr>
          <w:lang w:val="en-US"/>
        </w:rPr>
        <w:t xml:space="preserve"> combustion engines or using sustainable fuels. </w:t>
      </w:r>
      <w:r w:rsidR="00FB42E4">
        <w:rPr>
          <w:lang w:val="en-US"/>
        </w:rPr>
        <w:t>F</w:t>
      </w:r>
      <w:r w:rsidRPr="00AC5BBB">
        <w:rPr>
          <w:lang w:val="en-US"/>
        </w:rPr>
        <w:t>ollowing established classification</w:t>
      </w:r>
      <w:r w:rsidR="00FB42E4">
        <w:rPr>
          <w:lang w:val="en-US"/>
        </w:rPr>
        <w:fldChar w:fldCharType="begin"/>
      </w:r>
      <w:r w:rsidR="00FB42E4">
        <w:rPr>
          <w:lang w:val="en-US"/>
        </w:rPr>
        <w:instrText xml:space="preserve"> ADDIN ZOTERO_ITEM CSL_CITATION {"citationID":"s4O0oT12","properties":{"formattedCitation":"\\super 3\\nosupersub{}","plainCitation":"3","noteIndex":0},"citationItems":[{"id":8973,"uris":["http://zotero.org/groups/2433940/items/I4D2DIUH"],"itemData":{"id":8973,"type":"article-journal","container-title":"Nature Climate Change","DOI":"10.1038/s41558-021-01219-y","ISSN":"1758-678X, 1758-6798","issue":"1","journalAbbreviation":"Nat. Clim. Chang.","language":"en","page":"36-46","source":"DOI.org (Crossref)","title":"Demand-side solutions to climate change mitigation consistent with high levels of well-being","URL":"https://www.nature.com/articles/s41558-021-01219-y","volume":"12","author":[{"family":"Creutzig","given":"Felix"},{"family":"Niamir","given":"Leila"},{"family":"Bai","given":"Xuemei"},{"family":"Callaghan","given":"Max"},{"family":"Cullen","given":"Jonathan"},{"family":"Díaz-José","given":"Julio"},{"family":"Figueroa","given":"Maria"},{"family":"Grubler","given":"Arnulf"},{"family":"Lamb","given":"William F."},{"family":"Leip","given":"Adrian"},{"family":"Masanet","given":"Eric"},{"family":"Mata","given":"Érika"},{"family":"Mattauch","given":"Linus"},{"family":"Minx","given":"Jan C."},{"family":"Mirasgedis","given":"Sebastian"},{"family":"Mulugetta","given":"Yacob"},{"family":"Nugroho","given":"Sudarmanto Budi"},{"family":"Pathak","given":"Minal"},{"family":"Perkins","given":"Patricia"},{"family":"Roy","given":"Joyashree"},{"family":"Rue du Can","given":"Stephane","non-dropping-particle":"de la"},{"family":"Saheb","given":"Yamina"},{"family":"Some","given":"Shreya"},{"family":"Steg","given":"Linda"},{"family":"Steinberger","given":"Julia"},{"family":"Ürge-Vorsatz","given":"Diana"}],"accessed":{"date-parts":[["2022",10,18]]},"issued":{"date-parts":[["2022",1]]}}}],"schema":"https://github.com/citation-style-language/schema/raw/master/csl-citation.json"} </w:instrText>
      </w:r>
      <w:r w:rsidR="00FB42E4">
        <w:rPr>
          <w:lang w:val="en-US"/>
        </w:rPr>
        <w:fldChar w:fldCharType="separate"/>
      </w:r>
      <w:r w:rsidR="00FB42E4" w:rsidRPr="00FB42E4">
        <w:rPr>
          <w:rFonts w:ascii="Calibri" w:cs="Calibri"/>
          <w:kern w:val="0"/>
          <w:vertAlign w:val="superscript"/>
          <w:lang w:val="en-US"/>
        </w:rPr>
        <w:t>3</w:t>
      </w:r>
      <w:r w:rsidR="00FB42E4">
        <w:rPr>
          <w:lang w:val="en-US"/>
        </w:rPr>
        <w:fldChar w:fldCharType="end"/>
      </w:r>
      <w:r w:rsidRPr="00AC5BBB">
        <w:rPr>
          <w:lang w:val="en-US"/>
        </w:rPr>
        <w:t xml:space="preserve">, we also coded policies encouraging end-user adoption of </w:t>
      </w:r>
      <w:r w:rsidR="00FB42E4">
        <w:rPr>
          <w:lang w:val="en-US"/>
        </w:rPr>
        <w:t xml:space="preserve">electric </w:t>
      </w:r>
      <w:proofErr w:type="spellStart"/>
      <w:r w:rsidR="00FB42E4">
        <w:rPr>
          <w:lang w:val="en-US"/>
        </w:rPr>
        <w:t>vehicls</w:t>
      </w:r>
      <w:proofErr w:type="spellEnd"/>
      <w:r w:rsidRPr="00AC5BBB">
        <w:rPr>
          <w:lang w:val="en-US"/>
        </w:rPr>
        <w:t xml:space="preserve"> as improve measures, as switching to </w:t>
      </w:r>
      <w:r w:rsidR="00FB42E4">
        <w:rPr>
          <w:lang w:val="en-US"/>
        </w:rPr>
        <w:t>electric vehicles</w:t>
      </w:r>
      <w:r w:rsidRPr="00AC5BBB">
        <w:rPr>
          <w:lang w:val="en-US"/>
        </w:rPr>
        <w:t xml:space="preserve"> does not constitute a transition to another mode of transport. </w:t>
      </w:r>
    </w:p>
    <w:p w14:paraId="0B790E25" w14:textId="305635E6" w:rsidR="00AC5BBB" w:rsidRDefault="00AC5BBB" w:rsidP="00AC5BBB">
      <w:pPr>
        <w:pStyle w:val="ListParagraph"/>
        <w:numPr>
          <w:ilvl w:val="0"/>
          <w:numId w:val="6"/>
        </w:numPr>
        <w:spacing w:after="240" w:line="360" w:lineRule="auto"/>
        <w:jc w:val="both"/>
        <w:rPr>
          <w:lang w:val="en-US"/>
        </w:rPr>
      </w:pPr>
      <w:r w:rsidRPr="00AC5BBB">
        <w:rPr>
          <w:lang w:val="en-US"/>
        </w:rPr>
        <w:t xml:space="preserve">For housing, measures were coded as </w:t>
      </w:r>
      <w:r w:rsidRPr="00FB42E4">
        <w:rPr>
          <w:i/>
          <w:iCs/>
          <w:lang w:val="en-US"/>
        </w:rPr>
        <w:t>avoid</w:t>
      </w:r>
      <w:r w:rsidRPr="00AC5BBB">
        <w:rPr>
          <w:lang w:val="en-US"/>
        </w:rPr>
        <w:t xml:space="preserve"> if they promote building designs such as passive houses that avoid or drastically reduce demand for space-conditioning services, </w:t>
      </w:r>
      <w:r w:rsidR="001A2031">
        <w:rPr>
          <w:lang w:val="en-US"/>
        </w:rPr>
        <w:t>as well as policies which aim at avoiding new construction altogether, or</w:t>
      </w:r>
      <w:r w:rsidRPr="00AC5BBB">
        <w:rPr>
          <w:lang w:val="en-US"/>
        </w:rPr>
        <w:t xml:space="preserve"> </w:t>
      </w:r>
      <w:r w:rsidR="001A2031">
        <w:rPr>
          <w:lang w:val="en-US"/>
        </w:rPr>
        <w:t xml:space="preserve">which </w:t>
      </w:r>
      <w:r w:rsidRPr="00AC5BBB">
        <w:rPr>
          <w:lang w:val="en-US"/>
        </w:rPr>
        <w:t>seek to avoid demand</w:t>
      </w:r>
      <w:r w:rsidR="00391421">
        <w:rPr>
          <w:lang w:val="en-US"/>
        </w:rPr>
        <w:t xml:space="preserve"> for </w:t>
      </w:r>
      <w:r w:rsidRPr="00AC5BBB">
        <w:rPr>
          <w:lang w:val="en-US"/>
        </w:rPr>
        <w:t>space conditioning, lightning and carbon-intensive building materials through adapting dwelling size to household size</w:t>
      </w:r>
      <w:r w:rsidR="00391421">
        <w:rPr>
          <w:lang w:val="en-US"/>
        </w:rPr>
        <w:t xml:space="preserve"> or </w:t>
      </w:r>
      <w:r w:rsidRPr="00AC5BBB">
        <w:rPr>
          <w:lang w:val="en-US"/>
        </w:rPr>
        <w:t>shared spaces</w:t>
      </w:r>
      <w:r w:rsidR="001A2031">
        <w:rPr>
          <w:lang w:val="en-US"/>
        </w:rPr>
        <w:t xml:space="preserve">. We also classified </w:t>
      </w:r>
      <w:r w:rsidRPr="00AC5BBB">
        <w:rPr>
          <w:lang w:val="en-US"/>
        </w:rPr>
        <w:lastRenderedPageBreak/>
        <w:t xml:space="preserve">policies </w:t>
      </w:r>
      <w:r w:rsidR="001A2031">
        <w:rPr>
          <w:lang w:val="en-US"/>
        </w:rPr>
        <w:t>as avoid that</w:t>
      </w:r>
      <w:r w:rsidRPr="00AC5BBB">
        <w:rPr>
          <w:lang w:val="en-US"/>
        </w:rPr>
        <w:t xml:space="preserve"> aim at avoiding household energy demand through </w:t>
      </w:r>
      <w:proofErr w:type="spellStart"/>
      <w:r w:rsidRPr="00AC5BBB">
        <w:rPr>
          <w:lang w:val="en-US"/>
        </w:rPr>
        <w:t>behavioural</w:t>
      </w:r>
      <w:proofErr w:type="spellEnd"/>
      <w:r w:rsidRPr="00AC5BBB">
        <w:rPr>
          <w:lang w:val="en-US"/>
        </w:rPr>
        <w:t xml:space="preserve"> energy saving</w:t>
      </w:r>
      <w:r w:rsidR="00FB42E4">
        <w:rPr>
          <w:lang w:val="en-US"/>
        </w:rPr>
        <w:fldChar w:fldCharType="begin"/>
      </w:r>
      <w:r w:rsidR="00FB42E4">
        <w:rPr>
          <w:lang w:val="en-US"/>
        </w:rPr>
        <w:instrText xml:space="preserve"> ADDIN ZOTERO_ITEM CSL_CITATION {"citationID":"NEjaXw5N","properties":{"formattedCitation":"\\super 3\\nosupersub{}","plainCitation":"3","noteIndex":0},"citationItems":[{"id":8973,"uris":["http://zotero.org/groups/2433940/items/I4D2DIUH"],"itemData":{"id":8973,"type":"article-journal","container-title":"Nature Climate Change","DOI":"10.1038/s41558-021-01219-y","ISSN":"1758-678X, 1758-6798","issue":"1","journalAbbreviation":"Nat. Clim. Chang.","language":"en","page":"36-46","source":"DOI.org (Crossref)","title":"Demand-side solutions to climate change mitigation consistent with high levels of well-being","URL":"https://www.nature.com/articles/s41558-021-01219-y","volume":"12","author":[{"family":"Creutzig","given":"Felix"},{"family":"Niamir","given":"Leila"},{"family":"Bai","given":"Xuemei"},{"family":"Callaghan","given":"Max"},{"family":"Cullen","given":"Jonathan"},{"family":"Díaz-José","given":"Julio"},{"family":"Figueroa","given":"Maria"},{"family":"Grubler","given":"Arnulf"},{"family":"Lamb","given":"William F."},{"family":"Leip","given":"Adrian"},{"family":"Masanet","given":"Eric"},{"family":"Mata","given":"Érika"},{"family":"Mattauch","given":"Linus"},{"family":"Minx","given":"Jan C."},{"family":"Mirasgedis","given":"Sebastian"},{"family":"Mulugetta","given":"Yacob"},{"family":"Nugroho","given":"Sudarmanto Budi"},{"family":"Pathak","given":"Minal"},{"family":"Perkins","given":"Patricia"},{"family":"Roy","given":"Joyashree"},{"family":"Rue du Can","given":"Stephane","non-dropping-particle":"de la"},{"family":"Saheb","given":"Yamina"},{"family":"Some","given":"Shreya"},{"family":"Steg","given":"Linda"},{"family":"Steinberger","given":"Julia"},{"family":"Ürge-Vorsatz","given":"Diana"}],"accessed":{"date-parts":[["2022",10,18]]},"issued":{"date-parts":[["2022",1]]}}}],"schema":"https://github.com/citation-style-language/schema/raw/master/csl-citation.json"} </w:instrText>
      </w:r>
      <w:r w:rsidR="00FB42E4">
        <w:rPr>
          <w:lang w:val="en-US"/>
        </w:rPr>
        <w:fldChar w:fldCharType="separate"/>
      </w:r>
      <w:r w:rsidR="00FB42E4" w:rsidRPr="00FB42E4">
        <w:rPr>
          <w:rFonts w:ascii="Calibri" w:cs="Calibri"/>
          <w:kern w:val="0"/>
          <w:vertAlign w:val="superscript"/>
          <w:lang w:val="en-US"/>
        </w:rPr>
        <w:t>3</w:t>
      </w:r>
      <w:r w:rsidR="00FB42E4">
        <w:rPr>
          <w:lang w:val="en-US"/>
        </w:rPr>
        <w:fldChar w:fldCharType="end"/>
      </w:r>
      <w:r w:rsidR="00FB42E4">
        <w:rPr>
          <w:lang w:val="en-US"/>
        </w:rPr>
        <w:t>.</w:t>
      </w:r>
      <w:r w:rsidRPr="00AC5BBB">
        <w:rPr>
          <w:lang w:val="en-US"/>
        </w:rPr>
        <w:t xml:space="preserve"> </w:t>
      </w:r>
    </w:p>
    <w:p w14:paraId="78A315D5" w14:textId="63E07074" w:rsidR="00AC5BBB" w:rsidRDefault="00AC5BBB" w:rsidP="00AC5BBB">
      <w:pPr>
        <w:pStyle w:val="ListParagraph"/>
        <w:numPr>
          <w:ilvl w:val="0"/>
          <w:numId w:val="6"/>
        </w:numPr>
        <w:spacing w:after="240" w:line="360" w:lineRule="auto"/>
        <w:jc w:val="both"/>
        <w:rPr>
          <w:lang w:val="en-US"/>
        </w:rPr>
      </w:pPr>
      <w:r w:rsidRPr="00FB42E4">
        <w:rPr>
          <w:i/>
          <w:iCs/>
          <w:lang w:val="en-US"/>
        </w:rPr>
        <w:t>Shift</w:t>
      </w:r>
      <w:r w:rsidRPr="00AC5BBB">
        <w:rPr>
          <w:lang w:val="en-US"/>
        </w:rPr>
        <w:t xml:space="preserve"> measures encompass policies that enhance the access to or support the switch to renewable energy, including the electrification of cooking and water heating with </w:t>
      </w:r>
      <w:r w:rsidR="00FB42E4">
        <w:rPr>
          <w:lang w:val="en-US"/>
        </w:rPr>
        <w:t>renewable energy</w:t>
      </w:r>
      <w:r w:rsidRPr="00AC5BBB">
        <w:rPr>
          <w:lang w:val="en-US"/>
        </w:rPr>
        <w:t xml:space="preserve">. </w:t>
      </w:r>
    </w:p>
    <w:p w14:paraId="01A09105" w14:textId="5B3849C9" w:rsidR="00AC5BBB" w:rsidRPr="00B034FE" w:rsidRDefault="00AC5BBB" w:rsidP="00384B1C">
      <w:pPr>
        <w:pStyle w:val="ListParagraph"/>
        <w:numPr>
          <w:ilvl w:val="0"/>
          <w:numId w:val="6"/>
        </w:numPr>
        <w:spacing w:after="240" w:line="360" w:lineRule="auto"/>
        <w:jc w:val="both"/>
        <w:rPr>
          <w:lang w:val="en-US"/>
        </w:rPr>
      </w:pPr>
      <w:r w:rsidRPr="00FB42E4">
        <w:rPr>
          <w:i/>
          <w:iCs/>
          <w:lang w:val="en-US"/>
        </w:rPr>
        <w:t>Improve</w:t>
      </w:r>
      <w:r w:rsidRPr="00AC5BBB">
        <w:rPr>
          <w:lang w:val="en-US"/>
        </w:rPr>
        <w:t xml:space="preserve"> measures are policies which aim at improving energy efficiency of new buildings and existing building stock or of household appliances. </w:t>
      </w:r>
    </w:p>
    <w:p w14:paraId="69C85942" w14:textId="5F76E4B1" w:rsidR="00E01A3A" w:rsidRPr="00384B1C" w:rsidRDefault="00830EFF" w:rsidP="00384B1C">
      <w:pPr>
        <w:spacing w:after="240" w:line="360" w:lineRule="auto"/>
        <w:jc w:val="both"/>
        <w:rPr>
          <w:lang w:val="en-US"/>
        </w:rPr>
      </w:pPr>
      <w:r>
        <w:rPr>
          <w:lang w:val="en-US"/>
        </w:rPr>
        <w:t xml:space="preserve">Our focus on demand side policies targeting household GHG emissions </w:t>
      </w:r>
      <w:r w:rsidR="00384B1C">
        <w:rPr>
          <w:lang w:val="en-US"/>
        </w:rPr>
        <w:t>implies</w:t>
      </w:r>
      <w:r>
        <w:rPr>
          <w:lang w:val="en-US"/>
        </w:rPr>
        <w:t xml:space="preserve"> that we consciously excluded </w:t>
      </w:r>
      <w:r w:rsidR="00203504">
        <w:rPr>
          <w:lang w:val="en-US"/>
        </w:rPr>
        <w:t xml:space="preserve">policies focusing on the supply-side </w:t>
      </w:r>
      <w:r>
        <w:rPr>
          <w:lang w:val="en-US"/>
        </w:rPr>
        <w:t xml:space="preserve">(e.g., increasing the share of renewable energy in energy supply) </w:t>
      </w:r>
      <w:r w:rsidR="00203504">
        <w:rPr>
          <w:lang w:val="en-US"/>
        </w:rPr>
        <w:t>or targeting final business rather than household demand</w:t>
      </w:r>
      <w:r>
        <w:rPr>
          <w:lang w:val="en-US"/>
        </w:rPr>
        <w:t xml:space="preserve"> (e.g., incentivizing adoption of </w:t>
      </w:r>
      <w:r w:rsidR="00FB42E4">
        <w:rPr>
          <w:lang w:val="en-US"/>
        </w:rPr>
        <w:t>electric vehicles</w:t>
      </w:r>
      <w:r>
        <w:rPr>
          <w:lang w:val="en-US"/>
        </w:rPr>
        <w:t xml:space="preserve"> in </w:t>
      </w:r>
      <w:r w:rsidR="00E56AE4">
        <w:rPr>
          <w:lang w:val="en-US"/>
        </w:rPr>
        <w:t>corporate fleets)</w:t>
      </w:r>
      <w:r w:rsidR="00203504">
        <w:rPr>
          <w:lang w:val="en-US"/>
        </w:rPr>
        <w:t xml:space="preserve">, except when policies fell into a gray area. </w:t>
      </w:r>
      <w:r w:rsidR="00E56AE4">
        <w:rPr>
          <w:lang w:val="en-US"/>
        </w:rPr>
        <w:t xml:space="preserve">We also excluded policies that may have had significant impacts on household GHG emissions without, however, intentionally targeting them </w:t>
      </w:r>
      <w:r w:rsidR="005241C4">
        <w:rPr>
          <w:lang w:val="en-US"/>
        </w:rPr>
        <w:t xml:space="preserve">as a primary or secondary policy objective </w:t>
      </w:r>
      <w:r w:rsidR="00E56AE4">
        <w:rPr>
          <w:lang w:val="en-US"/>
        </w:rPr>
        <w:t xml:space="preserve">(e.g., </w:t>
      </w:r>
      <w:r w:rsidR="00384B1C">
        <w:rPr>
          <w:lang w:val="en-US"/>
        </w:rPr>
        <w:t xml:space="preserve">electricity-price subsidies to cushion energy price hikes for households in 2022). </w:t>
      </w:r>
      <w:r w:rsidR="0038740E">
        <w:rPr>
          <w:lang w:val="en-US"/>
        </w:rPr>
        <w:t xml:space="preserve">This analytical decision is primarily justified by our interest to better understand which demand-side policy options have been considered and implemented by policy-makers with the aim of curbing GHG emissions. In addition, considering </w:t>
      </w:r>
      <w:r w:rsidR="0038740E" w:rsidRPr="00280109">
        <w:rPr>
          <w:lang w:val="en-US"/>
        </w:rPr>
        <w:t xml:space="preserve">every single policy with a potentially significant impact on household GHG emissions would have </w:t>
      </w:r>
      <w:r w:rsidR="00280109" w:rsidRPr="00280109">
        <w:rPr>
          <w:lang w:val="en-US"/>
        </w:rPr>
        <w:t>resulted in an unmanageably large</w:t>
      </w:r>
      <w:r w:rsidR="00CD3475" w:rsidRPr="00280109">
        <w:rPr>
          <w:lang w:val="en-US"/>
        </w:rPr>
        <w:t xml:space="preserve"> policy</w:t>
      </w:r>
      <w:r w:rsidR="00A826C9" w:rsidRPr="00280109">
        <w:rPr>
          <w:lang w:val="en-US"/>
        </w:rPr>
        <w:t xml:space="preserve"> dataset</w:t>
      </w:r>
      <w:r w:rsidR="00280109" w:rsidRPr="00280109">
        <w:rPr>
          <w:lang w:val="en-US"/>
        </w:rPr>
        <w:t>.</w:t>
      </w:r>
      <w:r w:rsidR="00280109">
        <w:rPr>
          <w:lang w:val="en-US"/>
        </w:rPr>
        <w:t xml:space="preserve"> </w:t>
      </w:r>
    </w:p>
    <w:p w14:paraId="64B3550E" w14:textId="5BDC018D" w:rsidR="00B00A76" w:rsidRDefault="00203504" w:rsidP="00AC5BBB">
      <w:pPr>
        <w:spacing w:after="240" w:line="360" w:lineRule="auto"/>
        <w:jc w:val="both"/>
        <w:rPr>
          <w:lang w:val="en-US"/>
        </w:rPr>
      </w:pPr>
      <w:r>
        <w:rPr>
          <w:lang w:val="en-US"/>
        </w:rPr>
        <w:t xml:space="preserve">Importantly, we considered major climate policy strategy documents such as Lower Austria’s electric mobility strategy </w:t>
      </w:r>
      <w:r w:rsidR="002B08B5">
        <w:rPr>
          <w:lang w:val="en-US"/>
        </w:rPr>
        <w:t xml:space="preserve">or the overarching federal </w:t>
      </w:r>
      <w:r w:rsidR="0038740E">
        <w:rPr>
          <w:lang w:val="en-US"/>
        </w:rPr>
        <w:t>energy</w:t>
      </w:r>
      <w:r w:rsidR="002B08B5">
        <w:rPr>
          <w:lang w:val="en-US"/>
        </w:rPr>
        <w:t xml:space="preserve"> and </w:t>
      </w:r>
      <w:r w:rsidR="0038740E">
        <w:rPr>
          <w:lang w:val="en-US"/>
        </w:rPr>
        <w:t>climate</w:t>
      </w:r>
      <w:r w:rsidR="002B08B5">
        <w:rPr>
          <w:lang w:val="en-US"/>
        </w:rPr>
        <w:t xml:space="preserve"> strategy (Mission 2030)</w:t>
      </w:r>
      <w:r w:rsidR="007326C6">
        <w:rPr>
          <w:lang w:val="en-US"/>
        </w:rPr>
        <w:t xml:space="preserve">, even though they often contain declarations of intent which have not consistently been implemented, or where implementation was not consistently traceable. For instance, declarations of intent to increase the share of </w:t>
      </w:r>
      <w:r w:rsidR="00FB42E4">
        <w:rPr>
          <w:lang w:val="en-US"/>
        </w:rPr>
        <w:t>electric vehicles</w:t>
      </w:r>
      <w:r w:rsidR="007326C6">
        <w:rPr>
          <w:lang w:val="en-US"/>
        </w:rPr>
        <w:t xml:space="preserve"> by </w:t>
      </w:r>
      <w:r>
        <w:rPr>
          <w:lang w:val="en-US"/>
        </w:rPr>
        <w:t>improving relevant infrastructures</w:t>
      </w:r>
      <w:r w:rsidR="007326C6">
        <w:rPr>
          <w:lang w:val="en-US"/>
        </w:rPr>
        <w:t xml:space="preserve"> may orient policy makers’ infrastructure investment decisions at </w:t>
      </w:r>
      <w:r w:rsidR="009973AA">
        <w:rPr>
          <w:lang w:val="en-US"/>
        </w:rPr>
        <w:t>local</w:t>
      </w:r>
      <w:r w:rsidR="007326C6">
        <w:rPr>
          <w:lang w:val="en-US"/>
        </w:rPr>
        <w:t xml:space="preserve"> policy levels</w:t>
      </w:r>
      <w:r w:rsidR="009973AA">
        <w:rPr>
          <w:lang w:val="en-US"/>
        </w:rPr>
        <w:t xml:space="preserve">, but investigating such effects was beyond the scope of the analysis. We therefore included policy measures announced in plans or strategy documents, but systematically coded them as “strategy/plan” if we did not find specific measures </w:t>
      </w:r>
      <w:r w:rsidR="00DD7D40">
        <w:rPr>
          <w:lang w:val="en-US"/>
        </w:rPr>
        <w:t>to implement</w:t>
      </w:r>
      <w:r w:rsidR="009973AA">
        <w:rPr>
          <w:lang w:val="en-US"/>
        </w:rPr>
        <w:t xml:space="preserve"> them</w:t>
      </w:r>
      <w:r w:rsidR="00A34D57">
        <w:rPr>
          <w:lang w:val="en-US"/>
        </w:rPr>
        <w:t>, or if the implementation could be assumed to be outside of the scope of the policy analysis (e.g., bicycle lane construction implemented on the district level in Vienna)</w:t>
      </w:r>
      <w:r>
        <w:rPr>
          <w:lang w:val="en-US"/>
        </w:rPr>
        <w:t xml:space="preserve">. While this approach </w:t>
      </w:r>
      <w:r>
        <w:rPr>
          <w:lang w:val="en-US"/>
        </w:rPr>
        <w:lastRenderedPageBreak/>
        <w:t>runs the risk of overestimating policy action, it allowed us to pinpoint</w:t>
      </w:r>
      <w:r w:rsidR="00A34D57">
        <w:rPr>
          <w:lang w:val="en-US"/>
        </w:rPr>
        <w:t xml:space="preserve"> existing</w:t>
      </w:r>
      <w:r>
        <w:rPr>
          <w:lang w:val="en-US"/>
        </w:rPr>
        <w:t xml:space="preserve"> </w:t>
      </w:r>
      <w:r w:rsidR="00A34D57">
        <w:rPr>
          <w:lang w:val="en-US"/>
        </w:rPr>
        <w:t xml:space="preserve">demand-side policy </w:t>
      </w:r>
      <w:r w:rsidR="00B654F7">
        <w:rPr>
          <w:lang w:val="en-US"/>
        </w:rPr>
        <w:t>mixes</w:t>
      </w:r>
      <w:r w:rsidR="00A34D57">
        <w:rPr>
          <w:lang w:val="en-US"/>
        </w:rPr>
        <w:t xml:space="preserve"> and </w:t>
      </w:r>
      <w:r>
        <w:rPr>
          <w:lang w:val="en-US"/>
        </w:rPr>
        <w:t xml:space="preserve">remaining policy gaps more reliably. </w:t>
      </w:r>
    </w:p>
    <w:p w14:paraId="204E94CF" w14:textId="28CE45CA" w:rsidR="00B00A76" w:rsidRDefault="00B00A76" w:rsidP="00B00A76">
      <w:pPr>
        <w:spacing w:line="360" w:lineRule="auto"/>
        <w:jc w:val="both"/>
        <w:rPr>
          <w:lang w:val="en-US"/>
        </w:rPr>
      </w:pPr>
      <w:r>
        <w:rPr>
          <w:lang w:val="en-US"/>
        </w:rPr>
        <w:t xml:space="preserve">To account for the fact that merely coding and </w:t>
      </w:r>
      <w:r w:rsidRPr="0053628E">
        <w:rPr>
          <w:lang w:val="en-US"/>
        </w:rPr>
        <w:t xml:space="preserve">counting policies necessarily compares ‘apples with oranges’, we complemented our policy mapping </w:t>
      </w:r>
      <w:r w:rsidR="008D4A6C" w:rsidRPr="0053628E">
        <w:rPr>
          <w:lang w:val="en-US"/>
        </w:rPr>
        <w:t xml:space="preserve">with </w:t>
      </w:r>
      <w:r w:rsidRPr="0053628E">
        <w:rPr>
          <w:lang w:val="en-US"/>
        </w:rPr>
        <w:t>an expert survey among peer researchers to differentiate important policy measures from less powerful ones, which inform</w:t>
      </w:r>
      <w:r w:rsidR="00AC5BBB" w:rsidRPr="0053628E">
        <w:rPr>
          <w:lang w:val="en-US"/>
        </w:rPr>
        <w:t>ed</w:t>
      </w:r>
      <w:r w:rsidRPr="0053628E">
        <w:rPr>
          <w:lang w:val="en-US"/>
        </w:rPr>
        <w:t xml:space="preserve"> the discussion of our results</w:t>
      </w:r>
      <w:r w:rsidR="00B654F7">
        <w:rPr>
          <w:lang w:val="en-US"/>
        </w:rPr>
        <w:t xml:space="preserve"> as well as compilation of Figures 4 and 5</w:t>
      </w:r>
      <w:r w:rsidRPr="0053628E">
        <w:rPr>
          <w:lang w:val="en-US"/>
        </w:rPr>
        <w:t>.</w:t>
      </w:r>
      <w:r>
        <w:rPr>
          <w:lang w:val="en-US"/>
        </w:rPr>
        <w:t xml:space="preserve"> While assessing the effectiveness of policies in terms of achieved GHG emission </w:t>
      </w:r>
      <w:r w:rsidRPr="0053628E">
        <w:rPr>
          <w:lang w:val="en-US"/>
        </w:rPr>
        <w:t>reductions is notoriously difficult</w:t>
      </w:r>
      <w:r w:rsidR="0053628E" w:rsidRPr="0053628E">
        <w:rPr>
          <w:lang w:val="en-US"/>
        </w:rPr>
        <w:fldChar w:fldCharType="begin"/>
      </w:r>
      <w:r w:rsidR="007D6BD9">
        <w:rPr>
          <w:lang w:val="en-US"/>
        </w:rPr>
        <w:instrText xml:space="preserve"> ADDIN ZOTERO_ITEM CSL_CITATION {"citationID":"WW1d7IRN","properties":{"formattedCitation":"\\super 4\\nosupersub{}","plainCitation":"4","noteIndex":0},"citationItems":[{"id":11386,"uris":["http://zotero.org/groups/2433940/items/8Q9CQ8CF"],"itemData":{"id":11386,"type":"article-journal","abstract":"Meeting the Paris Agreement’s climate targets necessitates better knowledge about which climate policies work in reducing emissions at the necessary scale. We provide a global, systematic ex post evaluation to identify policy combinations that have led to large emission reductions out of 1500 climate policies implemented between 1998 and 2022 across 41 countries from six continents. Our approach integrates a comprehensive climate policy database with a machine learning–based extension of the common difference-in-differences approach. We identified 63 successful policy interventions with total emission reductions between 0.6 billion and 1.8 billion metric tonnes CO\n              2\n              . Our insights on effective but rarely studied policy combinations highlight the important role of price-based instruments in well-designed policy mixes and the policy efforts necessary for closing the emissions gap.\n            \n          , \n            Editor’s summary\n            \n              It is easy for countries to say they will reduce their emissions of greenhouse gases, but these statements do not mean that the policies they adopt will be effective. Stechemesser\n              et al\n              . evaluated 1500 climate policies that have been implemented over the past 25 years and identified the 63 most successful ones. Some of those successes involved rarely studied policies and unappreciated combinations. This work illustrates the kinds of policy efforts that are needed to close the emissions gaps in various economic sectors. —Jesse Smith","container-title":"Science","DOI":"10.1126/science.adl6547","ISSN":"0036-8075, 1095-9203","issue":"6711","journalAbbreviation":"Science","language":"en","page":"884-892","source":"DOI.org (Crossref)","title":"Climate policies that achieved major emission reductions: Global evidence from two decades","title-short":"Climate policies that achieved major emission reductions","URL":"https://www.science.org/doi/10.1126/science.adl6547","volume":"385","author":[{"family":"Stechemesser","given":"Annika"},{"family":"Koch","given":"Nicolas"},{"family":"Mark","given":"Ebba"},{"family":"Dilger","given":"Elina"},{"family":"Klösel","given":"Patrick"},{"family":"Menicacci","given":"Laura"},{"family":"Nachtigall","given":"Daniel"},{"family":"Pretis","given":"Felix"},{"family":"Ritter","given":"Nolan"},{"family":"Schwarz","given":"Moritz"},{"family":"Vossen","given":"Helena"},{"family":"Wenzel","given":"Anna"}],"accessed":{"date-parts":[["2024",10,22]]},"issued":{"date-parts":[["2024",8,23]]}}}],"schema":"https://github.com/citation-style-language/schema/raw/master/csl-citation.json"} </w:instrText>
      </w:r>
      <w:r w:rsidR="0053628E" w:rsidRPr="0053628E">
        <w:rPr>
          <w:lang w:val="en-US"/>
        </w:rPr>
        <w:fldChar w:fldCharType="separate"/>
      </w:r>
      <w:r w:rsidR="007D6BD9" w:rsidRPr="007D6BD9">
        <w:rPr>
          <w:rFonts w:ascii="Calibri" w:cs="Calibri"/>
          <w:kern w:val="0"/>
          <w:vertAlign w:val="superscript"/>
          <w:lang w:val="en-US"/>
        </w:rPr>
        <w:t>4</w:t>
      </w:r>
      <w:r w:rsidR="0053628E" w:rsidRPr="0053628E">
        <w:rPr>
          <w:lang w:val="en-US"/>
        </w:rPr>
        <w:fldChar w:fldCharType="end"/>
      </w:r>
      <w:r w:rsidRPr="0053628E">
        <w:rPr>
          <w:lang w:val="en-US"/>
        </w:rPr>
        <w:t xml:space="preserve"> and</w:t>
      </w:r>
      <w:r>
        <w:rPr>
          <w:lang w:val="en-US"/>
        </w:rPr>
        <w:t xml:space="preserve"> beyond the scope of this paper, our findings may also </w:t>
      </w:r>
      <w:r w:rsidR="00AC5BBB">
        <w:rPr>
          <w:lang w:val="en-US"/>
        </w:rPr>
        <w:t>be useful</w:t>
      </w:r>
      <w:r>
        <w:rPr>
          <w:lang w:val="en-US"/>
        </w:rPr>
        <w:t xml:space="preserve"> to </w:t>
      </w:r>
      <w:r w:rsidR="00AC5BBB">
        <w:rPr>
          <w:lang w:val="en-US"/>
        </w:rPr>
        <w:t>explain</w:t>
      </w:r>
      <w:r>
        <w:rPr>
          <w:lang w:val="en-US"/>
        </w:rPr>
        <w:t xml:space="preserve"> household GHG footprint emission trajectories</w:t>
      </w:r>
      <w:r w:rsidR="00AC5BBB">
        <w:rPr>
          <w:lang w:val="en-US"/>
        </w:rPr>
        <w:t xml:space="preserve"> as part of future research.</w:t>
      </w:r>
    </w:p>
    <w:p w14:paraId="0AF6274E" w14:textId="183D8676" w:rsidR="00B00A76" w:rsidRDefault="00B00A76">
      <w:pPr>
        <w:rPr>
          <w:lang w:val="en-US"/>
        </w:rPr>
      </w:pPr>
    </w:p>
    <w:p w14:paraId="0B5C2ACC" w14:textId="69E283FC" w:rsidR="00826A91" w:rsidRDefault="00826A91">
      <w:pPr>
        <w:rPr>
          <w:lang w:val="en-US"/>
        </w:rPr>
      </w:pPr>
    </w:p>
    <w:p w14:paraId="0C369E93" w14:textId="39C1A051" w:rsidR="009D6204" w:rsidRDefault="00B034FE" w:rsidP="00722813">
      <w:pPr>
        <w:rPr>
          <w:b/>
          <w:bCs/>
          <w:lang w:val="en-US"/>
        </w:rPr>
      </w:pPr>
      <w:r w:rsidRPr="00722813">
        <w:rPr>
          <w:b/>
          <w:bCs/>
          <w:lang w:val="en-US"/>
        </w:rPr>
        <w:t xml:space="preserve">Method 2: </w:t>
      </w:r>
      <w:r w:rsidR="00826A91" w:rsidRPr="00722813">
        <w:rPr>
          <w:b/>
          <w:bCs/>
          <w:lang w:val="en-US"/>
        </w:rPr>
        <w:t>GHG footprint calculations</w:t>
      </w:r>
      <w:r w:rsidRPr="00722813">
        <w:rPr>
          <w:b/>
          <w:bCs/>
          <w:lang w:val="en-US"/>
        </w:rPr>
        <w:t xml:space="preserve"> for Figure 1, 2, 4 and 5</w:t>
      </w:r>
    </w:p>
    <w:p w14:paraId="34AF782C" w14:textId="77777777" w:rsidR="00722813" w:rsidRPr="00722813" w:rsidRDefault="00722813" w:rsidP="00722813">
      <w:pPr>
        <w:rPr>
          <w:b/>
          <w:bCs/>
          <w:lang w:val="en-US"/>
        </w:rPr>
      </w:pPr>
    </w:p>
    <w:p w14:paraId="10393BDB" w14:textId="5E3C3680" w:rsidR="00826A91" w:rsidRDefault="00C20A1B" w:rsidP="00C20A1B">
      <w:pPr>
        <w:spacing w:after="240" w:line="360" w:lineRule="auto"/>
        <w:jc w:val="both"/>
        <w:rPr>
          <w:lang w:val="en-US"/>
        </w:rPr>
      </w:pPr>
      <w:r>
        <w:rPr>
          <w:lang w:val="en-US"/>
        </w:rPr>
        <w:t>To calculate the Austrian consumption-based GHG emissions (footprint) we used the input-output tables of EXIOBASEv3.8.2</w:t>
      </w:r>
      <w:r>
        <w:rPr>
          <w:lang w:val="en-US"/>
        </w:rPr>
        <w:fldChar w:fldCharType="begin"/>
      </w:r>
      <w:r w:rsidR="007D6BD9">
        <w:rPr>
          <w:lang w:val="en-US"/>
        </w:rPr>
        <w:instrText xml:space="preserve"> ADDIN ZOTERO_ITEM CSL_CITATION {"citationID":"BqSGKWSG","properties":{"formattedCitation":"\\super 5\\nosupersub{}","plainCitation":"5","noteIndex":0},"citationItems":[{"id":"2Y50qTtU/OaDlyBG1","uris":["http://zotero.org/users/8314164/items/MPUADJWJ"],"itemData":{"id":13878,"type":"article-journal","abstract":"Environmentally extended multiregional input-output (EE MRIO) tables have emerged as a key framework to provide a comprehensive description of the global economy and analyze its effects on the environment. Of the available EE MRIO databases, EXIOBASE stands out as a database compatible with the System of Environmental-Economic Accounting (SEEA) with a high sectorial detail matched with multiple social and environmental satellite accounts. In this paper, we present the latest developments realized with EXIOBASE 3—a time series of EE MRIO tables ranging from 1995 to 2011 for 44 countries (28 EU member plus 16 major economies) and ﬁve rest of the world regions. EXIOBASE 3 builds upon the previous versions of EXIOBASE by using rectangular supply-use tables (SUTs) in a 163 industry by 200 products classiﬁcation as the main building blocks. In order to capture structural changes, economic developments, as reported by national statistical agencies, were imposed on the available, disaggregated SUTs from EXIOBASE 2. These initial estimates were further reﬁned by incorporating detailed data on energy, agricultural production, resource extraction, and bilateral trade. EXIOBASE 3 inherits the high level of environmental stressor detail from its precursor, with further improvement in the level of detail for resource extraction. To account for the expansion of the European Union (EU), EXIOBASE 3 was developed with the full EU28 country set (including the new member state Croatia). EXIOBASE 3 provides a unique tool for analyzing the dynamics of environmental pressures of economic activities over time.","container-title":"Journal of Industrial Ecology","DOI":"10.1111/jiec.12715","ISSN":"1088-1980, 1530-9290","issue":"3","journalAbbreviation":"J of Industrial Ecology","language":"en","license":"http://creativecommons.org/licenses/by/4.0/","page":"502-515","source":"DOI.org (Crossref)","title":"EXIOBASE 3: Developing a Time Series of Detailed Environmentally Extended Multi‐Regional Input‐Output Tables","title-short":"EXIOBASE 3","volume":"22","author":[{"family":"Stadler","given":"Konstantin"},{"family":"Wood","given":"Richard"},{"family":"Bulavskaya","given":"Tatyana"},{"family":"Södersten","given":"Carl‐Johan"},{"family":"Simas","given":"Moana"},{"family":"Schmidt","given":"Sarah"},{"family":"Usubiaga","given":"Arkaitz"},{"family":"Acosta‐Fernández","given":"José"},{"family":"Kuenen","given":"Jeroen"},{"family":"Bruckner","given":"Martin"},{"family":"Giljum","given":"Stefan"},{"family":"Lutter","given":"Stephan"},{"family":"Merciai","given":"Stefano"},{"family":"Schmidt","given":"Jannick H."},{"family":"Theurl","given":"Michaela C."},{"family":"Plutzar","given":"Christoph"},{"family":"Kastner","given":"Thomas"},{"family":"Eisenmenger","given":"Nina"},{"family":"Erb","given":"Karl‐Heinz"},{"family":"De Koning","given":"Arjan"},{"family":"Tukker","given":"Arnold"}],"issued":{"date-parts":[["2018",6]]}}}],"schema":"https://github.com/citation-style-language/schema/raw/master/csl-citation.json"} </w:instrText>
      </w:r>
      <w:r>
        <w:rPr>
          <w:lang w:val="en-US"/>
        </w:rPr>
        <w:fldChar w:fldCharType="separate"/>
      </w:r>
      <w:r w:rsidR="007D6BD9" w:rsidRPr="007D6BD9">
        <w:rPr>
          <w:rFonts w:ascii="Calibri" w:hAnsi="Calibri" w:cs="Calibri"/>
          <w:kern w:val="0"/>
          <w:vertAlign w:val="superscript"/>
          <w:lang w:val="en-US"/>
        </w:rPr>
        <w:t>5</w:t>
      </w:r>
      <w:r>
        <w:rPr>
          <w:lang w:val="en-US"/>
        </w:rPr>
        <w:fldChar w:fldCharType="end"/>
      </w:r>
      <w:r>
        <w:rPr>
          <w:lang w:val="en-US"/>
        </w:rPr>
        <w:t xml:space="preserve">. </w:t>
      </w:r>
      <w:r w:rsidR="00520123">
        <w:rPr>
          <w:lang w:val="en-US"/>
        </w:rPr>
        <w:t>We performed standardized input-output modelling to achieve GHG footprints</w:t>
      </w:r>
      <w:r w:rsidR="009D1BBC">
        <w:rPr>
          <w:lang w:val="en-US"/>
        </w:rPr>
        <w:fldChar w:fldCharType="begin"/>
      </w:r>
      <w:r w:rsidR="007D6BD9">
        <w:rPr>
          <w:lang w:val="en-US"/>
        </w:rPr>
        <w:instrText xml:space="preserve"> ADDIN ZOTERO_ITEM CSL_CITATION {"citationID":"wWzkBGY7","properties":{"formattedCitation":"\\super 6,7\\nosupersub{}","plainCitation":"6,7","noteIndex":0},"citationItems":[{"id":"2Y50qTtU/DfphPWac","uris":["http://zotero.org/users/8314164/items/7HWXU5R7"],"itemData":{"id":14486,"type":"article-journal","container-title":"The review of economic statistics","ISSN":"0034-6535","journalAbbreviation":"The review of economic statistics","note":"publisher: JSTOR","page":"105-125","title":"Quantitative input and output relations in the economic systems of the United States","author":[{"family":"Leontief","given":"Wassily W"}],"issued":{"date-parts":[["1936"]]}}},{"id":"2Y50qTtU/J3zhG21d","uris":["http://zotero.org/users/8314164/items/ZJ2RRNH6"],"itemData":{"id":14487,"type":"book","ISBN":"1-139-47759-5","publisher":"Cambridge university press","title":"Input-output analysis: foundations and extensions","author":[{"family":"Miller","given":"Ronald E"},{"family":"Blair","given":"Peter D"}],"issued":{"date-parts":[["2009"]]}}}],"schema":"https://github.com/citation-style-language/schema/raw/master/csl-citation.json"} </w:instrText>
      </w:r>
      <w:r w:rsidR="009D1BBC">
        <w:rPr>
          <w:lang w:val="en-US"/>
        </w:rPr>
        <w:fldChar w:fldCharType="separate"/>
      </w:r>
      <w:r w:rsidR="007D6BD9" w:rsidRPr="007D6BD9">
        <w:rPr>
          <w:rFonts w:ascii="Calibri" w:hAnsi="Calibri" w:cs="Calibri"/>
          <w:kern w:val="0"/>
          <w:vertAlign w:val="superscript"/>
          <w:lang w:val="en-US"/>
        </w:rPr>
        <w:t>6,7</w:t>
      </w:r>
      <w:r w:rsidR="009D1BBC">
        <w:rPr>
          <w:lang w:val="en-US"/>
        </w:rPr>
        <w:fldChar w:fldCharType="end"/>
      </w:r>
      <w:r w:rsidR="00520123">
        <w:rPr>
          <w:lang w:val="en-US"/>
        </w:rPr>
        <w:t>:</w:t>
      </w:r>
    </w:p>
    <w:p w14:paraId="57DC9E20" w14:textId="3D4238A1" w:rsidR="009D1BBC" w:rsidRDefault="009D1BBC" w:rsidP="00C20A1B">
      <w:pPr>
        <w:spacing w:after="240" w:line="360" w:lineRule="auto"/>
        <w:jc w:val="both"/>
        <w:rPr>
          <w:lang w:val="en-GB"/>
        </w:rPr>
      </w:pPr>
      <m:oMathPara>
        <m:oMath>
          <m:r>
            <w:rPr>
              <w:rFonts w:ascii="Cambria Math" w:hAnsi="Cambria Math"/>
              <w:lang w:val="en-GB"/>
            </w:rPr>
            <m:t>footprint=</m:t>
          </m:r>
          <m:r>
            <m:rPr>
              <m:sty m:val="bi"/>
            </m:rPr>
            <w:rPr>
              <w:rFonts w:ascii="Cambria Math" w:hAnsi="Cambria Math"/>
              <w:lang w:val="en-GB"/>
            </w:rPr>
            <m:t>Y</m:t>
          </m:r>
          <m:r>
            <w:rPr>
              <w:rFonts w:ascii="Cambria Math" w:hAnsi="Cambria Math"/>
              <w:lang w:val="en-GB"/>
            </w:rPr>
            <m:t>*f*</m:t>
          </m:r>
          <m:sSup>
            <m:sSupPr>
              <m:ctrlPr>
                <w:rPr>
                  <w:rFonts w:ascii="Cambria Math" w:hAnsi="Cambria Math"/>
                  <w:i/>
                  <w:lang w:val="en-GB"/>
                </w:rPr>
              </m:ctrlPr>
            </m:sSupPr>
            <m:e>
              <m:r>
                <w:rPr>
                  <w:rFonts w:ascii="Cambria Math" w:hAnsi="Cambria Math"/>
                  <w:lang w:val="en-GB"/>
                </w:rPr>
                <m:t>(</m:t>
              </m:r>
              <m:r>
                <m:rPr>
                  <m:sty m:val="bi"/>
                </m:rPr>
                <w:rPr>
                  <w:rFonts w:ascii="Cambria Math" w:hAnsi="Cambria Math"/>
                  <w:lang w:val="en-GB"/>
                </w:rPr>
                <m:t>I</m:t>
              </m:r>
              <m:r>
                <w:rPr>
                  <w:rFonts w:ascii="Cambria Math" w:hAnsi="Cambria Math"/>
                  <w:lang w:val="en-GB"/>
                </w:rPr>
                <m:t>-</m:t>
              </m:r>
              <m:r>
                <m:rPr>
                  <m:sty m:val="bi"/>
                </m:rPr>
                <w:rPr>
                  <w:rFonts w:ascii="Cambria Math" w:hAnsi="Cambria Math"/>
                  <w:lang w:val="en-GB"/>
                </w:rPr>
                <m:t>A</m:t>
              </m:r>
              <m:r>
                <w:rPr>
                  <w:rFonts w:ascii="Cambria Math" w:hAnsi="Cambria Math"/>
                  <w:lang w:val="en-GB"/>
                </w:rPr>
                <m:t>)</m:t>
              </m:r>
            </m:e>
            <m:sup>
              <m:r>
                <w:rPr>
                  <w:rFonts w:ascii="Cambria Math" w:hAnsi="Cambria Math"/>
                  <w:lang w:val="en-GB"/>
                </w:rPr>
                <m:t>-1</m:t>
              </m:r>
            </m:sup>
          </m:sSup>
        </m:oMath>
      </m:oMathPara>
    </w:p>
    <w:p w14:paraId="5FFD26E6" w14:textId="73C6812E" w:rsidR="00D62382" w:rsidRDefault="009D1BBC" w:rsidP="00C20A1B">
      <w:pPr>
        <w:spacing w:after="240" w:line="360" w:lineRule="auto"/>
        <w:jc w:val="both"/>
        <w:rPr>
          <w:lang w:val="en-GB"/>
        </w:rPr>
      </w:pPr>
      <w:r w:rsidRPr="0033412D">
        <w:rPr>
          <w:lang w:val="en-GB"/>
        </w:rPr>
        <w:t>where</w:t>
      </w:r>
      <w:r w:rsidRPr="0033412D">
        <w:rPr>
          <w:b/>
          <w:bCs/>
          <w:lang w:val="en-GB"/>
        </w:rPr>
        <w:t xml:space="preserve"> </w:t>
      </w:r>
      <m:oMath>
        <m:r>
          <m:rPr>
            <m:sty m:val="bi"/>
          </m:rPr>
          <w:rPr>
            <w:rFonts w:ascii="Cambria Math" w:hAnsi="Cambria Math"/>
            <w:lang w:val="en-GB"/>
          </w:rPr>
          <m:t>Y</m:t>
        </m:r>
      </m:oMath>
      <w:r w:rsidRPr="0033412D">
        <w:rPr>
          <w:lang w:val="en-GB"/>
        </w:rPr>
        <w:t xml:space="preserve"> is the matrix of final demand</w:t>
      </w:r>
      <w:r>
        <w:rPr>
          <w:lang w:val="en-GB"/>
        </w:rPr>
        <w:t xml:space="preserve"> (from households, government, capital investments, non-profit organizations serving households, and changes in inventories)</w:t>
      </w:r>
      <w:r w:rsidRPr="0033412D">
        <w:rPr>
          <w:lang w:val="en-GB"/>
        </w:rPr>
        <w:t xml:space="preserve">, </w:t>
      </w:r>
      <m:oMath>
        <m:r>
          <w:rPr>
            <w:rFonts w:ascii="Cambria Math" w:hAnsi="Cambria Math"/>
            <w:lang w:val="en-GB"/>
          </w:rPr>
          <m:t>f</m:t>
        </m:r>
      </m:oMath>
      <w:r w:rsidRPr="0033412D">
        <w:rPr>
          <w:lang w:val="en-GB"/>
        </w:rPr>
        <w:t xml:space="preserve"> </w:t>
      </w:r>
      <w:r w:rsidR="003E2273">
        <w:rPr>
          <w:lang w:val="en-GB"/>
        </w:rPr>
        <w:t>represents the</w:t>
      </w:r>
      <w:r w:rsidRPr="0033412D">
        <w:rPr>
          <w:lang w:val="en-GB"/>
        </w:rPr>
        <w:t xml:space="preserve"> satellite account</w:t>
      </w:r>
      <w:r w:rsidR="003E2273">
        <w:rPr>
          <w:lang w:val="en-GB"/>
        </w:rPr>
        <w:t>s</w:t>
      </w:r>
      <w:r w:rsidRPr="0033412D">
        <w:rPr>
          <w:lang w:val="en-GB"/>
        </w:rPr>
        <w:t xml:space="preserve"> (</w:t>
      </w:r>
      <w:r>
        <w:rPr>
          <w:lang w:val="en-GB"/>
        </w:rPr>
        <w:t>where we replaced the GHG accounts with official Austrian data)</w:t>
      </w:r>
      <w:r w:rsidRPr="0033412D">
        <w:rPr>
          <w:lang w:val="en-GB"/>
        </w:rPr>
        <w:t xml:space="preserve">, </w:t>
      </w:r>
      <m:oMath>
        <m:r>
          <m:rPr>
            <m:sty m:val="bi"/>
          </m:rPr>
          <w:rPr>
            <w:rFonts w:ascii="Cambria Math" w:hAnsi="Cambria Math"/>
            <w:lang w:val="en-GB"/>
          </w:rPr>
          <m:t>A</m:t>
        </m:r>
      </m:oMath>
      <w:r w:rsidRPr="0033412D">
        <w:rPr>
          <w:lang w:val="en-GB"/>
        </w:rPr>
        <w:t xml:space="preserve"> the technology matrix, and </w:t>
      </w:r>
      <m:oMath>
        <m:r>
          <m:rPr>
            <m:sty m:val="bi"/>
          </m:rPr>
          <w:rPr>
            <w:rFonts w:ascii="Cambria Math" w:hAnsi="Cambria Math"/>
            <w:lang w:val="en-GB"/>
          </w:rPr>
          <m:t>I</m:t>
        </m:r>
      </m:oMath>
      <w:r w:rsidRPr="0033412D">
        <w:rPr>
          <w:lang w:val="en-GB"/>
        </w:rPr>
        <w:t xml:space="preserve"> an identity matrix which has ones on the main diagonal and zeros</w:t>
      </w:r>
      <w:r w:rsidR="00D62382">
        <w:rPr>
          <w:lang w:val="en-GB"/>
        </w:rPr>
        <w:t xml:space="preserve">. </w:t>
      </w:r>
      <w:r w:rsidR="00B132BE">
        <w:rPr>
          <w:lang w:val="en-GB"/>
        </w:rPr>
        <w:t xml:space="preserve">This modelling approach is described in more detail </w:t>
      </w:r>
      <w:r w:rsidR="00ED0E84">
        <w:rPr>
          <w:lang w:val="en-GB"/>
        </w:rPr>
        <w:t xml:space="preserve">in </w:t>
      </w:r>
      <w:r w:rsidR="00B132BE">
        <w:rPr>
          <w:lang w:val="en-GB"/>
        </w:rPr>
        <w:t>and has been used by a number of previous studies</w:t>
      </w:r>
      <w:r w:rsidR="00ED0E84">
        <w:rPr>
          <w:lang w:val="en-GB"/>
        </w:rPr>
        <w:fldChar w:fldCharType="begin"/>
      </w:r>
      <w:r w:rsidR="007D6BD9">
        <w:rPr>
          <w:lang w:val="en-GB"/>
        </w:rPr>
        <w:instrText xml:space="preserve"> ADDIN ZOTERO_ITEM CSL_CITATION {"citationID":"kjew8eOg","properties":{"formattedCitation":"\\super 8\\uc0\\u8211{}10\\nosupersub{}","plainCitation":"8–10","noteIndex":0},"citationItems":[{"id":"2Y50qTtU/6VbBs89I","uris":["http://zotero.org/users/8314164/items/3B3F4VFF"],"itemData":{"id":14782,"type":"article-journal","abstract":"The use of global, multiregional input-output (MRIO) analysis for consumption-based (footprint) accounting has expanded signiﬁcantly over the last decade. Most of the global studies on environmental and social impacts associated with consumption or embodied in international trade would have been impossible without the rapid development of extended MRIO databases. We present an overview of the developments in the ﬁeld of MRIO analysis, in particular as applied to consumption-based environmental and social footprints. We ﬁrst provide a discussion of research published on various global MRIO databases and the differences between them, before focusing on the virtual laboratory computing infrastructure for potentially making MRIO databases more accessible for collaborative research, and also for supporting greater sectoral and regional detail. We discuss work that includes a broader range of extensions, in particular the inclusion of social indicators in consumptionbased accounting. We conclude by discussing the need for the development of detailed nested MRIO tables for investigating linkages between regions of different countries, and the applications of the rapidly growing ﬁeld of global MRIO analysis for assessing a country’s performance toward the United Nations Sustainable Development Goals.","container-title":"Journal of Industrial Ecology","DOI":"10.1111/jiec.12771","ISSN":"1088-1980, 1530-9290","issue":"2","journalAbbreviation":"J of Industrial Ecology","language":"en","page":"300-312","source":"DOI.org (Crossref)","title":"Advancements in Input‐Output Models and Indicators for Consumption‐Based Accounting","volume":"23","author":[{"family":"Malik","given":"Arunima"},{"family":"McBain","given":"Darian"},{"family":"Wiedmann","given":"Thomas O."},{"family":"Lenzen","given":"Manfred"},{"family":"Murray","given":"Joy"}],"issued":{"date-parts":[["2019",4]]}}},{"id":"2Y50qTtU/MsYYHeGF","uris":["http://zotero.org/users/8314164/items/NRYCJLWD"],"itemData":{"id":13680,"type":"article-journal","container-title":"Economic Systems Research","ISSN":"0953-5314","issue":"2","journalAbbreviation":"Economic Systems Research","note":"publisher: Taylor &amp; Francis","page":"158-186","title":"The Global MRIO Lab–charting the world economy","volume":"29","author":[{"family":"Lenzen","given":"Manfred"},{"family":"Geschke","given":"Arne"},{"family":"Abd Rahman","given":"Muhammad Daaniyall"},{"family":"Xiao","given":"Yanyan"},{"family":"Fry","given":"Jacob"},{"family":"Reyes","given":"Rachel"},{"family":"Dietzenbacher","given":"Erik"},{"family":"Inomata","given":"Satoshi"},{"family":"Kanemoto","given":"Keiichiro"},{"family":"Los","given":"Bart"}],"issued":{"date-parts":[["2017"]]}}},{"id":"2Y50qTtU/eTWFFeUp","uris":["http://zotero.org/users/8314164/items/P4ITKYXC"],"itemData":{"id":13862,"type":"article-journal","container-title":"Nature Climate Change","DOI":"10.1038/nclimate3165","ISSN":"1758-678X, 1758-6798","issue":"1","journalAbbreviation":"Nature Clim Change","language":"en","page":"75-80","source":"DOI.org (Crossref)","title":"Unequal household carbon footprints in China","volume":"7","author":[{"family":"Wiedenhofer","given":"Dominik"},{"family":"Guan","given":"Dabo"},{"family":"Liu","given":"Zhu"},{"family":"Meng","given":"Jing"},{"family":"Zhang","given":"Ning"},{"family":"Wei","given":"Yi-Ming"}],"issued":{"date-parts":[["2017",1]]}}}],"schema":"https://github.com/citation-style-language/schema/raw/master/csl-citation.json"} </w:instrText>
      </w:r>
      <w:r w:rsidR="00ED0E84">
        <w:rPr>
          <w:lang w:val="en-GB"/>
        </w:rPr>
        <w:fldChar w:fldCharType="separate"/>
      </w:r>
      <w:r w:rsidR="007D6BD9" w:rsidRPr="007D6BD9">
        <w:rPr>
          <w:rFonts w:ascii="Calibri" w:hAnsi="Calibri" w:cs="Calibri"/>
          <w:kern w:val="0"/>
          <w:vertAlign w:val="superscript"/>
          <w:lang w:val="en-US"/>
        </w:rPr>
        <w:t>8–10</w:t>
      </w:r>
      <w:r w:rsidR="00ED0E84">
        <w:rPr>
          <w:lang w:val="en-GB"/>
        </w:rPr>
        <w:fldChar w:fldCharType="end"/>
      </w:r>
      <w:r w:rsidR="00B132BE">
        <w:rPr>
          <w:lang w:val="en-GB"/>
        </w:rPr>
        <w:t>.</w:t>
      </w:r>
    </w:p>
    <w:p w14:paraId="418B6FA5" w14:textId="08630D96" w:rsidR="00826A91" w:rsidRDefault="00520123" w:rsidP="00C20A1B">
      <w:pPr>
        <w:spacing w:after="240" w:line="360" w:lineRule="auto"/>
        <w:jc w:val="both"/>
        <w:rPr>
          <w:lang w:val="en-US"/>
        </w:rPr>
      </w:pPr>
      <w:r>
        <w:rPr>
          <w:lang w:val="en-US"/>
        </w:rPr>
        <w:t>We replaced the production-based, territorial GHG emissions of Austria in the EXIOBASE satellite account matrices to conform with official statistics of the Environment Agency Austria</w:t>
      </w:r>
      <w:r>
        <w:rPr>
          <w:lang w:val="en-US"/>
        </w:rPr>
        <w:fldChar w:fldCharType="begin"/>
      </w:r>
      <w:r w:rsidR="007D6BD9">
        <w:rPr>
          <w:lang w:val="en-US"/>
        </w:rPr>
        <w:instrText xml:space="preserve"> ADDIN ZOTERO_ITEM CSL_CITATION {"citationID":"ezZoWlD3","properties":{"formattedCitation":"\\super 11\\nosupersub{}","plainCitation":"11","noteIndex":0},"citationItems":[{"id":"2Y50qTtU/WIBz28W0","uris":["http://zotero.org/users/8314164/items/IN7EIAC4"],"itemData":{"id":15242,"type":"report","event-place":"Vienna, Austria","language":"en","publisher":"Environment Agency Austria","publisher-place":"Vienna, Austria","source":"Zotero","title":"Austria's Annual Greenhouse Gas Inventory 1990–2022","URL":"https://www.umweltbundesamt.at/fileadmin/site/publikationen/rep0892.pdf","author":[{"family":"Anderl","given":"Michael"},{"family":"Colson","given":"Jérôme"},{"family":"Gangl","given":"Marion"},{"family":"Kuschel","given":"Verena"}],"issued":{"date-parts":[["2024"]]}}}],"schema":"https://github.com/citation-style-language/schema/raw/master/csl-citation.json"} </w:instrText>
      </w:r>
      <w:r>
        <w:rPr>
          <w:lang w:val="en-US"/>
        </w:rPr>
        <w:fldChar w:fldCharType="separate"/>
      </w:r>
      <w:r w:rsidR="007D6BD9" w:rsidRPr="007D6BD9">
        <w:rPr>
          <w:rFonts w:ascii="Calibri" w:hAnsi="Calibri" w:cs="Calibri"/>
          <w:kern w:val="0"/>
          <w:vertAlign w:val="superscript"/>
          <w:lang w:val="en-US"/>
        </w:rPr>
        <w:t>11</w:t>
      </w:r>
      <w:r>
        <w:rPr>
          <w:lang w:val="en-US"/>
        </w:rPr>
        <w:fldChar w:fldCharType="end"/>
      </w:r>
      <w:r>
        <w:rPr>
          <w:lang w:val="en-US"/>
        </w:rPr>
        <w:t>.</w:t>
      </w:r>
      <w:r w:rsidR="00845A0D">
        <w:rPr>
          <w:lang w:val="en-US"/>
        </w:rPr>
        <w:t xml:space="preserve"> This includes the direct household emissions from mobility and heating which were taken from </w:t>
      </w:r>
      <w:r w:rsidR="00F076AE">
        <w:rPr>
          <w:lang w:val="en-US"/>
        </w:rPr>
        <w:t xml:space="preserve">separate </w:t>
      </w:r>
      <w:r w:rsidR="001C05A2">
        <w:rPr>
          <w:lang w:val="en-US"/>
        </w:rPr>
        <w:t xml:space="preserve">microcensus </w:t>
      </w:r>
      <w:r w:rsidR="00F076AE">
        <w:rPr>
          <w:lang w:val="en-US"/>
        </w:rPr>
        <w:t xml:space="preserve">surveys of the </w:t>
      </w:r>
      <w:r w:rsidR="001C05A2">
        <w:rPr>
          <w:lang w:val="en-US"/>
        </w:rPr>
        <w:t>Statistics Austria</w:t>
      </w:r>
      <w:r w:rsidR="00390B82" w:rsidRPr="00FB42E4">
        <w:rPr>
          <w:rStyle w:val="FootnoteReference"/>
        </w:rPr>
        <w:footnoteReference w:id="1"/>
      </w:r>
      <w:r w:rsidR="001C7213">
        <w:rPr>
          <w:lang w:val="en-US"/>
        </w:rPr>
        <w:t xml:space="preserve"> which collected data on motor and heating fuels used by private households</w:t>
      </w:r>
      <w:r w:rsidR="00F076AE">
        <w:rPr>
          <w:lang w:val="en-US"/>
        </w:rPr>
        <w:t>.</w:t>
      </w:r>
      <w:r w:rsidR="00ED0E84">
        <w:rPr>
          <w:lang w:val="en-US"/>
        </w:rPr>
        <w:t xml:space="preserve"> EXIOBASE tables provide 200 single products whose GHG footprints of household final demand were aggregated for five larger product groups which are displayed in Figure 1: mobility, housing and heating, food and </w:t>
      </w:r>
      <w:r w:rsidR="00ED0E84">
        <w:rPr>
          <w:lang w:val="en-US"/>
        </w:rPr>
        <w:lastRenderedPageBreak/>
        <w:t xml:space="preserve">beverages, services, and goods, </w:t>
      </w:r>
      <w:r w:rsidR="00E75C9B">
        <w:rPr>
          <w:lang w:val="en-US"/>
        </w:rPr>
        <w:t>as well as</w:t>
      </w:r>
      <w:r w:rsidR="00ED0E84">
        <w:rPr>
          <w:lang w:val="en-US"/>
        </w:rPr>
        <w:t xml:space="preserve"> the direct emissions from mobility and heating/housing.</w:t>
      </w:r>
    </w:p>
    <w:p w14:paraId="1A69F9BB" w14:textId="77777777" w:rsidR="00E22354" w:rsidRDefault="00E22354" w:rsidP="00C20A1B">
      <w:pPr>
        <w:spacing w:after="240" w:line="360" w:lineRule="auto"/>
        <w:jc w:val="both"/>
        <w:rPr>
          <w:lang w:val="en-US"/>
        </w:rPr>
      </w:pPr>
    </w:p>
    <w:p w14:paraId="4BC499AA" w14:textId="01B6B12F" w:rsidR="00C20A1B" w:rsidRPr="00FB42E4" w:rsidRDefault="00C20A1B" w:rsidP="00722813">
      <w:pPr>
        <w:rPr>
          <w:b/>
          <w:bCs/>
          <w:lang w:val="en-US"/>
        </w:rPr>
      </w:pPr>
      <w:r w:rsidRPr="00FB42E4">
        <w:rPr>
          <w:b/>
          <w:bCs/>
          <w:lang w:val="en-US"/>
        </w:rPr>
        <w:t>References</w:t>
      </w:r>
    </w:p>
    <w:p w14:paraId="5CD29584" w14:textId="77777777" w:rsidR="00722813" w:rsidRPr="00FB42E4" w:rsidRDefault="00722813" w:rsidP="00722813">
      <w:pPr>
        <w:rPr>
          <w:lang w:val="en-US"/>
        </w:rPr>
      </w:pPr>
    </w:p>
    <w:p w14:paraId="657D7A08" w14:textId="77777777" w:rsidR="00FB42E4" w:rsidRPr="00FB42E4" w:rsidRDefault="00C20A1B">
      <w:pPr>
        <w:widowControl w:val="0"/>
        <w:autoSpaceDE w:val="0"/>
        <w:autoSpaceDN w:val="0"/>
        <w:adjustRightInd w:val="0"/>
        <w:rPr>
          <w:rFonts w:ascii="Calibri" w:hAnsi="Calibri" w:cs="Calibri"/>
          <w:kern w:val="0"/>
        </w:rPr>
      </w:pPr>
      <w:r>
        <w:rPr>
          <w:lang w:val="en-US"/>
        </w:rPr>
        <w:fldChar w:fldCharType="begin"/>
      </w:r>
      <w:r w:rsidR="002A697D" w:rsidRPr="00FB42E4">
        <w:instrText xml:space="preserve"> ADDIN ZOTERO_BIBL {"uncited":[],"omitted":[],"custom":[]} CSL_BIBLIOGRAPHY </w:instrText>
      </w:r>
      <w:r>
        <w:rPr>
          <w:lang w:val="en-US"/>
        </w:rPr>
        <w:fldChar w:fldCharType="separate"/>
      </w:r>
      <w:r w:rsidR="00FB42E4" w:rsidRPr="00FB42E4">
        <w:rPr>
          <w:rFonts w:ascii="Calibri" w:hAnsi="Calibri" w:cs="Calibri"/>
          <w:kern w:val="0"/>
        </w:rPr>
        <w:t>1.</w:t>
      </w:r>
      <w:r w:rsidR="00FB42E4" w:rsidRPr="00FB42E4">
        <w:rPr>
          <w:rFonts w:ascii="Calibri" w:hAnsi="Calibri" w:cs="Calibri"/>
          <w:kern w:val="0"/>
        </w:rPr>
        <w:tab/>
        <w:t xml:space="preserve">Steurer, R., Buzogány, A., Scherhaufer, P., Clar, C. &amp; Nash, S. L. Governance und politische Beteiligung (Chapter 12). in </w:t>
      </w:r>
      <w:r w:rsidR="00FB42E4" w:rsidRPr="00FB42E4">
        <w:rPr>
          <w:rFonts w:ascii="Calibri" w:hAnsi="Calibri" w:cs="Calibri"/>
          <w:i/>
          <w:iCs/>
          <w:kern w:val="0"/>
        </w:rPr>
        <w:t>APCC Special Report: Strukturen für ein klimafreundliches Leben [structures for a climate-friendly living]</w:t>
      </w:r>
      <w:r w:rsidR="00FB42E4" w:rsidRPr="00FB42E4">
        <w:rPr>
          <w:rFonts w:ascii="Calibri" w:hAnsi="Calibri" w:cs="Calibri"/>
          <w:kern w:val="0"/>
        </w:rPr>
        <w:t xml:space="preserve"> (eds. Görg, C. et al.) 389–402 (Springer Berlin Heidelberg, Berlin, Heidelberg, 2023). doi:10.1007/978-3-662-66497-1_16.</w:t>
      </w:r>
    </w:p>
    <w:p w14:paraId="19BF82CA" w14:textId="77777777" w:rsidR="00FB42E4" w:rsidRPr="00FB42E4" w:rsidRDefault="00FB42E4">
      <w:pPr>
        <w:widowControl w:val="0"/>
        <w:autoSpaceDE w:val="0"/>
        <w:autoSpaceDN w:val="0"/>
        <w:adjustRightInd w:val="0"/>
        <w:rPr>
          <w:rFonts w:ascii="Calibri" w:hAnsi="Calibri" w:cs="Calibri"/>
          <w:kern w:val="0"/>
          <w:lang w:val="en-US"/>
        </w:rPr>
      </w:pPr>
      <w:r w:rsidRPr="00FB42E4">
        <w:rPr>
          <w:rFonts w:ascii="Calibri" w:hAnsi="Calibri" w:cs="Calibri"/>
          <w:kern w:val="0"/>
          <w:lang w:val="en-US"/>
        </w:rPr>
        <w:t>2.</w:t>
      </w:r>
      <w:r w:rsidRPr="00FB42E4">
        <w:rPr>
          <w:rFonts w:ascii="Calibri" w:hAnsi="Calibri" w:cs="Calibri"/>
          <w:kern w:val="0"/>
          <w:lang w:val="en-US"/>
        </w:rPr>
        <w:tab/>
        <w:t xml:space="preserve">Dubois, G. </w:t>
      </w:r>
      <w:r w:rsidRPr="00FB42E4">
        <w:rPr>
          <w:rFonts w:ascii="Calibri" w:hAnsi="Calibri" w:cs="Calibri"/>
          <w:i/>
          <w:iCs/>
          <w:kern w:val="0"/>
          <w:lang w:val="en-US"/>
        </w:rPr>
        <w:t>et al.</w:t>
      </w:r>
      <w:r w:rsidRPr="00FB42E4">
        <w:rPr>
          <w:rFonts w:ascii="Calibri" w:hAnsi="Calibri" w:cs="Calibri"/>
          <w:kern w:val="0"/>
          <w:lang w:val="en-US"/>
        </w:rPr>
        <w:t xml:space="preserve"> It starts at home? Climate policies targeting household consumption and behavioral decisions are key to low-carbon futures. </w:t>
      </w:r>
      <w:r w:rsidRPr="00FB42E4">
        <w:rPr>
          <w:rFonts w:ascii="Calibri" w:hAnsi="Calibri" w:cs="Calibri"/>
          <w:i/>
          <w:iCs/>
          <w:kern w:val="0"/>
          <w:lang w:val="en-US"/>
        </w:rPr>
        <w:t>Energy Research &amp; Social Science</w:t>
      </w:r>
      <w:r w:rsidRPr="00FB42E4">
        <w:rPr>
          <w:rFonts w:ascii="Calibri" w:hAnsi="Calibri" w:cs="Calibri"/>
          <w:kern w:val="0"/>
          <w:lang w:val="en-US"/>
        </w:rPr>
        <w:t xml:space="preserve"> </w:t>
      </w:r>
      <w:r w:rsidRPr="00FB42E4">
        <w:rPr>
          <w:rFonts w:ascii="Calibri" w:hAnsi="Calibri" w:cs="Calibri"/>
          <w:b/>
          <w:bCs/>
          <w:kern w:val="0"/>
          <w:lang w:val="en-US"/>
        </w:rPr>
        <w:t>52</w:t>
      </w:r>
      <w:r w:rsidRPr="00FB42E4">
        <w:rPr>
          <w:rFonts w:ascii="Calibri" w:hAnsi="Calibri" w:cs="Calibri"/>
          <w:kern w:val="0"/>
          <w:lang w:val="en-US"/>
        </w:rPr>
        <w:t>, 144–158 (2019).</w:t>
      </w:r>
    </w:p>
    <w:p w14:paraId="630938DA" w14:textId="77777777" w:rsidR="00FB42E4" w:rsidRPr="00FB42E4" w:rsidRDefault="00FB42E4">
      <w:pPr>
        <w:widowControl w:val="0"/>
        <w:autoSpaceDE w:val="0"/>
        <w:autoSpaceDN w:val="0"/>
        <w:adjustRightInd w:val="0"/>
        <w:rPr>
          <w:rFonts w:ascii="Calibri" w:hAnsi="Calibri" w:cs="Calibri"/>
          <w:kern w:val="0"/>
          <w:lang w:val="en-US"/>
        </w:rPr>
      </w:pPr>
      <w:r w:rsidRPr="00FB42E4">
        <w:rPr>
          <w:rFonts w:ascii="Calibri" w:hAnsi="Calibri" w:cs="Calibri"/>
          <w:kern w:val="0"/>
          <w:lang w:val="en-US"/>
        </w:rPr>
        <w:t>3.</w:t>
      </w:r>
      <w:r w:rsidRPr="00FB42E4">
        <w:rPr>
          <w:rFonts w:ascii="Calibri" w:hAnsi="Calibri" w:cs="Calibri"/>
          <w:kern w:val="0"/>
          <w:lang w:val="en-US"/>
        </w:rPr>
        <w:tab/>
        <w:t xml:space="preserve">Creutzig, F. </w:t>
      </w:r>
      <w:r w:rsidRPr="00FB42E4">
        <w:rPr>
          <w:rFonts w:ascii="Calibri" w:hAnsi="Calibri" w:cs="Calibri"/>
          <w:i/>
          <w:iCs/>
          <w:kern w:val="0"/>
          <w:lang w:val="en-US"/>
        </w:rPr>
        <w:t>et al.</w:t>
      </w:r>
      <w:r w:rsidRPr="00FB42E4">
        <w:rPr>
          <w:rFonts w:ascii="Calibri" w:hAnsi="Calibri" w:cs="Calibri"/>
          <w:kern w:val="0"/>
          <w:lang w:val="en-US"/>
        </w:rPr>
        <w:t xml:space="preserve"> Demand-side solutions to climate change mitigation consistent with high levels of well-being. </w:t>
      </w:r>
      <w:r w:rsidRPr="00FB42E4">
        <w:rPr>
          <w:rFonts w:ascii="Calibri" w:hAnsi="Calibri" w:cs="Calibri"/>
          <w:i/>
          <w:iCs/>
          <w:kern w:val="0"/>
          <w:lang w:val="en-US"/>
        </w:rPr>
        <w:t>Nat. Clim. Chang.</w:t>
      </w:r>
      <w:r w:rsidRPr="00FB42E4">
        <w:rPr>
          <w:rFonts w:ascii="Calibri" w:hAnsi="Calibri" w:cs="Calibri"/>
          <w:kern w:val="0"/>
          <w:lang w:val="en-US"/>
        </w:rPr>
        <w:t xml:space="preserve"> </w:t>
      </w:r>
      <w:r w:rsidRPr="00FB42E4">
        <w:rPr>
          <w:rFonts w:ascii="Calibri" w:hAnsi="Calibri" w:cs="Calibri"/>
          <w:b/>
          <w:bCs/>
          <w:kern w:val="0"/>
          <w:lang w:val="en-US"/>
        </w:rPr>
        <w:t>12</w:t>
      </w:r>
      <w:r w:rsidRPr="00FB42E4">
        <w:rPr>
          <w:rFonts w:ascii="Calibri" w:hAnsi="Calibri" w:cs="Calibri"/>
          <w:kern w:val="0"/>
          <w:lang w:val="en-US"/>
        </w:rPr>
        <w:t>, 36–46 (2022).</w:t>
      </w:r>
    </w:p>
    <w:p w14:paraId="73D6E93F" w14:textId="77777777" w:rsidR="00FB42E4" w:rsidRPr="00FB42E4" w:rsidRDefault="00FB42E4">
      <w:pPr>
        <w:widowControl w:val="0"/>
        <w:autoSpaceDE w:val="0"/>
        <w:autoSpaceDN w:val="0"/>
        <w:adjustRightInd w:val="0"/>
        <w:rPr>
          <w:rFonts w:ascii="Calibri" w:hAnsi="Calibri" w:cs="Calibri"/>
          <w:kern w:val="0"/>
          <w:lang w:val="en-US"/>
        </w:rPr>
      </w:pPr>
      <w:r w:rsidRPr="00FB42E4">
        <w:rPr>
          <w:rFonts w:ascii="Calibri" w:hAnsi="Calibri" w:cs="Calibri"/>
          <w:kern w:val="0"/>
          <w:lang w:val="en-US"/>
        </w:rPr>
        <w:t>4.</w:t>
      </w:r>
      <w:r w:rsidRPr="00FB42E4">
        <w:rPr>
          <w:rFonts w:ascii="Calibri" w:hAnsi="Calibri" w:cs="Calibri"/>
          <w:kern w:val="0"/>
          <w:lang w:val="en-US"/>
        </w:rPr>
        <w:tab/>
        <w:t xml:space="preserve">Stechemesser, A. </w:t>
      </w:r>
      <w:r w:rsidRPr="00FB42E4">
        <w:rPr>
          <w:rFonts w:ascii="Calibri" w:hAnsi="Calibri" w:cs="Calibri"/>
          <w:i/>
          <w:iCs/>
          <w:kern w:val="0"/>
          <w:lang w:val="en-US"/>
        </w:rPr>
        <w:t>et al.</w:t>
      </w:r>
      <w:r w:rsidRPr="00FB42E4">
        <w:rPr>
          <w:rFonts w:ascii="Calibri" w:hAnsi="Calibri" w:cs="Calibri"/>
          <w:kern w:val="0"/>
          <w:lang w:val="en-US"/>
        </w:rPr>
        <w:t xml:space="preserve"> Climate policies that achieved major emission reductions: Global evidence from two decades. </w:t>
      </w:r>
      <w:r w:rsidRPr="00FB42E4">
        <w:rPr>
          <w:rFonts w:ascii="Calibri" w:hAnsi="Calibri" w:cs="Calibri"/>
          <w:i/>
          <w:iCs/>
          <w:kern w:val="0"/>
          <w:lang w:val="en-US"/>
        </w:rPr>
        <w:t>Science</w:t>
      </w:r>
      <w:r w:rsidRPr="00FB42E4">
        <w:rPr>
          <w:rFonts w:ascii="Calibri" w:hAnsi="Calibri" w:cs="Calibri"/>
          <w:kern w:val="0"/>
          <w:lang w:val="en-US"/>
        </w:rPr>
        <w:t xml:space="preserve"> </w:t>
      </w:r>
      <w:r w:rsidRPr="00FB42E4">
        <w:rPr>
          <w:rFonts w:ascii="Calibri" w:hAnsi="Calibri" w:cs="Calibri"/>
          <w:b/>
          <w:bCs/>
          <w:kern w:val="0"/>
          <w:lang w:val="en-US"/>
        </w:rPr>
        <w:t>385</w:t>
      </w:r>
      <w:r w:rsidRPr="00FB42E4">
        <w:rPr>
          <w:rFonts w:ascii="Calibri" w:hAnsi="Calibri" w:cs="Calibri"/>
          <w:kern w:val="0"/>
          <w:lang w:val="en-US"/>
        </w:rPr>
        <w:t>, 884–892 (2024).</w:t>
      </w:r>
    </w:p>
    <w:p w14:paraId="16BEFEDD" w14:textId="77777777" w:rsidR="00FB42E4" w:rsidRPr="00FB42E4" w:rsidRDefault="00FB42E4">
      <w:pPr>
        <w:widowControl w:val="0"/>
        <w:autoSpaceDE w:val="0"/>
        <w:autoSpaceDN w:val="0"/>
        <w:adjustRightInd w:val="0"/>
        <w:rPr>
          <w:rFonts w:ascii="Calibri" w:hAnsi="Calibri" w:cs="Calibri"/>
          <w:kern w:val="0"/>
          <w:lang w:val="en-US"/>
        </w:rPr>
      </w:pPr>
      <w:r w:rsidRPr="00FB42E4">
        <w:rPr>
          <w:rFonts w:ascii="Calibri" w:hAnsi="Calibri" w:cs="Calibri"/>
          <w:kern w:val="0"/>
          <w:lang w:val="en-US"/>
        </w:rPr>
        <w:t>5.</w:t>
      </w:r>
      <w:r w:rsidRPr="00FB42E4">
        <w:rPr>
          <w:rFonts w:ascii="Calibri" w:hAnsi="Calibri" w:cs="Calibri"/>
          <w:kern w:val="0"/>
          <w:lang w:val="en-US"/>
        </w:rPr>
        <w:tab/>
        <w:t xml:space="preserve">Stadler, K. </w:t>
      </w:r>
      <w:r w:rsidRPr="00FB42E4">
        <w:rPr>
          <w:rFonts w:ascii="Calibri" w:hAnsi="Calibri" w:cs="Calibri"/>
          <w:i/>
          <w:iCs/>
          <w:kern w:val="0"/>
          <w:lang w:val="en-US"/>
        </w:rPr>
        <w:t>et al.</w:t>
      </w:r>
      <w:r w:rsidRPr="00FB42E4">
        <w:rPr>
          <w:rFonts w:ascii="Calibri" w:hAnsi="Calibri" w:cs="Calibri"/>
          <w:kern w:val="0"/>
          <w:lang w:val="en-US"/>
        </w:rPr>
        <w:t xml:space="preserve"> EXIOBASE 3: Developing a Time Series of Detailed Environmentally Extended Multi‐Regional Input‐Output Tables. </w:t>
      </w:r>
      <w:r w:rsidRPr="00FB42E4">
        <w:rPr>
          <w:rFonts w:ascii="Calibri" w:hAnsi="Calibri" w:cs="Calibri"/>
          <w:i/>
          <w:iCs/>
          <w:kern w:val="0"/>
          <w:lang w:val="en-US"/>
        </w:rPr>
        <w:t>J of Industrial Ecology</w:t>
      </w:r>
      <w:r w:rsidRPr="00FB42E4">
        <w:rPr>
          <w:rFonts w:ascii="Calibri" w:hAnsi="Calibri" w:cs="Calibri"/>
          <w:kern w:val="0"/>
          <w:lang w:val="en-US"/>
        </w:rPr>
        <w:t xml:space="preserve"> </w:t>
      </w:r>
      <w:r w:rsidRPr="00FB42E4">
        <w:rPr>
          <w:rFonts w:ascii="Calibri" w:hAnsi="Calibri" w:cs="Calibri"/>
          <w:b/>
          <w:bCs/>
          <w:kern w:val="0"/>
          <w:lang w:val="en-US"/>
        </w:rPr>
        <w:t>22</w:t>
      </w:r>
      <w:r w:rsidRPr="00FB42E4">
        <w:rPr>
          <w:rFonts w:ascii="Calibri" w:hAnsi="Calibri" w:cs="Calibri"/>
          <w:kern w:val="0"/>
          <w:lang w:val="en-US"/>
        </w:rPr>
        <w:t>, 502–515 (2018).</w:t>
      </w:r>
    </w:p>
    <w:p w14:paraId="38442A32" w14:textId="77777777" w:rsidR="00FB42E4" w:rsidRPr="00FB42E4" w:rsidRDefault="00FB42E4">
      <w:pPr>
        <w:widowControl w:val="0"/>
        <w:autoSpaceDE w:val="0"/>
        <w:autoSpaceDN w:val="0"/>
        <w:adjustRightInd w:val="0"/>
        <w:rPr>
          <w:rFonts w:ascii="Calibri" w:hAnsi="Calibri" w:cs="Calibri"/>
          <w:kern w:val="0"/>
          <w:lang w:val="en-US"/>
        </w:rPr>
      </w:pPr>
      <w:r w:rsidRPr="00FB42E4">
        <w:rPr>
          <w:rFonts w:ascii="Calibri" w:hAnsi="Calibri" w:cs="Calibri"/>
          <w:kern w:val="0"/>
          <w:lang w:val="en-US"/>
        </w:rPr>
        <w:t>6.</w:t>
      </w:r>
      <w:r w:rsidRPr="00FB42E4">
        <w:rPr>
          <w:rFonts w:ascii="Calibri" w:hAnsi="Calibri" w:cs="Calibri"/>
          <w:kern w:val="0"/>
          <w:lang w:val="en-US"/>
        </w:rPr>
        <w:tab/>
        <w:t xml:space="preserve">Leontief, W. W. Quantitative input and output relations in the economic systems of the United States. </w:t>
      </w:r>
      <w:r w:rsidRPr="00FB42E4">
        <w:rPr>
          <w:rFonts w:ascii="Calibri" w:hAnsi="Calibri" w:cs="Calibri"/>
          <w:i/>
          <w:iCs/>
          <w:kern w:val="0"/>
          <w:lang w:val="en-US"/>
        </w:rPr>
        <w:t>The review of economic statistics</w:t>
      </w:r>
      <w:r w:rsidRPr="00FB42E4">
        <w:rPr>
          <w:rFonts w:ascii="Calibri" w:hAnsi="Calibri" w:cs="Calibri"/>
          <w:kern w:val="0"/>
          <w:lang w:val="en-US"/>
        </w:rPr>
        <w:t xml:space="preserve"> 105–125 (1936).</w:t>
      </w:r>
    </w:p>
    <w:p w14:paraId="2A1385B3" w14:textId="77777777" w:rsidR="00FB42E4" w:rsidRPr="00FB42E4" w:rsidRDefault="00FB42E4">
      <w:pPr>
        <w:widowControl w:val="0"/>
        <w:autoSpaceDE w:val="0"/>
        <w:autoSpaceDN w:val="0"/>
        <w:adjustRightInd w:val="0"/>
        <w:rPr>
          <w:rFonts w:ascii="Calibri" w:hAnsi="Calibri" w:cs="Calibri"/>
          <w:kern w:val="0"/>
          <w:lang w:val="en-US"/>
        </w:rPr>
      </w:pPr>
      <w:r w:rsidRPr="00FB42E4">
        <w:rPr>
          <w:rFonts w:ascii="Calibri" w:hAnsi="Calibri" w:cs="Calibri"/>
          <w:kern w:val="0"/>
          <w:lang w:val="en-US"/>
        </w:rPr>
        <w:t>7.</w:t>
      </w:r>
      <w:r w:rsidRPr="00FB42E4">
        <w:rPr>
          <w:rFonts w:ascii="Calibri" w:hAnsi="Calibri" w:cs="Calibri"/>
          <w:kern w:val="0"/>
          <w:lang w:val="en-US"/>
        </w:rPr>
        <w:tab/>
        <w:t xml:space="preserve">Miller, R. E. &amp; Blair, P. D. </w:t>
      </w:r>
      <w:r w:rsidRPr="00FB42E4">
        <w:rPr>
          <w:rFonts w:ascii="Calibri" w:hAnsi="Calibri" w:cs="Calibri"/>
          <w:i/>
          <w:iCs/>
          <w:kern w:val="0"/>
          <w:lang w:val="en-US"/>
        </w:rPr>
        <w:t>Input-Output Analysis: Foundations and Extensions</w:t>
      </w:r>
      <w:r w:rsidRPr="00FB42E4">
        <w:rPr>
          <w:rFonts w:ascii="Calibri" w:hAnsi="Calibri" w:cs="Calibri"/>
          <w:kern w:val="0"/>
          <w:lang w:val="en-US"/>
        </w:rPr>
        <w:t>. (Cambridge university press, 2009).</w:t>
      </w:r>
    </w:p>
    <w:p w14:paraId="49FCED15" w14:textId="77777777" w:rsidR="00FB42E4" w:rsidRPr="00FB42E4" w:rsidRDefault="00FB42E4">
      <w:pPr>
        <w:widowControl w:val="0"/>
        <w:autoSpaceDE w:val="0"/>
        <w:autoSpaceDN w:val="0"/>
        <w:adjustRightInd w:val="0"/>
        <w:rPr>
          <w:rFonts w:ascii="Calibri" w:hAnsi="Calibri" w:cs="Calibri"/>
          <w:kern w:val="0"/>
          <w:lang w:val="en-US"/>
        </w:rPr>
      </w:pPr>
      <w:r w:rsidRPr="00FB42E4">
        <w:rPr>
          <w:rFonts w:ascii="Calibri" w:hAnsi="Calibri" w:cs="Calibri"/>
          <w:kern w:val="0"/>
          <w:lang w:val="en-US"/>
        </w:rPr>
        <w:t>8.</w:t>
      </w:r>
      <w:r w:rsidRPr="00FB42E4">
        <w:rPr>
          <w:rFonts w:ascii="Calibri" w:hAnsi="Calibri" w:cs="Calibri"/>
          <w:kern w:val="0"/>
          <w:lang w:val="en-US"/>
        </w:rPr>
        <w:tab/>
        <w:t xml:space="preserve">Malik, A., McBain, D., Wiedmann, T. O., Lenzen, M. &amp; Murray, J. Advancements in Input‐Output Models and Indicators for Consumption‐Based Accounting. </w:t>
      </w:r>
      <w:r w:rsidRPr="00FB42E4">
        <w:rPr>
          <w:rFonts w:ascii="Calibri" w:hAnsi="Calibri" w:cs="Calibri"/>
          <w:i/>
          <w:iCs/>
          <w:kern w:val="0"/>
          <w:lang w:val="en-US"/>
        </w:rPr>
        <w:t>J of Industrial Ecology</w:t>
      </w:r>
      <w:r w:rsidRPr="00FB42E4">
        <w:rPr>
          <w:rFonts w:ascii="Calibri" w:hAnsi="Calibri" w:cs="Calibri"/>
          <w:kern w:val="0"/>
          <w:lang w:val="en-US"/>
        </w:rPr>
        <w:t xml:space="preserve"> </w:t>
      </w:r>
      <w:r w:rsidRPr="00FB42E4">
        <w:rPr>
          <w:rFonts w:ascii="Calibri" w:hAnsi="Calibri" w:cs="Calibri"/>
          <w:b/>
          <w:bCs/>
          <w:kern w:val="0"/>
          <w:lang w:val="en-US"/>
        </w:rPr>
        <w:t>23</w:t>
      </w:r>
      <w:r w:rsidRPr="00FB42E4">
        <w:rPr>
          <w:rFonts w:ascii="Calibri" w:hAnsi="Calibri" w:cs="Calibri"/>
          <w:kern w:val="0"/>
          <w:lang w:val="en-US"/>
        </w:rPr>
        <w:t>, 300–312 (2019).</w:t>
      </w:r>
    </w:p>
    <w:p w14:paraId="07201C4B" w14:textId="77777777" w:rsidR="00FB42E4" w:rsidRPr="00FB42E4" w:rsidRDefault="00FB42E4">
      <w:pPr>
        <w:widowControl w:val="0"/>
        <w:autoSpaceDE w:val="0"/>
        <w:autoSpaceDN w:val="0"/>
        <w:adjustRightInd w:val="0"/>
        <w:rPr>
          <w:rFonts w:ascii="Calibri" w:hAnsi="Calibri" w:cs="Calibri"/>
          <w:kern w:val="0"/>
          <w:lang w:val="en-US"/>
        </w:rPr>
      </w:pPr>
      <w:r w:rsidRPr="00FB42E4">
        <w:rPr>
          <w:rFonts w:ascii="Calibri" w:hAnsi="Calibri" w:cs="Calibri"/>
          <w:kern w:val="0"/>
          <w:lang w:val="en-US"/>
        </w:rPr>
        <w:t>9.</w:t>
      </w:r>
      <w:r w:rsidRPr="00FB42E4">
        <w:rPr>
          <w:rFonts w:ascii="Calibri" w:hAnsi="Calibri" w:cs="Calibri"/>
          <w:kern w:val="0"/>
          <w:lang w:val="en-US"/>
        </w:rPr>
        <w:tab/>
        <w:t xml:space="preserve">Lenzen, M. </w:t>
      </w:r>
      <w:r w:rsidRPr="00FB42E4">
        <w:rPr>
          <w:rFonts w:ascii="Calibri" w:hAnsi="Calibri" w:cs="Calibri"/>
          <w:i/>
          <w:iCs/>
          <w:kern w:val="0"/>
          <w:lang w:val="en-US"/>
        </w:rPr>
        <w:t>et al.</w:t>
      </w:r>
      <w:r w:rsidRPr="00FB42E4">
        <w:rPr>
          <w:rFonts w:ascii="Calibri" w:hAnsi="Calibri" w:cs="Calibri"/>
          <w:kern w:val="0"/>
          <w:lang w:val="en-US"/>
        </w:rPr>
        <w:t xml:space="preserve"> The Global MRIO Lab–charting the world economy. </w:t>
      </w:r>
      <w:r w:rsidRPr="00FB42E4">
        <w:rPr>
          <w:rFonts w:ascii="Calibri" w:hAnsi="Calibri" w:cs="Calibri"/>
          <w:i/>
          <w:iCs/>
          <w:kern w:val="0"/>
          <w:lang w:val="en-US"/>
        </w:rPr>
        <w:t>Economic Systems Research</w:t>
      </w:r>
      <w:r w:rsidRPr="00FB42E4">
        <w:rPr>
          <w:rFonts w:ascii="Calibri" w:hAnsi="Calibri" w:cs="Calibri"/>
          <w:kern w:val="0"/>
          <w:lang w:val="en-US"/>
        </w:rPr>
        <w:t xml:space="preserve"> </w:t>
      </w:r>
      <w:r w:rsidRPr="00FB42E4">
        <w:rPr>
          <w:rFonts w:ascii="Calibri" w:hAnsi="Calibri" w:cs="Calibri"/>
          <w:b/>
          <w:bCs/>
          <w:kern w:val="0"/>
          <w:lang w:val="en-US"/>
        </w:rPr>
        <w:t>29</w:t>
      </w:r>
      <w:r w:rsidRPr="00FB42E4">
        <w:rPr>
          <w:rFonts w:ascii="Calibri" w:hAnsi="Calibri" w:cs="Calibri"/>
          <w:kern w:val="0"/>
          <w:lang w:val="en-US"/>
        </w:rPr>
        <w:t>, 158–186 (2017).</w:t>
      </w:r>
    </w:p>
    <w:p w14:paraId="75EA1EAB" w14:textId="77777777" w:rsidR="00FB42E4" w:rsidRPr="00FB42E4" w:rsidRDefault="00FB42E4">
      <w:pPr>
        <w:widowControl w:val="0"/>
        <w:autoSpaceDE w:val="0"/>
        <w:autoSpaceDN w:val="0"/>
        <w:adjustRightInd w:val="0"/>
        <w:rPr>
          <w:rFonts w:ascii="Calibri" w:hAnsi="Calibri" w:cs="Calibri"/>
          <w:kern w:val="0"/>
          <w:lang w:val="en-US"/>
        </w:rPr>
      </w:pPr>
      <w:r w:rsidRPr="00FB42E4">
        <w:rPr>
          <w:rFonts w:ascii="Calibri" w:hAnsi="Calibri" w:cs="Calibri"/>
          <w:kern w:val="0"/>
          <w:lang w:val="en-US"/>
        </w:rPr>
        <w:t>10.</w:t>
      </w:r>
      <w:r w:rsidRPr="00FB42E4">
        <w:rPr>
          <w:rFonts w:ascii="Calibri" w:hAnsi="Calibri" w:cs="Calibri"/>
          <w:kern w:val="0"/>
          <w:lang w:val="en-US"/>
        </w:rPr>
        <w:tab/>
        <w:t xml:space="preserve">Wiedenhofer, D. </w:t>
      </w:r>
      <w:r w:rsidRPr="00FB42E4">
        <w:rPr>
          <w:rFonts w:ascii="Calibri" w:hAnsi="Calibri" w:cs="Calibri"/>
          <w:i/>
          <w:iCs/>
          <w:kern w:val="0"/>
          <w:lang w:val="en-US"/>
        </w:rPr>
        <w:t>et al.</w:t>
      </w:r>
      <w:r w:rsidRPr="00FB42E4">
        <w:rPr>
          <w:rFonts w:ascii="Calibri" w:hAnsi="Calibri" w:cs="Calibri"/>
          <w:kern w:val="0"/>
          <w:lang w:val="en-US"/>
        </w:rPr>
        <w:t xml:space="preserve"> Unequal household carbon footprints in China. </w:t>
      </w:r>
      <w:r w:rsidRPr="00FB42E4">
        <w:rPr>
          <w:rFonts w:ascii="Calibri" w:hAnsi="Calibri" w:cs="Calibri"/>
          <w:i/>
          <w:iCs/>
          <w:kern w:val="0"/>
          <w:lang w:val="en-US"/>
        </w:rPr>
        <w:t>Nature Clim Change</w:t>
      </w:r>
      <w:r w:rsidRPr="00FB42E4">
        <w:rPr>
          <w:rFonts w:ascii="Calibri" w:hAnsi="Calibri" w:cs="Calibri"/>
          <w:kern w:val="0"/>
          <w:lang w:val="en-US"/>
        </w:rPr>
        <w:t xml:space="preserve"> </w:t>
      </w:r>
      <w:r w:rsidRPr="00FB42E4">
        <w:rPr>
          <w:rFonts w:ascii="Calibri" w:hAnsi="Calibri" w:cs="Calibri"/>
          <w:b/>
          <w:bCs/>
          <w:kern w:val="0"/>
          <w:lang w:val="en-US"/>
        </w:rPr>
        <w:t>7</w:t>
      </w:r>
      <w:r w:rsidRPr="00FB42E4">
        <w:rPr>
          <w:rFonts w:ascii="Calibri" w:hAnsi="Calibri" w:cs="Calibri"/>
          <w:kern w:val="0"/>
          <w:lang w:val="en-US"/>
        </w:rPr>
        <w:t>, 75–80 (2017).</w:t>
      </w:r>
    </w:p>
    <w:p w14:paraId="31A77385" w14:textId="77777777" w:rsidR="00FB42E4" w:rsidRPr="00FB42E4" w:rsidRDefault="00FB42E4">
      <w:pPr>
        <w:widowControl w:val="0"/>
        <w:autoSpaceDE w:val="0"/>
        <w:autoSpaceDN w:val="0"/>
        <w:adjustRightInd w:val="0"/>
        <w:rPr>
          <w:rFonts w:ascii="Calibri" w:hAnsi="Calibri" w:cs="Calibri"/>
          <w:kern w:val="0"/>
          <w:lang w:val="en-US"/>
        </w:rPr>
      </w:pPr>
      <w:r w:rsidRPr="00FB42E4">
        <w:rPr>
          <w:rFonts w:ascii="Calibri" w:hAnsi="Calibri" w:cs="Calibri"/>
          <w:kern w:val="0"/>
          <w:lang w:val="en-US"/>
        </w:rPr>
        <w:t>11.</w:t>
      </w:r>
      <w:r w:rsidRPr="00FB42E4">
        <w:rPr>
          <w:rFonts w:ascii="Calibri" w:hAnsi="Calibri" w:cs="Calibri"/>
          <w:kern w:val="0"/>
          <w:lang w:val="en-US"/>
        </w:rPr>
        <w:tab/>
        <w:t xml:space="preserve">Anderl, M., Colson, J., Gangl, M. &amp; Kuschel, V. </w:t>
      </w:r>
      <w:r w:rsidRPr="00FB42E4">
        <w:rPr>
          <w:rFonts w:ascii="Calibri" w:hAnsi="Calibri" w:cs="Calibri"/>
          <w:i/>
          <w:iCs/>
          <w:kern w:val="0"/>
          <w:lang w:val="en-US"/>
        </w:rPr>
        <w:t>Austria’s Annual Greenhouse Gas Inventory 1990–2022</w:t>
      </w:r>
      <w:r w:rsidRPr="00FB42E4">
        <w:rPr>
          <w:rFonts w:ascii="Calibri" w:hAnsi="Calibri" w:cs="Calibri"/>
          <w:kern w:val="0"/>
          <w:lang w:val="en-US"/>
        </w:rPr>
        <w:t>. https://www.umweltbundesamt.at/fileadmin/site/publikationen/rep0892.pdf (2024).</w:t>
      </w:r>
    </w:p>
    <w:p w14:paraId="571A7CF5" w14:textId="386B787C" w:rsidR="00C20A1B" w:rsidRPr="00111D89" w:rsidRDefault="00C20A1B" w:rsidP="00C20A1B">
      <w:pPr>
        <w:spacing w:after="240" w:line="360" w:lineRule="auto"/>
        <w:jc w:val="both"/>
        <w:rPr>
          <w:lang w:val="en-US"/>
        </w:rPr>
      </w:pPr>
      <w:r>
        <w:rPr>
          <w:lang w:val="en-US"/>
        </w:rPr>
        <w:fldChar w:fldCharType="end"/>
      </w:r>
    </w:p>
    <w:sectPr w:rsidR="00C20A1B" w:rsidRPr="00111D89">
      <w:footerReference w:type="even" r:id="rId11"/>
      <w:footerReference w:type="default" r:id="rId1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47D04D" w14:textId="77777777" w:rsidR="00616D02" w:rsidRDefault="00616D02" w:rsidP="00390B82">
      <w:r>
        <w:separator/>
      </w:r>
    </w:p>
  </w:endnote>
  <w:endnote w:type="continuationSeparator" w:id="0">
    <w:p w14:paraId="299B5C08" w14:textId="77777777" w:rsidR="00616D02" w:rsidRDefault="00616D02" w:rsidP="00390B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6639464"/>
      <w:docPartObj>
        <w:docPartGallery w:val="Page Numbers (Bottom of Page)"/>
        <w:docPartUnique/>
      </w:docPartObj>
    </w:sdtPr>
    <w:sdtEndPr>
      <w:rPr>
        <w:rStyle w:val="PageNumber"/>
      </w:rPr>
    </w:sdtEndPr>
    <w:sdtContent>
      <w:p w14:paraId="626AE909" w14:textId="191CF52E" w:rsidR="00CF3CE4" w:rsidRDefault="00CF3CE4" w:rsidP="005E46B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BECB1BA" w14:textId="77777777" w:rsidR="00CF3CE4" w:rsidRDefault="00CF3CE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65834006"/>
      <w:docPartObj>
        <w:docPartGallery w:val="Page Numbers (Bottom of Page)"/>
        <w:docPartUnique/>
      </w:docPartObj>
    </w:sdtPr>
    <w:sdtEndPr>
      <w:rPr>
        <w:rStyle w:val="PageNumber"/>
      </w:rPr>
    </w:sdtEndPr>
    <w:sdtContent>
      <w:p w14:paraId="254B0998" w14:textId="3FF166C5" w:rsidR="00CF3CE4" w:rsidRDefault="00CF3CE4" w:rsidP="005E46B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A2D4209" w14:textId="77777777" w:rsidR="00CF3CE4" w:rsidRDefault="00CF3CE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EC0A23" w14:textId="77777777" w:rsidR="00616D02" w:rsidRDefault="00616D02" w:rsidP="00390B82">
      <w:r>
        <w:separator/>
      </w:r>
    </w:p>
  </w:footnote>
  <w:footnote w:type="continuationSeparator" w:id="0">
    <w:p w14:paraId="406E5420" w14:textId="77777777" w:rsidR="00616D02" w:rsidRDefault="00616D02" w:rsidP="00390B82">
      <w:r>
        <w:continuationSeparator/>
      </w:r>
    </w:p>
  </w:footnote>
  <w:footnote w:id="1">
    <w:p w14:paraId="2701FAB6" w14:textId="2259C463" w:rsidR="00390B82" w:rsidRDefault="00390B82">
      <w:pPr>
        <w:pStyle w:val="FootnoteText"/>
      </w:pPr>
      <w:r w:rsidRPr="00FB42E4">
        <w:rPr>
          <w:rStyle w:val="FootnoteReference"/>
        </w:rPr>
        <w:footnoteRef/>
      </w:r>
      <w:r w:rsidRPr="00390B82">
        <w:rPr>
          <w:lang w:val="en-US"/>
        </w:rPr>
        <w:t xml:space="preserve"> </w:t>
      </w:r>
      <w:r w:rsidRPr="00D84FAC">
        <w:rPr>
          <w:lang w:val="en-US"/>
        </w:rPr>
        <w:t xml:space="preserve">Statistics Austria, Energy Statistics: </w:t>
      </w:r>
      <w:bookmarkStart w:id="0" w:name="_Hlk184026204"/>
      <w:r w:rsidRPr="00D84FAC">
        <w:rPr>
          <w:lang w:val="en-US"/>
        </w:rPr>
        <w:t xml:space="preserve">Microcensus energy use of households </w:t>
      </w:r>
      <w:bookmarkEnd w:id="0"/>
      <w:r w:rsidRPr="00D84FAC">
        <w:rPr>
          <w:lang w:val="en-US"/>
        </w:rPr>
        <w:t>2021/2022. Created on 01.09.2023</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536F1E"/>
    <w:multiLevelType w:val="hybridMultilevel"/>
    <w:tmpl w:val="2C700A42"/>
    <w:lvl w:ilvl="0" w:tplc="4B6CE57A">
      <w:start w:val="2"/>
      <w:numFmt w:val="bullet"/>
      <w:lvlText w:val="-"/>
      <w:lvlJc w:val="left"/>
      <w:pPr>
        <w:ind w:left="720" w:hanging="360"/>
      </w:pPr>
      <w:rPr>
        <w:rFonts w:ascii="Calibri" w:eastAsiaTheme="minorEastAsia" w:hAnsi="Calibri" w:cs="Calibr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40B22EAA"/>
    <w:multiLevelType w:val="hybridMultilevel"/>
    <w:tmpl w:val="0008782E"/>
    <w:lvl w:ilvl="0" w:tplc="7FDA42FA">
      <w:numFmt w:val="bullet"/>
      <w:lvlText w:val="-"/>
      <w:lvlJc w:val="left"/>
      <w:pPr>
        <w:ind w:left="720" w:hanging="360"/>
      </w:pPr>
      <w:rPr>
        <w:rFonts w:ascii="Calibri" w:eastAsiaTheme="minorEastAsia"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5CFC6DEB"/>
    <w:multiLevelType w:val="hybridMultilevel"/>
    <w:tmpl w:val="7E3A0596"/>
    <w:lvl w:ilvl="0" w:tplc="4B6CE57A">
      <w:start w:val="2"/>
      <w:numFmt w:val="bullet"/>
      <w:lvlText w:val="-"/>
      <w:lvlJc w:val="left"/>
      <w:pPr>
        <w:ind w:left="720" w:hanging="360"/>
      </w:pPr>
      <w:rPr>
        <w:rFonts w:ascii="Calibri" w:eastAsiaTheme="minorEastAsia" w:hAnsi="Calibri" w:cs="Calibr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AEA6824"/>
    <w:multiLevelType w:val="hybridMultilevel"/>
    <w:tmpl w:val="23EEA6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B7F4027"/>
    <w:multiLevelType w:val="hybridMultilevel"/>
    <w:tmpl w:val="86F4AB70"/>
    <w:lvl w:ilvl="0" w:tplc="C4EE9834">
      <w:start w:val="4"/>
      <w:numFmt w:val="bullet"/>
      <w:lvlText w:val="-"/>
      <w:lvlJc w:val="left"/>
      <w:pPr>
        <w:ind w:left="720" w:hanging="360"/>
      </w:pPr>
      <w:rPr>
        <w:rFonts w:ascii="Calibri" w:eastAsiaTheme="minorEastAsia" w:hAnsi="Calibri" w:cs="Calibr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75200CCF"/>
    <w:multiLevelType w:val="hybridMultilevel"/>
    <w:tmpl w:val="C39A841A"/>
    <w:lvl w:ilvl="0" w:tplc="8376D444">
      <w:start w:val="4"/>
      <w:numFmt w:val="bullet"/>
      <w:lvlText w:val="-"/>
      <w:lvlJc w:val="left"/>
      <w:pPr>
        <w:ind w:left="720" w:hanging="360"/>
      </w:pPr>
      <w:rPr>
        <w:rFonts w:ascii="Calibri" w:eastAsiaTheme="minorEastAsia" w:hAnsi="Calibri" w:cs="Calibr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29516931">
    <w:abstractNumId w:val="1"/>
  </w:num>
  <w:num w:numId="2" w16cid:durableId="1491022354">
    <w:abstractNumId w:val="4"/>
  </w:num>
  <w:num w:numId="3" w16cid:durableId="1514537446">
    <w:abstractNumId w:val="5"/>
  </w:num>
  <w:num w:numId="4" w16cid:durableId="223376403">
    <w:abstractNumId w:val="0"/>
  </w:num>
  <w:num w:numId="5" w16cid:durableId="1183473089">
    <w:abstractNumId w:val="3"/>
  </w:num>
  <w:num w:numId="6" w16cid:durableId="162256815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removePersonalInformation/>
  <w:removeDateAndTime/>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1D89"/>
    <w:rsid w:val="00016345"/>
    <w:rsid w:val="00087850"/>
    <w:rsid w:val="000C7188"/>
    <w:rsid w:val="000E0232"/>
    <w:rsid w:val="000E33E8"/>
    <w:rsid w:val="001018F7"/>
    <w:rsid w:val="001061CF"/>
    <w:rsid w:val="0010778B"/>
    <w:rsid w:val="00111D89"/>
    <w:rsid w:val="00122B6C"/>
    <w:rsid w:val="00124373"/>
    <w:rsid w:val="00161838"/>
    <w:rsid w:val="00166EBB"/>
    <w:rsid w:val="0017117F"/>
    <w:rsid w:val="001936B1"/>
    <w:rsid w:val="001A2031"/>
    <w:rsid w:val="001A3B52"/>
    <w:rsid w:val="001A560A"/>
    <w:rsid w:val="001B6350"/>
    <w:rsid w:val="001C05A2"/>
    <w:rsid w:val="001C7213"/>
    <w:rsid w:val="001D329E"/>
    <w:rsid w:val="001E7F3C"/>
    <w:rsid w:val="00203504"/>
    <w:rsid w:val="00280109"/>
    <w:rsid w:val="00282DC6"/>
    <w:rsid w:val="002846AF"/>
    <w:rsid w:val="00293A3B"/>
    <w:rsid w:val="002A697D"/>
    <w:rsid w:val="002B08B5"/>
    <w:rsid w:val="002F716A"/>
    <w:rsid w:val="00320B2E"/>
    <w:rsid w:val="00384B1C"/>
    <w:rsid w:val="0038740E"/>
    <w:rsid w:val="00390B82"/>
    <w:rsid w:val="00391421"/>
    <w:rsid w:val="003E2273"/>
    <w:rsid w:val="0041572B"/>
    <w:rsid w:val="00427136"/>
    <w:rsid w:val="00440DDA"/>
    <w:rsid w:val="004A095C"/>
    <w:rsid w:val="004F74EE"/>
    <w:rsid w:val="00516BC8"/>
    <w:rsid w:val="00520123"/>
    <w:rsid w:val="005241C4"/>
    <w:rsid w:val="005267D8"/>
    <w:rsid w:val="0053628E"/>
    <w:rsid w:val="00567985"/>
    <w:rsid w:val="005C12C9"/>
    <w:rsid w:val="005E2B4A"/>
    <w:rsid w:val="005E4366"/>
    <w:rsid w:val="006052FD"/>
    <w:rsid w:val="00616D02"/>
    <w:rsid w:val="006430E0"/>
    <w:rsid w:val="00647D20"/>
    <w:rsid w:val="00656CDC"/>
    <w:rsid w:val="0066401F"/>
    <w:rsid w:val="00666F53"/>
    <w:rsid w:val="00670BD4"/>
    <w:rsid w:val="006A5015"/>
    <w:rsid w:val="006B23BC"/>
    <w:rsid w:val="006B3BE3"/>
    <w:rsid w:val="006C0B1A"/>
    <w:rsid w:val="006F5B91"/>
    <w:rsid w:val="00700D36"/>
    <w:rsid w:val="00713215"/>
    <w:rsid w:val="00720012"/>
    <w:rsid w:val="00722813"/>
    <w:rsid w:val="007326C6"/>
    <w:rsid w:val="007D13CC"/>
    <w:rsid w:val="007D6BD9"/>
    <w:rsid w:val="007D7306"/>
    <w:rsid w:val="007E7B2B"/>
    <w:rsid w:val="008103B5"/>
    <w:rsid w:val="00826A91"/>
    <w:rsid w:val="00830EFF"/>
    <w:rsid w:val="00845A0D"/>
    <w:rsid w:val="008B145B"/>
    <w:rsid w:val="008D4A6C"/>
    <w:rsid w:val="00914DE5"/>
    <w:rsid w:val="00935ACF"/>
    <w:rsid w:val="00937E4E"/>
    <w:rsid w:val="0097263D"/>
    <w:rsid w:val="009973AA"/>
    <w:rsid w:val="009D1BBC"/>
    <w:rsid w:val="009D6204"/>
    <w:rsid w:val="009D74CB"/>
    <w:rsid w:val="009E2C7C"/>
    <w:rsid w:val="009E437E"/>
    <w:rsid w:val="009F113B"/>
    <w:rsid w:val="009F77EF"/>
    <w:rsid w:val="00A053D6"/>
    <w:rsid w:val="00A34D57"/>
    <w:rsid w:val="00A67A27"/>
    <w:rsid w:val="00A67DBD"/>
    <w:rsid w:val="00A80544"/>
    <w:rsid w:val="00A826C9"/>
    <w:rsid w:val="00AA04A9"/>
    <w:rsid w:val="00AA3E91"/>
    <w:rsid w:val="00AB5DB4"/>
    <w:rsid w:val="00AC2D77"/>
    <w:rsid w:val="00AC3350"/>
    <w:rsid w:val="00AC5BBB"/>
    <w:rsid w:val="00B00A76"/>
    <w:rsid w:val="00B01E1E"/>
    <w:rsid w:val="00B02194"/>
    <w:rsid w:val="00B02A0F"/>
    <w:rsid w:val="00B034FE"/>
    <w:rsid w:val="00B132BE"/>
    <w:rsid w:val="00B22940"/>
    <w:rsid w:val="00B548AF"/>
    <w:rsid w:val="00B654F7"/>
    <w:rsid w:val="00B8033C"/>
    <w:rsid w:val="00B92D0C"/>
    <w:rsid w:val="00BD6EDB"/>
    <w:rsid w:val="00BF3190"/>
    <w:rsid w:val="00BF64F3"/>
    <w:rsid w:val="00C04C69"/>
    <w:rsid w:val="00C15722"/>
    <w:rsid w:val="00C20A1B"/>
    <w:rsid w:val="00C26513"/>
    <w:rsid w:val="00C44C54"/>
    <w:rsid w:val="00C45F74"/>
    <w:rsid w:val="00C520A5"/>
    <w:rsid w:val="00C56ED2"/>
    <w:rsid w:val="00C771D9"/>
    <w:rsid w:val="00C921FB"/>
    <w:rsid w:val="00CB27E6"/>
    <w:rsid w:val="00CD3475"/>
    <w:rsid w:val="00CE0EE6"/>
    <w:rsid w:val="00CF3CE4"/>
    <w:rsid w:val="00D2347F"/>
    <w:rsid w:val="00D36966"/>
    <w:rsid w:val="00D52DB3"/>
    <w:rsid w:val="00D62382"/>
    <w:rsid w:val="00D63BB9"/>
    <w:rsid w:val="00D67F69"/>
    <w:rsid w:val="00DA0381"/>
    <w:rsid w:val="00DB47E0"/>
    <w:rsid w:val="00DD7D40"/>
    <w:rsid w:val="00DE0637"/>
    <w:rsid w:val="00E01A3A"/>
    <w:rsid w:val="00E22354"/>
    <w:rsid w:val="00E25780"/>
    <w:rsid w:val="00E56AE4"/>
    <w:rsid w:val="00E75C9B"/>
    <w:rsid w:val="00E951E7"/>
    <w:rsid w:val="00ED0E84"/>
    <w:rsid w:val="00EE2027"/>
    <w:rsid w:val="00F076AE"/>
    <w:rsid w:val="00F153C5"/>
    <w:rsid w:val="00F2313E"/>
    <w:rsid w:val="00F35BEC"/>
    <w:rsid w:val="00F5162A"/>
    <w:rsid w:val="00F547A9"/>
    <w:rsid w:val="00F80A7A"/>
    <w:rsid w:val="00FB42E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6691A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1D89"/>
    <w:rPr>
      <w:rFonts w:eastAsiaTheme="minorEastAsia"/>
    </w:rPr>
  </w:style>
  <w:style w:type="paragraph" w:styleId="Heading2">
    <w:name w:val="heading 2"/>
    <w:basedOn w:val="Normal"/>
    <w:next w:val="Normal"/>
    <w:link w:val="Heading2Char"/>
    <w:uiPriority w:val="9"/>
    <w:unhideWhenUsed/>
    <w:qFormat/>
    <w:rsid w:val="00B00A76"/>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italic">
    <w:name w:val="c_italic"/>
    <w:basedOn w:val="DefaultParagraphFont"/>
    <w:uiPriority w:val="1"/>
    <w:rsid w:val="00B01E1E"/>
    <w:rPr>
      <w:i/>
    </w:rPr>
  </w:style>
  <w:style w:type="character" w:styleId="CommentReference">
    <w:name w:val="annotation reference"/>
    <w:basedOn w:val="DefaultParagraphFont"/>
    <w:uiPriority w:val="99"/>
    <w:semiHidden/>
    <w:unhideWhenUsed/>
    <w:rsid w:val="00111D89"/>
    <w:rPr>
      <w:sz w:val="16"/>
      <w:szCs w:val="16"/>
    </w:rPr>
  </w:style>
  <w:style w:type="paragraph" w:styleId="CommentText">
    <w:name w:val="annotation text"/>
    <w:basedOn w:val="Normal"/>
    <w:link w:val="CommentTextChar"/>
    <w:uiPriority w:val="99"/>
    <w:unhideWhenUsed/>
    <w:rsid w:val="00111D89"/>
    <w:rPr>
      <w:sz w:val="20"/>
      <w:szCs w:val="20"/>
    </w:rPr>
  </w:style>
  <w:style w:type="character" w:customStyle="1" w:styleId="CommentTextChar">
    <w:name w:val="Comment Text Char"/>
    <w:basedOn w:val="DefaultParagraphFont"/>
    <w:link w:val="CommentText"/>
    <w:uiPriority w:val="99"/>
    <w:rsid w:val="00111D89"/>
    <w:rPr>
      <w:rFonts w:eastAsiaTheme="minorEastAsia"/>
      <w:sz w:val="20"/>
      <w:szCs w:val="20"/>
    </w:rPr>
  </w:style>
  <w:style w:type="paragraph" w:styleId="Revision">
    <w:name w:val="Revision"/>
    <w:hidden/>
    <w:uiPriority w:val="99"/>
    <w:semiHidden/>
    <w:rsid w:val="00B00A76"/>
    <w:rPr>
      <w:rFonts w:eastAsiaTheme="minorEastAsia"/>
    </w:rPr>
  </w:style>
  <w:style w:type="character" w:customStyle="1" w:styleId="Heading2Char">
    <w:name w:val="Heading 2 Char"/>
    <w:basedOn w:val="DefaultParagraphFont"/>
    <w:link w:val="Heading2"/>
    <w:uiPriority w:val="9"/>
    <w:rsid w:val="00B00A76"/>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203504"/>
    <w:rPr>
      <w:color w:val="0563C1" w:themeColor="hyperlink"/>
      <w:u w:val="single"/>
    </w:rPr>
  </w:style>
  <w:style w:type="paragraph" w:styleId="CommentSubject">
    <w:name w:val="annotation subject"/>
    <w:basedOn w:val="CommentText"/>
    <w:next w:val="CommentText"/>
    <w:link w:val="CommentSubjectChar"/>
    <w:uiPriority w:val="99"/>
    <w:semiHidden/>
    <w:unhideWhenUsed/>
    <w:rsid w:val="008103B5"/>
    <w:rPr>
      <w:b/>
      <w:bCs/>
    </w:rPr>
  </w:style>
  <w:style w:type="character" w:customStyle="1" w:styleId="CommentSubjectChar">
    <w:name w:val="Comment Subject Char"/>
    <w:basedOn w:val="CommentTextChar"/>
    <w:link w:val="CommentSubject"/>
    <w:uiPriority w:val="99"/>
    <w:semiHidden/>
    <w:rsid w:val="008103B5"/>
    <w:rPr>
      <w:rFonts w:eastAsiaTheme="minorEastAsia"/>
      <w:b/>
      <w:bCs/>
      <w:sz w:val="20"/>
      <w:szCs w:val="20"/>
    </w:rPr>
  </w:style>
  <w:style w:type="paragraph" w:styleId="ListParagraph">
    <w:name w:val="List Paragraph"/>
    <w:basedOn w:val="Normal"/>
    <w:uiPriority w:val="34"/>
    <w:qFormat/>
    <w:rsid w:val="00DB47E0"/>
    <w:pPr>
      <w:ind w:left="720"/>
      <w:contextualSpacing/>
    </w:pPr>
  </w:style>
  <w:style w:type="character" w:styleId="FollowedHyperlink">
    <w:name w:val="FollowedHyperlink"/>
    <w:basedOn w:val="DefaultParagraphFont"/>
    <w:uiPriority w:val="99"/>
    <w:semiHidden/>
    <w:unhideWhenUsed/>
    <w:rsid w:val="006C0B1A"/>
    <w:rPr>
      <w:color w:val="954F72" w:themeColor="followedHyperlink"/>
      <w:u w:val="single"/>
    </w:rPr>
  </w:style>
  <w:style w:type="character" w:styleId="UnresolvedMention">
    <w:name w:val="Unresolved Mention"/>
    <w:basedOn w:val="DefaultParagraphFont"/>
    <w:uiPriority w:val="99"/>
    <w:semiHidden/>
    <w:unhideWhenUsed/>
    <w:rsid w:val="006F5B91"/>
    <w:rPr>
      <w:color w:val="605E5C"/>
      <w:shd w:val="clear" w:color="auto" w:fill="E1DFDD"/>
    </w:rPr>
  </w:style>
  <w:style w:type="table" w:styleId="TableGrid">
    <w:name w:val="Table Grid"/>
    <w:basedOn w:val="TableNormal"/>
    <w:uiPriority w:val="39"/>
    <w:rsid w:val="00E257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C20A1B"/>
    <w:pPr>
      <w:tabs>
        <w:tab w:val="left" w:pos="264"/>
      </w:tabs>
      <w:spacing w:line="480" w:lineRule="auto"/>
      <w:ind w:left="264" w:hanging="264"/>
    </w:pPr>
  </w:style>
  <w:style w:type="paragraph" w:styleId="FootnoteText">
    <w:name w:val="footnote text"/>
    <w:basedOn w:val="Normal"/>
    <w:link w:val="FootnoteTextChar"/>
    <w:uiPriority w:val="99"/>
    <w:semiHidden/>
    <w:unhideWhenUsed/>
    <w:rsid w:val="00390B82"/>
    <w:rPr>
      <w:sz w:val="20"/>
      <w:szCs w:val="20"/>
    </w:rPr>
  </w:style>
  <w:style w:type="character" w:customStyle="1" w:styleId="FootnoteTextChar">
    <w:name w:val="Footnote Text Char"/>
    <w:basedOn w:val="DefaultParagraphFont"/>
    <w:link w:val="FootnoteText"/>
    <w:uiPriority w:val="99"/>
    <w:semiHidden/>
    <w:rsid w:val="00390B82"/>
    <w:rPr>
      <w:rFonts w:eastAsiaTheme="minorEastAsia"/>
      <w:sz w:val="20"/>
      <w:szCs w:val="20"/>
    </w:rPr>
  </w:style>
  <w:style w:type="character" w:styleId="FootnoteReference">
    <w:name w:val="footnote reference"/>
    <w:basedOn w:val="DefaultParagraphFont"/>
    <w:uiPriority w:val="99"/>
    <w:semiHidden/>
    <w:unhideWhenUsed/>
    <w:rsid w:val="00390B82"/>
    <w:rPr>
      <w:vertAlign w:val="superscript"/>
    </w:rPr>
  </w:style>
  <w:style w:type="paragraph" w:styleId="Footer">
    <w:name w:val="footer"/>
    <w:basedOn w:val="Normal"/>
    <w:link w:val="FooterChar"/>
    <w:uiPriority w:val="99"/>
    <w:unhideWhenUsed/>
    <w:rsid w:val="00CF3CE4"/>
    <w:pPr>
      <w:tabs>
        <w:tab w:val="center" w:pos="4536"/>
        <w:tab w:val="right" w:pos="9072"/>
      </w:tabs>
    </w:pPr>
  </w:style>
  <w:style w:type="character" w:customStyle="1" w:styleId="FooterChar">
    <w:name w:val="Footer Char"/>
    <w:basedOn w:val="DefaultParagraphFont"/>
    <w:link w:val="Footer"/>
    <w:uiPriority w:val="99"/>
    <w:rsid w:val="00CF3CE4"/>
    <w:rPr>
      <w:rFonts w:eastAsiaTheme="minorEastAsia"/>
    </w:rPr>
  </w:style>
  <w:style w:type="character" w:styleId="PageNumber">
    <w:name w:val="page number"/>
    <w:basedOn w:val="DefaultParagraphFont"/>
    <w:uiPriority w:val="99"/>
    <w:semiHidden/>
    <w:unhideWhenUsed/>
    <w:rsid w:val="00CF3CE4"/>
  </w:style>
  <w:style w:type="character" w:styleId="EndnoteReference">
    <w:name w:val="endnote reference"/>
    <w:basedOn w:val="DefaultParagraphFont"/>
    <w:uiPriority w:val="99"/>
    <w:semiHidden/>
    <w:unhideWhenUsed/>
    <w:rsid w:val="0012437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a2f1480d-fb12-415e-b421-4d4bdce11a2e">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87269DE00C555D48A4B0F83662C57C83" ma:contentTypeVersion="11" ma:contentTypeDescription="Create a new document." ma:contentTypeScope="" ma:versionID="b1301f178539de266cacf67326788dba">
  <xsd:schema xmlns:xsd="http://www.w3.org/2001/XMLSchema" xmlns:xs="http://www.w3.org/2001/XMLSchema" xmlns:p="http://schemas.microsoft.com/office/2006/metadata/properties" xmlns:ns2="a2f1480d-fb12-415e-b421-4d4bdce11a2e" targetNamespace="http://schemas.microsoft.com/office/2006/metadata/properties" ma:root="true" ma:fieldsID="2952f8b4721816c439c97a6f6eda5c7f" ns2:_="">
    <xsd:import namespace="a2f1480d-fb12-415e-b421-4d4bdce11a2e"/>
    <xsd:element name="properties">
      <xsd:complexType>
        <xsd:sequence>
          <xsd:element name="documentManagement">
            <xsd:complexType>
              <xsd:all>
                <xsd:element ref="ns2:lcf76f155ced4ddcb4097134ff3c332f"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f1480d-fb12-415e-b421-4d4bdce11a2e"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4fb58666-e629-4e5a-b780-b8dcc15b318b" ma:termSetId="09814cd3-568e-fe90-9814-8d621ff8fb84" ma:anchorId="fba54fb3-c3e1-fe81-a776-ca4b69148c4d" ma:open="true" ma:isKeyword="false">
      <xsd:complexType>
        <xsd:sequence>
          <xsd:element ref="pc:Terms" minOccurs="0" maxOccurs="1"/>
        </xsd:sequence>
      </xsd:complex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D25150C-3841-4A57-901C-A244669FE625}">
  <ds:schemaRefs>
    <ds:schemaRef ds:uri="http://schemas.openxmlformats.org/officeDocument/2006/bibliography"/>
  </ds:schemaRefs>
</ds:datastoreItem>
</file>

<file path=customXml/itemProps2.xml><?xml version="1.0" encoding="utf-8"?>
<ds:datastoreItem xmlns:ds="http://schemas.openxmlformats.org/officeDocument/2006/customXml" ds:itemID="{A4E7BB6F-DDD6-4727-8296-E3BD6640752B}">
  <ds:schemaRefs>
    <ds:schemaRef ds:uri="http://schemas.microsoft.com/office/2006/metadata/properties"/>
    <ds:schemaRef ds:uri="http://schemas.microsoft.com/office/infopath/2007/PartnerControls"/>
    <ds:schemaRef ds:uri="a2f1480d-fb12-415e-b421-4d4bdce11a2e"/>
  </ds:schemaRefs>
</ds:datastoreItem>
</file>

<file path=customXml/itemProps3.xml><?xml version="1.0" encoding="utf-8"?>
<ds:datastoreItem xmlns:ds="http://schemas.openxmlformats.org/officeDocument/2006/customXml" ds:itemID="{FB3D5E9E-75D8-4381-980C-507EF699FF42}">
  <ds:schemaRefs>
    <ds:schemaRef ds:uri="http://schemas.microsoft.com/sharepoint/v3/contenttype/forms"/>
  </ds:schemaRefs>
</ds:datastoreItem>
</file>

<file path=customXml/itemProps4.xml><?xml version="1.0" encoding="utf-8"?>
<ds:datastoreItem xmlns:ds="http://schemas.openxmlformats.org/officeDocument/2006/customXml" ds:itemID="{47897207-B7A4-46F9-B9F9-62E0FF4278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2f1480d-fb12-415e-b421-4d4bdce11a2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5966</Words>
  <Characters>34010</Characters>
  <Application>Microsoft Office Word</Application>
  <DocSecurity>0</DocSecurity>
  <Lines>283</Lines>
  <Paragraphs>79</Paragraphs>
  <ScaleCrop>false</ScaleCrop>
  <HeadingPairs>
    <vt:vector size="2" baseType="variant">
      <vt:variant>
        <vt:lpstr>Titel</vt:lpstr>
      </vt:variant>
      <vt:variant>
        <vt:i4>1</vt:i4>
      </vt:variant>
    </vt:vector>
  </HeadingPairs>
  <TitlesOfParts>
    <vt:vector size="1" baseType="lpstr">
      <vt:lpstr/>
    </vt:vector>
  </TitlesOfParts>
  <Manager/>
  <Company/>
  <LinksUpToDate>false</LinksUpToDate>
  <CharactersWithSpaces>39897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2025-02-18T22:04:00Z</dcterms:created>
  <dcterms:modified xsi:type="dcterms:W3CDTF">2025-02-18T22:04:00Z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id="2Y50qTtU"/&gt;&lt;style id="http://www.zotero.org/styles/nature-climate-change" hasBibliography="1" bibliographyStyleHasBeenSet="1"/&gt;&lt;prefs&gt;&lt;pref name="fieldType" value="Field"/&gt;&lt;/prefs&gt;&lt;/data&gt;</vt:lpwstr>
  </property>
  <property fmtid="{D5CDD505-2E9C-101B-9397-08002B2CF9AE}" pid="3" name="ContentTypeId">
    <vt:lpwstr>0x01010087269DE00C555D48A4B0F83662C57C83</vt:lpwstr>
  </property>
</Properties>
</file>