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A57" w:rsidRDefault="005671AA">
      <w:pPr>
        <w:rPr>
          <w:b/>
          <w:sz w:val="28"/>
          <w:szCs w:val="28"/>
          <w:lang w:val="en-US"/>
        </w:rPr>
      </w:pPr>
      <w:r w:rsidRPr="00A242D3">
        <w:rPr>
          <w:b/>
          <w:sz w:val="28"/>
          <w:szCs w:val="28"/>
          <w:lang w:val="en-US"/>
        </w:rPr>
        <w:t xml:space="preserve">Supplemental </w:t>
      </w:r>
      <w:r w:rsidR="00EF39D6">
        <w:rPr>
          <w:b/>
          <w:sz w:val="28"/>
          <w:szCs w:val="28"/>
          <w:lang w:val="en-US"/>
        </w:rPr>
        <w:t>methods</w:t>
      </w:r>
    </w:p>
    <w:p w:rsidR="005671AA" w:rsidRDefault="005671AA">
      <w:pPr>
        <w:rPr>
          <w:lang w:val="en-US"/>
        </w:rPr>
      </w:pPr>
    </w:p>
    <w:p w:rsidR="005671AA" w:rsidRPr="007E232E" w:rsidRDefault="005671AA" w:rsidP="005671AA">
      <w:pPr>
        <w:spacing w:after="0" w:line="480" w:lineRule="auto"/>
        <w:jc w:val="both"/>
        <w:rPr>
          <w:b/>
          <w:sz w:val="24"/>
          <w:szCs w:val="24"/>
          <w:lang w:val="en-US"/>
        </w:rPr>
      </w:pPr>
      <w:r w:rsidRPr="005671AA">
        <w:rPr>
          <w:b/>
          <w:i/>
          <w:iCs/>
          <w:sz w:val="24"/>
          <w:szCs w:val="24"/>
          <w:lang w:val="en-US"/>
        </w:rPr>
        <w:t xml:space="preserve">In </w:t>
      </w:r>
      <w:proofErr w:type="spellStart"/>
      <w:r w:rsidRPr="005671AA">
        <w:rPr>
          <w:b/>
          <w:i/>
          <w:iCs/>
          <w:sz w:val="24"/>
          <w:szCs w:val="24"/>
          <w:lang w:val="en-US"/>
        </w:rPr>
        <w:t>silico</w:t>
      </w:r>
      <w:proofErr w:type="spellEnd"/>
      <w:r w:rsidRPr="007E232E">
        <w:rPr>
          <w:b/>
          <w:sz w:val="24"/>
          <w:szCs w:val="24"/>
          <w:lang w:val="en-US"/>
        </w:rPr>
        <w:t xml:space="preserve"> structural </w:t>
      </w:r>
      <w:proofErr w:type="spellStart"/>
      <w:r w:rsidRPr="007E232E">
        <w:rPr>
          <w:b/>
          <w:sz w:val="24"/>
          <w:szCs w:val="24"/>
          <w:lang w:val="en-US"/>
        </w:rPr>
        <w:t>mode</w:t>
      </w:r>
      <w:r w:rsidR="00DC49F7">
        <w:rPr>
          <w:b/>
          <w:sz w:val="24"/>
          <w:szCs w:val="24"/>
          <w:lang w:val="en-US"/>
        </w:rPr>
        <w:t>l</w:t>
      </w:r>
      <w:r w:rsidRPr="007E232E">
        <w:rPr>
          <w:b/>
          <w:sz w:val="24"/>
          <w:szCs w:val="24"/>
          <w:lang w:val="en-US"/>
        </w:rPr>
        <w:t>ling</w:t>
      </w:r>
      <w:proofErr w:type="spellEnd"/>
    </w:p>
    <w:p w:rsidR="00FB0AFF" w:rsidRDefault="00FB0AFF" w:rsidP="00FB0AFF">
      <w:pPr>
        <w:spacing w:after="0" w:line="480" w:lineRule="auto"/>
        <w:jc w:val="both"/>
        <w:rPr>
          <w:lang w:val="en-US"/>
        </w:rPr>
      </w:pPr>
      <w:r w:rsidRPr="00FB0AFF">
        <w:rPr>
          <w:i/>
          <w:lang w:val="en-US"/>
        </w:rPr>
        <w:t>DLG3</w:t>
      </w:r>
      <w:r w:rsidRPr="00E77F24">
        <w:rPr>
          <w:lang w:val="en-US"/>
        </w:rPr>
        <w:t xml:space="preserve"> </w:t>
      </w:r>
      <w:r>
        <w:rPr>
          <w:lang w:val="en-US"/>
        </w:rPr>
        <w:t>variants</w:t>
      </w:r>
      <w:r w:rsidRPr="00E77F24">
        <w:rPr>
          <w:lang w:val="en-US"/>
        </w:rPr>
        <w:t xml:space="preserve"> models</w:t>
      </w:r>
      <w:r w:rsidR="00960DE8">
        <w:rPr>
          <w:lang w:val="en-US"/>
        </w:rPr>
        <w:t xml:space="preserve"> of our cohort’s variants </w:t>
      </w:r>
      <w:r w:rsidRPr="00E77F24">
        <w:rPr>
          <w:lang w:val="en-US"/>
        </w:rPr>
        <w:t xml:space="preserve">have been calculated from </w:t>
      </w:r>
      <w:proofErr w:type="spellStart"/>
      <w:r w:rsidRPr="00E77F24">
        <w:rPr>
          <w:lang w:val="en-US"/>
        </w:rPr>
        <w:t>AlphaFold</w:t>
      </w:r>
      <w:proofErr w:type="spellEnd"/>
      <w:r w:rsidRPr="00E77F24">
        <w:rPr>
          <w:lang w:val="en-US"/>
        </w:rPr>
        <w:t xml:space="preserve"> prediction model of the </w:t>
      </w:r>
      <w:r w:rsidR="00027C50" w:rsidRPr="00E77F24">
        <w:rPr>
          <w:lang w:val="en-US"/>
        </w:rPr>
        <w:t>full-length</w:t>
      </w:r>
      <w:r w:rsidRPr="00E77F24">
        <w:rPr>
          <w:lang w:val="en-US"/>
        </w:rPr>
        <w:t xml:space="preserve"> protein and </w:t>
      </w:r>
      <w:r>
        <w:rPr>
          <w:lang w:val="en-US"/>
        </w:rPr>
        <w:t>PDB</w:t>
      </w:r>
      <w:r w:rsidRPr="00E77F24">
        <w:rPr>
          <w:lang w:val="en-US"/>
        </w:rPr>
        <w:t xml:space="preserve"> data (</w:t>
      </w:r>
      <w:hyperlink r:id="rId4" w:history="1">
        <w:r w:rsidRPr="008D60BE">
          <w:rPr>
            <w:rStyle w:val="Lienhypertexte"/>
            <w:lang w:val="en-US"/>
          </w:rPr>
          <w:t>https://www.rcsb.org/structure/1UM7</w:t>
        </w:r>
      </w:hyperlink>
      <w:r w:rsidRPr="00E77F24">
        <w:rPr>
          <w:lang w:val="en-US"/>
        </w:rPr>
        <w:t>) available online. For each model</w:t>
      </w:r>
      <w:r>
        <w:rPr>
          <w:lang w:val="en-US"/>
        </w:rPr>
        <w:t>,</w:t>
      </w:r>
      <w:r w:rsidRPr="00E77F24">
        <w:rPr>
          <w:lang w:val="en-US"/>
        </w:rPr>
        <w:t xml:space="preserve"> a protein segment was selected to include the </w:t>
      </w:r>
      <w:r>
        <w:rPr>
          <w:lang w:val="en-US"/>
        </w:rPr>
        <w:t>variant and surrounding regions. For p</w:t>
      </w:r>
      <w:proofErr w:type="gramStart"/>
      <w:r>
        <w:rPr>
          <w:lang w:val="en-US"/>
        </w:rPr>
        <w:t>.(</w:t>
      </w:r>
      <w:proofErr w:type="gramEnd"/>
      <w:r>
        <w:rPr>
          <w:lang w:val="en-US"/>
        </w:rPr>
        <w:t>Arg385Cys),</w:t>
      </w:r>
      <w:r w:rsidRPr="00E77F24">
        <w:rPr>
          <w:lang w:val="en-US"/>
        </w:rPr>
        <w:t xml:space="preserve"> the segment was selected between </w:t>
      </w:r>
      <w:r>
        <w:rPr>
          <w:lang w:val="en-US"/>
        </w:rPr>
        <w:t xml:space="preserve">residues </w:t>
      </w:r>
      <w:r w:rsidRPr="00E77F24">
        <w:rPr>
          <w:lang w:val="en-US"/>
        </w:rPr>
        <w:t>355 and 464</w:t>
      </w:r>
      <w:r>
        <w:rPr>
          <w:lang w:val="en-US"/>
        </w:rPr>
        <w:t>,</w:t>
      </w:r>
      <w:r w:rsidRPr="00E77F24">
        <w:rPr>
          <w:lang w:val="en-US"/>
        </w:rPr>
        <w:t xml:space="preserve"> </w:t>
      </w:r>
      <w:r>
        <w:rPr>
          <w:lang w:val="en-US"/>
        </w:rPr>
        <w:t>including</w:t>
      </w:r>
      <w:r w:rsidRPr="00E77F24">
        <w:rPr>
          <w:lang w:val="en-US"/>
        </w:rPr>
        <w:t xml:space="preserve"> both the </w:t>
      </w:r>
      <w:r>
        <w:rPr>
          <w:lang w:val="en-US"/>
        </w:rPr>
        <w:t>variant</w:t>
      </w:r>
      <w:r w:rsidRPr="00E77F24">
        <w:rPr>
          <w:lang w:val="en-US"/>
        </w:rPr>
        <w:t xml:space="preserve"> and the PDZ3 domain. For </w:t>
      </w:r>
      <w:r>
        <w:rPr>
          <w:lang w:val="en-US"/>
        </w:rPr>
        <w:t>p</w:t>
      </w:r>
      <w:proofErr w:type="gramStart"/>
      <w:r>
        <w:rPr>
          <w:lang w:val="en-US"/>
        </w:rPr>
        <w:t>.(</w:t>
      </w:r>
      <w:proofErr w:type="gramEnd"/>
      <w:r>
        <w:rPr>
          <w:lang w:val="en-US"/>
        </w:rPr>
        <w:t>Arg</w:t>
      </w:r>
      <w:r w:rsidRPr="00E77F24">
        <w:rPr>
          <w:lang w:val="en-US"/>
        </w:rPr>
        <w:t>574</w:t>
      </w:r>
      <w:r>
        <w:rPr>
          <w:lang w:val="en-US"/>
        </w:rPr>
        <w:t>Gln), the segment spans from residues</w:t>
      </w:r>
      <w:r w:rsidRPr="00E77F24">
        <w:rPr>
          <w:lang w:val="en-US"/>
        </w:rPr>
        <w:t xml:space="preserve"> 501 to 581. F</w:t>
      </w:r>
      <w:r>
        <w:rPr>
          <w:lang w:val="en-US"/>
        </w:rPr>
        <w:t>or p</w:t>
      </w:r>
      <w:proofErr w:type="gramStart"/>
      <w:r>
        <w:rPr>
          <w:lang w:val="en-US"/>
        </w:rPr>
        <w:t>.(</w:t>
      </w:r>
      <w:proofErr w:type="gramEnd"/>
      <w:r>
        <w:rPr>
          <w:lang w:val="en-US"/>
        </w:rPr>
        <w:t>Arg661Trp), the segment was selected from residues 615 to 700</w:t>
      </w:r>
      <w:r w:rsidRPr="00E77F24">
        <w:rPr>
          <w:lang w:val="en-US"/>
        </w:rPr>
        <w:t xml:space="preserve">. </w:t>
      </w:r>
    </w:p>
    <w:p w:rsidR="00FB0AFF" w:rsidRDefault="00FB0AFF" w:rsidP="00FB0AFF">
      <w:pPr>
        <w:spacing w:after="0" w:line="480" w:lineRule="auto"/>
        <w:jc w:val="both"/>
        <w:rPr>
          <w:lang w:val="en-US"/>
        </w:rPr>
      </w:pPr>
      <w:r w:rsidRPr="00E77F24">
        <w:rPr>
          <w:lang w:val="en-US"/>
        </w:rPr>
        <w:t xml:space="preserve">The molecular visualization system used was </w:t>
      </w:r>
      <w:proofErr w:type="spellStart"/>
      <w:r w:rsidRPr="00E77F24">
        <w:rPr>
          <w:lang w:val="en-US"/>
        </w:rPr>
        <w:t>PyM</w:t>
      </w:r>
      <w:r>
        <w:rPr>
          <w:lang w:val="en-US"/>
        </w:rPr>
        <w:t>OL</w:t>
      </w:r>
      <w:proofErr w:type="spellEnd"/>
      <w:r>
        <w:rPr>
          <w:lang w:val="en-US"/>
        </w:rPr>
        <w:t xml:space="preserve"> 2.5.4</w:t>
      </w:r>
      <w:r w:rsidRPr="00E77F24">
        <w:rPr>
          <w:lang w:val="en-US"/>
        </w:rPr>
        <w:t>.</w:t>
      </w:r>
      <w:r>
        <w:rPr>
          <w:lang w:val="en-US"/>
        </w:rPr>
        <w:t xml:space="preserve"> </w:t>
      </w:r>
      <w:r w:rsidRPr="00E77F24">
        <w:rPr>
          <w:lang w:val="en-US"/>
        </w:rPr>
        <w:t xml:space="preserve">For each representation, segments were illustrated as “cartoon” views in 70% gray. The desired </w:t>
      </w:r>
      <w:r>
        <w:rPr>
          <w:lang w:val="en-US"/>
        </w:rPr>
        <w:t>residue</w:t>
      </w:r>
      <w:r w:rsidRPr="00E77F24">
        <w:rPr>
          <w:lang w:val="en-US"/>
        </w:rPr>
        <w:t xml:space="preserve"> was represented as sphere and alpha carbon was hidden. When relevant</w:t>
      </w:r>
      <w:r>
        <w:rPr>
          <w:lang w:val="en-US"/>
        </w:rPr>
        <w:t>,</w:t>
      </w:r>
      <w:r w:rsidRPr="00E77F24">
        <w:rPr>
          <w:lang w:val="en-US"/>
        </w:rPr>
        <w:t xml:space="preserve"> the PDZ3 domain was represented as surface with transparency set to 30% and pseudo colored in green.</w:t>
      </w:r>
      <w:r>
        <w:rPr>
          <w:lang w:val="en-US"/>
        </w:rPr>
        <w:t xml:space="preserve"> </w:t>
      </w:r>
    </w:p>
    <w:p w:rsidR="00FB0AFF" w:rsidRPr="00E77F24" w:rsidRDefault="00FB0AFF" w:rsidP="00FB0AFF">
      <w:pPr>
        <w:spacing w:after="0" w:line="480" w:lineRule="auto"/>
        <w:jc w:val="both"/>
        <w:rPr>
          <w:lang w:val="en-US"/>
        </w:rPr>
      </w:pPr>
      <w:r>
        <w:rPr>
          <w:lang w:val="en-US"/>
        </w:rPr>
        <w:t>Variant</w:t>
      </w:r>
      <w:r w:rsidRPr="00E77F24">
        <w:rPr>
          <w:lang w:val="en-US"/>
        </w:rPr>
        <w:t xml:space="preserve"> models were obtained using the “Wizard Mutagenesis” option in </w:t>
      </w:r>
      <w:proofErr w:type="spellStart"/>
      <w:r w:rsidRPr="00E77F24">
        <w:rPr>
          <w:lang w:val="en-US"/>
        </w:rPr>
        <w:t>PyM</w:t>
      </w:r>
      <w:r>
        <w:rPr>
          <w:lang w:val="en-US"/>
        </w:rPr>
        <w:t>OL</w:t>
      </w:r>
      <w:proofErr w:type="spellEnd"/>
      <w:r>
        <w:rPr>
          <w:lang w:val="en-US"/>
        </w:rPr>
        <w:t xml:space="preserve"> with selection of the</w:t>
      </w:r>
      <w:r w:rsidRPr="00E77F24">
        <w:rPr>
          <w:lang w:val="en-US"/>
        </w:rPr>
        <w:t xml:space="preserve"> </w:t>
      </w:r>
      <w:r>
        <w:rPr>
          <w:lang w:val="en-US"/>
        </w:rPr>
        <w:t>residue of interest to perform the simulation.</w:t>
      </w:r>
      <w:r w:rsidRPr="00E77F24">
        <w:rPr>
          <w:lang w:val="en-US"/>
        </w:rPr>
        <w:t xml:space="preserve"> When different </w:t>
      </w:r>
      <w:proofErr w:type="spellStart"/>
      <w:r w:rsidRPr="00E77F24">
        <w:rPr>
          <w:lang w:val="en-US"/>
        </w:rPr>
        <w:t>rotamers</w:t>
      </w:r>
      <w:proofErr w:type="spellEnd"/>
      <w:r w:rsidRPr="00E77F24">
        <w:rPr>
          <w:lang w:val="en-US"/>
        </w:rPr>
        <w:t xml:space="preserve"> were available, the one providing the least level of constrains was selected. Finally, electrostatic interacti</w:t>
      </w:r>
      <w:r>
        <w:rPr>
          <w:lang w:val="en-US"/>
        </w:rPr>
        <w:t>ons were calculated for both wild-type</w:t>
      </w:r>
      <w:r w:rsidRPr="00E77F24">
        <w:rPr>
          <w:lang w:val="en-US"/>
        </w:rPr>
        <w:t xml:space="preserve"> and simulated </w:t>
      </w:r>
      <w:r>
        <w:rPr>
          <w:lang w:val="en-US"/>
        </w:rPr>
        <w:t>variant</w:t>
      </w:r>
      <w:r w:rsidRPr="00E77F24">
        <w:rPr>
          <w:lang w:val="en-US"/>
        </w:rPr>
        <w:t xml:space="preserve"> situations.</w:t>
      </w:r>
    </w:p>
    <w:p w:rsidR="00FB0AFF" w:rsidRDefault="00FB0AFF" w:rsidP="00FB0AFF">
      <w:pPr>
        <w:spacing w:after="0" w:line="480" w:lineRule="auto"/>
        <w:jc w:val="both"/>
        <w:rPr>
          <w:lang w:val="en-US"/>
        </w:rPr>
      </w:pPr>
      <w:r w:rsidRPr="00E77F24">
        <w:rPr>
          <w:lang w:val="en-US"/>
        </w:rPr>
        <w:t>Electrostatic interactions were rendered using the APBS (</w:t>
      </w:r>
      <w:proofErr w:type="spellStart"/>
      <w:r w:rsidRPr="00E77F24">
        <w:rPr>
          <w:lang w:val="en-US"/>
        </w:rPr>
        <w:t>Adaptative</w:t>
      </w:r>
      <w:proofErr w:type="spellEnd"/>
      <w:r w:rsidRPr="00E77F24">
        <w:rPr>
          <w:lang w:val="en-US"/>
        </w:rPr>
        <w:t xml:space="preserve"> Poisson-Boltzmann Solver) module within </w:t>
      </w:r>
      <w:proofErr w:type="spellStart"/>
      <w:r w:rsidRPr="00E77F24">
        <w:rPr>
          <w:lang w:val="en-US"/>
        </w:rPr>
        <w:t>PyM</w:t>
      </w:r>
      <w:r>
        <w:rPr>
          <w:lang w:val="en-US"/>
        </w:rPr>
        <w:t>OL</w:t>
      </w:r>
      <w:proofErr w:type="spellEnd"/>
      <w:r w:rsidRPr="00E77F24">
        <w:rPr>
          <w:lang w:val="en-US"/>
        </w:rPr>
        <w:t xml:space="preserve">. Rendered calculations were superimposed to the segments with transparency set to 0%. </w:t>
      </w:r>
    </w:p>
    <w:p w:rsidR="0054798C" w:rsidRDefault="00200B15" w:rsidP="00FB0AFF">
      <w:pPr>
        <w:spacing w:after="0" w:line="480" w:lineRule="auto"/>
        <w:jc w:val="both"/>
        <w:rPr>
          <w:highlight w:val="yellow"/>
          <w:lang w:val="en-US"/>
        </w:rPr>
      </w:pPr>
      <w:r>
        <w:rPr>
          <w:lang w:val="en-US"/>
        </w:rPr>
        <w:t>M</w:t>
      </w:r>
      <w:r w:rsidR="00EC1141" w:rsidRPr="00E77F24">
        <w:rPr>
          <w:lang w:val="en-US"/>
        </w:rPr>
        <w:t>odels</w:t>
      </w:r>
      <w:r w:rsidR="00EC1141">
        <w:rPr>
          <w:lang w:val="en-US"/>
        </w:rPr>
        <w:t xml:space="preserve"> of </w:t>
      </w:r>
      <w:r w:rsidRPr="00200B15">
        <w:rPr>
          <w:i/>
          <w:iCs/>
          <w:lang w:val="en-US"/>
        </w:rPr>
        <w:t>DLG3</w:t>
      </w:r>
      <w:r w:rsidR="00EC1141">
        <w:rPr>
          <w:lang w:val="en-US"/>
        </w:rPr>
        <w:t xml:space="preserve"> variants</w:t>
      </w:r>
      <w:r w:rsidRPr="00200B15">
        <w:rPr>
          <w:lang w:val="en-US"/>
        </w:rPr>
        <w:t xml:space="preserve"> </w:t>
      </w:r>
      <w:r>
        <w:rPr>
          <w:lang w:val="en-US"/>
        </w:rPr>
        <w:t>from the literature were</w:t>
      </w:r>
      <w:r w:rsidR="00EC1141">
        <w:rPr>
          <w:lang w:val="en-US"/>
        </w:rPr>
        <w:t xml:space="preserve"> performed when no models were </w:t>
      </w:r>
      <w:r w:rsidR="00DA7E93">
        <w:rPr>
          <w:lang w:val="en-US"/>
        </w:rPr>
        <w:t>available</w:t>
      </w:r>
      <w:r>
        <w:rPr>
          <w:lang w:val="en-US"/>
        </w:rPr>
        <w:t>. They were</w:t>
      </w:r>
      <w:r w:rsidR="00EC1141" w:rsidRPr="00E77F24">
        <w:rPr>
          <w:lang w:val="en-US"/>
        </w:rPr>
        <w:t xml:space="preserve"> calculated from</w:t>
      </w:r>
      <w:r w:rsidR="00EC1141">
        <w:rPr>
          <w:lang w:val="en-US"/>
        </w:rPr>
        <w:t xml:space="preserve"> a prediction model obtained </w:t>
      </w:r>
      <w:r w:rsidR="00B76C73">
        <w:rPr>
          <w:lang w:val="en-US"/>
        </w:rPr>
        <w:t xml:space="preserve">using </w:t>
      </w:r>
      <w:proofErr w:type="spellStart"/>
      <w:r w:rsidR="00B76C73">
        <w:rPr>
          <w:lang w:val="en-US"/>
        </w:rPr>
        <w:t>SwissModel</w:t>
      </w:r>
      <w:proofErr w:type="spellEnd"/>
      <w:r w:rsidR="00B76C73">
        <w:rPr>
          <w:lang w:val="en-US"/>
        </w:rPr>
        <w:t xml:space="preserve"> </w:t>
      </w:r>
      <w:r w:rsidR="00EC1141">
        <w:rPr>
          <w:lang w:val="en-US"/>
        </w:rPr>
        <w:t xml:space="preserve">by </w:t>
      </w:r>
      <w:r w:rsidR="000C74A3">
        <w:rPr>
          <w:lang w:val="en-US"/>
        </w:rPr>
        <w:t>combining a model whose</w:t>
      </w:r>
      <w:r w:rsidR="00EC1141">
        <w:rPr>
          <w:lang w:val="en-US"/>
        </w:rPr>
        <w:t xml:space="preserve"> conformation </w:t>
      </w:r>
      <w:r w:rsidR="000C74A3">
        <w:rPr>
          <w:lang w:val="en-US"/>
        </w:rPr>
        <w:t xml:space="preserve">was predicted to be nearly similar </w:t>
      </w:r>
      <w:r w:rsidR="00BC179C">
        <w:rPr>
          <w:lang w:val="en-US"/>
        </w:rPr>
        <w:t>(99.97% of probability</w:t>
      </w:r>
      <w:r w:rsidR="004F6941">
        <w:rPr>
          <w:lang w:val="en-US"/>
        </w:rPr>
        <w:t xml:space="preserve"> </w:t>
      </w:r>
      <w:r>
        <w:rPr>
          <w:lang w:val="en-US"/>
        </w:rPr>
        <w:t>from r</w:t>
      </w:r>
      <w:r w:rsidR="004F6941">
        <w:rPr>
          <w:lang w:val="en-US"/>
        </w:rPr>
        <w:t>esidue 363</w:t>
      </w:r>
      <w:r w:rsidR="00BC179C">
        <w:rPr>
          <w:lang w:val="en-US"/>
        </w:rPr>
        <w:t xml:space="preserve">) </w:t>
      </w:r>
      <w:r w:rsidR="000C74A3">
        <w:rPr>
          <w:lang w:val="en-US"/>
        </w:rPr>
        <w:t>to th</w:t>
      </w:r>
      <w:r>
        <w:rPr>
          <w:lang w:val="en-US"/>
        </w:rPr>
        <w:t>at</w:t>
      </w:r>
      <w:r w:rsidR="000C74A3">
        <w:rPr>
          <w:lang w:val="en-US"/>
        </w:rPr>
        <w:t xml:space="preserve"> of DLG3 protein (</w:t>
      </w:r>
      <w:r w:rsidR="00EC1141">
        <w:rPr>
          <w:lang w:val="en-US"/>
        </w:rPr>
        <w:t xml:space="preserve">PDB data </w:t>
      </w:r>
      <w:r>
        <w:rPr>
          <w:lang w:val="en-US"/>
        </w:rPr>
        <w:t>from model</w:t>
      </w:r>
      <w:r w:rsidR="00EC1141">
        <w:rPr>
          <w:lang w:val="en-US"/>
        </w:rPr>
        <w:t xml:space="preserve"> </w:t>
      </w:r>
      <w:r w:rsidR="00EC1141" w:rsidRPr="00EC1141">
        <w:rPr>
          <w:lang w:val="en-US"/>
        </w:rPr>
        <w:t>4WSI_B</w:t>
      </w:r>
      <w:r w:rsidR="00EC1141">
        <w:rPr>
          <w:lang w:val="en-US"/>
        </w:rPr>
        <w:t xml:space="preserve"> (selected after checking conformation</w:t>
      </w:r>
      <w:r>
        <w:rPr>
          <w:lang w:val="en-US"/>
        </w:rPr>
        <w:t>al</w:t>
      </w:r>
      <w:r w:rsidR="00EC1141">
        <w:rPr>
          <w:lang w:val="en-US"/>
        </w:rPr>
        <w:t xml:space="preserve"> similarities using </w:t>
      </w:r>
      <w:proofErr w:type="spellStart"/>
      <w:r w:rsidR="00EC1141">
        <w:rPr>
          <w:lang w:val="en-US"/>
        </w:rPr>
        <w:t>HHpred</w:t>
      </w:r>
      <w:proofErr w:type="spellEnd"/>
      <w:r w:rsidR="00D172CD" w:rsidRPr="00267BCE">
        <w:rPr>
          <w:rFonts w:ascii="Calibri" w:hAnsi="Calibri" w:cs="Calibri"/>
          <w:lang w:val="en-US"/>
        </w:rPr>
        <w:t>(1)</w:t>
      </w:r>
      <w:r w:rsidR="00EC1141">
        <w:rPr>
          <w:lang w:val="en-US"/>
        </w:rPr>
        <w:t xml:space="preserve">) </w:t>
      </w:r>
      <w:r w:rsidR="007F453A">
        <w:rPr>
          <w:lang w:val="en-US"/>
        </w:rPr>
        <w:t xml:space="preserve">and </w:t>
      </w:r>
      <w:r>
        <w:rPr>
          <w:lang w:val="en-US"/>
        </w:rPr>
        <w:t xml:space="preserve">the FASTA sequence of </w:t>
      </w:r>
      <w:r w:rsidR="007F453A" w:rsidRPr="007F453A">
        <w:rPr>
          <w:i/>
          <w:iCs/>
          <w:lang w:val="en-US"/>
        </w:rPr>
        <w:t>DLG3</w:t>
      </w:r>
      <w:r w:rsidR="00A2552D">
        <w:rPr>
          <w:lang w:val="en-US"/>
        </w:rPr>
        <w:t xml:space="preserve"> from </w:t>
      </w:r>
      <w:proofErr w:type="spellStart"/>
      <w:r w:rsidR="00A2552D">
        <w:rPr>
          <w:lang w:val="en-US"/>
        </w:rPr>
        <w:t>UniProt</w:t>
      </w:r>
      <w:proofErr w:type="spellEnd"/>
      <w:r w:rsidR="007F453A">
        <w:rPr>
          <w:lang w:val="en-US"/>
        </w:rPr>
        <w:t>.</w:t>
      </w:r>
      <w:r w:rsidR="00C9663F">
        <w:rPr>
          <w:lang w:val="en-US"/>
        </w:rPr>
        <w:t xml:space="preserve"> Then, both the wild-type and </w:t>
      </w:r>
      <w:r w:rsidR="00C9663F">
        <w:rPr>
          <w:lang w:val="en-US"/>
        </w:rPr>
        <w:lastRenderedPageBreak/>
        <w:t>variant models were aligned.</w:t>
      </w:r>
      <w:r w:rsidR="0070665B">
        <w:rPr>
          <w:lang w:val="en-US"/>
        </w:rPr>
        <w:t xml:space="preserve"> </w:t>
      </w:r>
      <w:r w:rsidR="0054798C" w:rsidRPr="00E77F24">
        <w:rPr>
          <w:lang w:val="en-US"/>
        </w:rPr>
        <w:t>For each model</w:t>
      </w:r>
      <w:r w:rsidR="0054798C">
        <w:rPr>
          <w:lang w:val="en-US"/>
        </w:rPr>
        <w:t>,</w:t>
      </w:r>
      <w:r w:rsidR="0054798C" w:rsidRPr="00E77F24">
        <w:rPr>
          <w:lang w:val="en-US"/>
        </w:rPr>
        <w:t xml:space="preserve"> a protein segment was selected to include the </w:t>
      </w:r>
      <w:r w:rsidR="0054798C">
        <w:rPr>
          <w:lang w:val="en-US"/>
        </w:rPr>
        <w:t>variant and surrounding regions of interest.</w:t>
      </w:r>
      <w:r w:rsidR="00E91FA1">
        <w:rPr>
          <w:lang w:val="en-US"/>
        </w:rPr>
        <w:t xml:space="preserve"> The molecular visualization system used was </w:t>
      </w:r>
      <w:r w:rsidR="003229A8">
        <w:rPr>
          <w:lang w:val="en-US"/>
        </w:rPr>
        <w:t xml:space="preserve">RCSB’s </w:t>
      </w:r>
      <w:proofErr w:type="spellStart"/>
      <w:r w:rsidR="00E91FA1">
        <w:rPr>
          <w:lang w:val="en-US"/>
        </w:rPr>
        <w:t>MolStar</w:t>
      </w:r>
      <w:proofErr w:type="spellEnd"/>
      <w:r w:rsidR="00E91FA1">
        <w:rPr>
          <w:lang w:val="en-US"/>
        </w:rPr>
        <w:t>.</w:t>
      </w:r>
    </w:p>
    <w:p w:rsidR="005671AA" w:rsidRDefault="005671AA" w:rsidP="005671AA">
      <w:pPr>
        <w:rPr>
          <w:lang w:val="en-US"/>
        </w:rPr>
      </w:pPr>
    </w:p>
    <w:p w:rsidR="005671AA" w:rsidRPr="007E232E" w:rsidRDefault="005671AA" w:rsidP="005671AA">
      <w:pPr>
        <w:spacing w:after="0" w:line="480" w:lineRule="auto"/>
        <w:jc w:val="both"/>
        <w:rPr>
          <w:b/>
          <w:sz w:val="24"/>
          <w:szCs w:val="24"/>
          <w:lang w:val="en-US"/>
        </w:rPr>
      </w:pPr>
      <w:r w:rsidRPr="007E232E">
        <w:rPr>
          <w:b/>
          <w:sz w:val="24"/>
          <w:szCs w:val="24"/>
          <w:lang w:val="en-US"/>
        </w:rPr>
        <w:t>Genetic analysis</w:t>
      </w:r>
    </w:p>
    <w:p w:rsidR="0068125B" w:rsidRDefault="0068125B" w:rsidP="0068125B">
      <w:pPr>
        <w:spacing w:after="0" w:line="480" w:lineRule="auto"/>
        <w:jc w:val="both"/>
        <w:rPr>
          <w:lang w:val="en-US"/>
        </w:rPr>
      </w:pPr>
      <w:r w:rsidRPr="00455D33">
        <w:rPr>
          <w:i/>
          <w:lang w:val="en-US"/>
        </w:rPr>
        <w:t>DLG3</w:t>
      </w:r>
      <w:r>
        <w:rPr>
          <w:lang w:val="en-US"/>
        </w:rPr>
        <w:t xml:space="preserve"> variants have been identified by exome sequencing (ES)</w:t>
      </w:r>
      <w:r w:rsidRPr="00CB0B7F">
        <w:rPr>
          <w:lang w:val="en-US"/>
        </w:rPr>
        <w:t xml:space="preserve"> </w:t>
      </w:r>
      <w:r>
        <w:rPr>
          <w:lang w:val="en-US"/>
        </w:rPr>
        <w:t xml:space="preserve">(individuals 1, 2, </w:t>
      </w:r>
      <w:r w:rsidR="003A3806">
        <w:rPr>
          <w:lang w:val="en-US"/>
        </w:rPr>
        <w:t>8</w:t>
      </w:r>
      <w:r>
        <w:rPr>
          <w:lang w:val="en-US"/>
        </w:rPr>
        <w:t xml:space="preserve">, </w:t>
      </w:r>
      <w:r w:rsidR="003A3806">
        <w:rPr>
          <w:lang w:val="en-US"/>
        </w:rPr>
        <w:t>9</w:t>
      </w:r>
      <w:r>
        <w:rPr>
          <w:lang w:val="en-US"/>
        </w:rPr>
        <w:t xml:space="preserve">, </w:t>
      </w:r>
      <w:r w:rsidR="003A3806">
        <w:rPr>
          <w:lang w:val="en-US"/>
        </w:rPr>
        <w:t>10</w:t>
      </w:r>
      <w:r>
        <w:rPr>
          <w:lang w:val="en-US"/>
        </w:rPr>
        <w:t>, 1</w:t>
      </w:r>
      <w:r w:rsidR="003A3806">
        <w:rPr>
          <w:lang w:val="en-US"/>
        </w:rPr>
        <w:t>1</w:t>
      </w:r>
      <w:r>
        <w:rPr>
          <w:lang w:val="en-US"/>
        </w:rPr>
        <w:t>, 1</w:t>
      </w:r>
      <w:r w:rsidR="003A3806">
        <w:rPr>
          <w:lang w:val="en-US"/>
        </w:rPr>
        <w:t>2</w:t>
      </w:r>
      <w:r>
        <w:rPr>
          <w:lang w:val="en-US"/>
        </w:rPr>
        <w:t>, 1</w:t>
      </w:r>
      <w:r w:rsidR="003A3806">
        <w:rPr>
          <w:lang w:val="en-US"/>
        </w:rPr>
        <w:t>4</w:t>
      </w:r>
      <w:r>
        <w:rPr>
          <w:lang w:val="en-US"/>
        </w:rPr>
        <w:t>, 1</w:t>
      </w:r>
      <w:r w:rsidR="003A3806">
        <w:rPr>
          <w:lang w:val="en-US"/>
        </w:rPr>
        <w:t>5</w:t>
      </w:r>
      <w:r>
        <w:rPr>
          <w:lang w:val="en-US"/>
        </w:rPr>
        <w:t xml:space="preserve"> and 1</w:t>
      </w:r>
      <w:r w:rsidR="003A3806">
        <w:rPr>
          <w:lang w:val="en-US"/>
        </w:rPr>
        <w:t>6</w:t>
      </w:r>
      <w:r>
        <w:rPr>
          <w:lang w:val="en-US"/>
        </w:rPr>
        <w:t>), genome sequencing (GS)</w:t>
      </w:r>
      <w:r w:rsidRPr="00CB0B7F">
        <w:rPr>
          <w:lang w:val="en-US"/>
        </w:rPr>
        <w:t xml:space="preserve"> </w:t>
      </w:r>
      <w:r>
        <w:rPr>
          <w:lang w:val="en-US"/>
        </w:rPr>
        <w:t xml:space="preserve">(individuals </w:t>
      </w:r>
      <w:r w:rsidR="00AC1E25">
        <w:rPr>
          <w:lang w:val="en-US"/>
        </w:rPr>
        <w:t>3, 5</w:t>
      </w:r>
      <w:r>
        <w:rPr>
          <w:lang w:val="en-US"/>
        </w:rPr>
        <w:t xml:space="preserve"> and </w:t>
      </w:r>
      <w:r w:rsidR="00AC1E25">
        <w:rPr>
          <w:lang w:val="en-US"/>
        </w:rPr>
        <w:t>6</w:t>
      </w:r>
      <w:r>
        <w:rPr>
          <w:lang w:val="en-US"/>
        </w:rPr>
        <w:t xml:space="preserve">), targeted </w:t>
      </w:r>
      <w:r w:rsidR="00BC217F">
        <w:rPr>
          <w:lang w:val="en-US"/>
        </w:rPr>
        <w:t xml:space="preserve">genes </w:t>
      </w:r>
      <w:r>
        <w:rPr>
          <w:lang w:val="en-US"/>
        </w:rPr>
        <w:t xml:space="preserve">panel (individuals </w:t>
      </w:r>
      <w:r w:rsidR="00AC1E25">
        <w:rPr>
          <w:lang w:val="en-US"/>
        </w:rPr>
        <w:t>4</w:t>
      </w:r>
      <w:r>
        <w:rPr>
          <w:lang w:val="en-US"/>
        </w:rPr>
        <w:t xml:space="preserve">, </w:t>
      </w:r>
      <w:r w:rsidR="00AC1E25">
        <w:rPr>
          <w:lang w:val="en-US"/>
        </w:rPr>
        <w:t xml:space="preserve">7 </w:t>
      </w:r>
      <w:r>
        <w:rPr>
          <w:lang w:val="en-US"/>
        </w:rPr>
        <w:t xml:space="preserve">and </w:t>
      </w:r>
      <w:r w:rsidR="00AC1E25">
        <w:rPr>
          <w:lang w:val="en-US"/>
        </w:rPr>
        <w:t>13</w:t>
      </w:r>
      <w:r>
        <w:rPr>
          <w:lang w:val="en-US"/>
        </w:rPr>
        <w:t xml:space="preserve">) or chromosomal microarray (individual </w:t>
      </w:r>
      <w:r w:rsidR="00AC1E25">
        <w:rPr>
          <w:lang w:val="en-US"/>
        </w:rPr>
        <w:t>17</w:t>
      </w:r>
      <w:r>
        <w:rPr>
          <w:lang w:val="en-US"/>
        </w:rPr>
        <w:t xml:space="preserve">). When available, trio-based ES and GS were preferentially used (individual and both parents) using methods specific at each laboratory (details vary depending on the individual, available on request). Variants were classified using </w:t>
      </w:r>
      <w:r w:rsidRPr="00F653C4">
        <w:rPr>
          <w:lang w:val="en-US"/>
        </w:rPr>
        <w:t>the ACMG guideline 2015</w:t>
      </w:r>
      <w:r w:rsidR="00D172CD" w:rsidRPr="00D172CD">
        <w:rPr>
          <w:rFonts w:ascii="Calibri" w:hAnsi="Calibri" w:cs="Calibri"/>
        </w:rPr>
        <w:t>(2)</w:t>
      </w:r>
      <w:r>
        <w:rPr>
          <w:lang w:val="en-US"/>
        </w:rPr>
        <w:t xml:space="preserve">. </w:t>
      </w:r>
      <w:r w:rsidR="0054089E">
        <w:rPr>
          <w:lang w:val="en-US"/>
        </w:rPr>
        <w:t>G</w:t>
      </w:r>
      <w:r>
        <w:rPr>
          <w:lang w:val="en-US"/>
        </w:rPr>
        <w:t xml:space="preserve">enes </w:t>
      </w:r>
      <w:r w:rsidR="0054089E">
        <w:rPr>
          <w:lang w:val="en-US"/>
        </w:rPr>
        <w:t xml:space="preserve">panels </w:t>
      </w:r>
      <w:r>
        <w:rPr>
          <w:lang w:val="en-US"/>
        </w:rPr>
        <w:t>sequencing were performed in the two brothers carrying the p</w:t>
      </w:r>
      <w:proofErr w:type="gramStart"/>
      <w:r>
        <w:rPr>
          <w:lang w:val="en-US"/>
        </w:rPr>
        <w:t>.(</w:t>
      </w:r>
      <w:proofErr w:type="gramEnd"/>
      <w:r>
        <w:rPr>
          <w:lang w:val="en-US"/>
        </w:rPr>
        <w:t>Arg574Gln) variant.</w:t>
      </w:r>
      <w:r w:rsidRPr="00360E71">
        <w:rPr>
          <w:lang w:val="en-US"/>
        </w:rPr>
        <w:t xml:space="preserve"> </w:t>
      </w:r>
    </w:p>
    <w:p w:rsidR="0068125B" w:rsidRDefault="0068125B" w:rsidP="0068125B">
      <w:pPr>
        <w:spacing w:after="0" w:line="480" w:lineRule="auto"/>
        <w:jc w:val="both"/>
        <w:rPr>
          <w:lang w:val="en-US"/>
        </w:rPr>
      </w:pPr>
      <w:r>
        <w:rPr>
          <w:lang w:val="en-US"/>
        </w:rPr>
        <w:t xml:space="preserve">ES methods (exome enrichment, read alignment, </w:t>
      </w:r>
      <w:proofErr w:type="spellStart"/>
      <w:r>
        <w:rPr>
          <w:lang w:val="en-US"/>
        </w:rPr>
        <w:t>bioinformatic</w:t>
      </w:r>
      <w:proofErr w:type="spellEnd"/>
      <w:r>
        <w:rPr>
          <w:lang w:val="en-US"/>
        </w:rPr>
        <w:t xml:space="preserve"> analysis) used for individuals 1 and 2 were previously </w:t>
      </w:r>
      <w:proofErr w:type="gramStart"/>
      <w:r>
        <w:rPr>
          <w:lang w:val="en-US"/>
        </w:rPr>
        <w:t>described</w:t>
      </w:r>
      <w:r w:rsidR="00D172CD" w:rsidRPr="00267BCE">
        <w:rPr>
          <w:rFonts w:ascii="Calibri" w:hAnsi="Calibri" w:cs="Calibri"/>
          <w:lang w:val="en-US"/>
        </w:rPr>
        <w:t>(</w:t>
      </w:r>
      <w:proofErr w:type="gramEnd"/>
      <w:r w:rsidR="00D172CD" w:rsidRPr="00267BCE">
        <w:rPr>
          <w:rFonts w:ascii="Calibri" w:hAnsi="Calibri" w:cs="Calibri"/>
          <w:lang w:val="en-US"/>
        </w:rPr>
        <w:t>3)</w:t>
      </w:r>
      <w:r>
        <w:rPr>
          <w:lang w:val="en-US"/>
        </w:rPr>
        <w:t xml:space="preserve">. Following genes panel, a </w:t>
      </w:r>
      <w:r w:rsidRPr="00150621">
        <w:rPr>
          <w:lang w:val="en-US"/>
        </w:rPr>
        <w:t>RT-PCR was performed on RNA extracted</w:t>
      </w:r>
      <w:r>
        <w:rPr>
          <w:lang w:val="en-US"/>
        </w:rPr>
        <w:t xml:space="preserve"> in individual </w:t>
      </w:r>
      <w:r w:rsidR="008D23AB">
        <w:rPr>
          <w:lang w:val="en-US"/>
        </w:rPr>
        <w:t>4</w:t>
      </w:r>
      <w:r>
        <w:rPr>
          <w:lang w:val="en-US"/>
        </w:rPr>
        <w:t xml:space="preserve">. GS performed in individual </w:t>
      </w:r>
      <w:r w:rsidR="008D23AB">
        <w:rPr>
          <w:lang w:val="en-US"/>
        </w:rPr>
        <w:t xml:space="preserve">5 </w:t>
      </w:r>
      <w:r>
        <w:rPr>
          <w:lang w:val="en-US"/>
        </w:rPr>
        <w:t>was part of the DEFIDIAG Study project (</w:t>
      </w:r>
      <w:r w:rsidRPr="00060830">
        <w:rPr>
          <w:lang w:val="en-US"/>
        </w:rPr>
        <w:t>ClinicalTrials.gov identifier</w:t>
      </w:r>
      <w:r>
        <w:rPr>
          <w:lang w:val="en-US"/>
        </w:rPr>
        <w:t>:</w:t>
      </w:r>
      <w:r w:rsidRPr="00060830">
        <w:rPr>
          <w:lang w:val="en-US"/>
        </w:rPr>
        <w:t xml:space="preserve"> NCT04154891</w:t>
      </w:r>
      <w:r>
        <w:rPr>
          <w:lang w:val="en-US"/>
        </w:rPr>
        <w:t xml:space="preserve">) using previously reported protocol and </w:t>
      </w:r>
      <w:proofErr w:type="gramStart"/>
      <w:r>
        <w:rPr>
          <w:lang w:val="en-US"/>
        </w:rPr>
        <w:t>methods</w:t>
      </w:r>
      <w:r w:rsidR="00D172CD" w:rsidRPr="007B5840">
        <w:rPr>
          <w:rFonts w:ascii="Calibri" w:hAnsi="Calibri" w:cs="Calibri"/>
          <w:lang w:val="en-US"/>
        </w:rPr>
        <w:t>(</w:t>
      </w:r>
      <w:proofErr w:type="gramEnd"/>
      <w:r w:rsidR="00D172CD" w:rsidRPr="007B5840">
        <w:rPr>
          <w:rFonts w:ascii="Calibri" w:hAnsi="Calibri" w:cs="Calibri"/>
          <w:lang w:val="en-US"/>
        </w:rPr>
        <w:t>4)</w:t>
      </w:r>
      <w:r>
        <w:rPr>
          <w:lang w:val="en-US"/>
        </w:rPr>
        <w:t xml:space="preserve">. Genes panel carried out in individual </w:t>
      </w:r>
      <w:r w:rsidR="00A60968">
        <w:rPr>
          <w:lang w:val="en-US"/>
        </w:rPr>
        <w:t xml:space="preserve">7 </w:t>
      </w:r>
      <w:r>
        <w:rPr>
          <w:lang w:val="en-US"/>
        </w:rPr>
        <w:t>contained 275 genes, sequence was generated on NextSeq550 instrument (</w:t>
      </w:r>
      <w:proofErr w:type="spellStart"/>
      <w:r>
        <w:rPr>
          <w:lang w:val="en-US"/>
        </w:rPr>
        <w:t>Illumina</w:t>
      </w:r>
      <w:proofErr w:type="spellEnd"/>
      <w:r>
        <w:rPr>
          <w:lang w:val="en-US"/>
        </w:rPr>
        <w:t xml:space="preserve"> Inc.), and </w:t>
      </w:r>
      <w:proofErr w:type="spellStart"/>
      <w:r>
        <w:rPr>
          <w:lang w:val="en-US"/>
        </w:rPr>
        <w:t>bioinformatic</w:t>
      </w:r>
      <w:proofErr w:type="spellEnd"/>
      <w:r>
        <w:rPr>
          <w:lang w:val="en-US"/>
        </w:rPr>
        <w:t xml:space="preserve"> analysis used a local pipeline. For individuals </w:t>
      </w:r>
      <w:r w:rsidR="00A60968">
        <w:rPr>
          <w:lang w:val="en-US"/>
        </w:rPr>
        <w:t xml:space="preserve">8 </w:t>
      </w:r>
      <w:r>
        <w:rPr>
          <w:lang w:val="en-US"/>
        </w:rPr>
        <w:t xml:space="preserve">and </w:t>
      </w:r>
      <w:r w:rsidR="00A60968">
        <w:rPr>
          <w:lang w:val="en-US"/>
        </w:rPr>
        <w:t>10</w:t>
      </w:r>
      <w:r>
        <w:rPr>
          <w:lang w:val="en-US"/>
        </w:rPr>
        <w:t xml:space="preserve">, </w:t>
      </w:r>
      <w:proofErr w:type="spellStart"/>
      <w:r>
        <w:rPr>
          <w:lang w:val="en-US"/>
        </w:rPr>
        <w:t>e</w:t>
      </w:r>
      <w:r w:rsidRPr="000F68A9">
        <w:rPr>
          <w:lang w:val="en-US"/>
        </w:rPr>
        <w:t>xons</w:t>
      </w:r>
      <w:proofErr w:type="spellEnd"/>
      <w:r w:rsidRPr="000F68A9">
        <w:rPr>
          <w:lang w:val="en-US"/>
        </w:rPr>
        <w:t xml:space="preserve"> were captured using</w:t>
      </w:r>
      <w:r>
        <w:rPr>
          <w:lang w:val="en-US"/>
        </w:rPr>
        <w:t xml:space="preserve"> </w:t>
      </w:r>
      <w:proofErr w:type="spellStart"/>
      <w:r w:rsidRPr="000F68A9">
        <w:rPr>
          <w:lang w:val="en-US"/>
        </w:rPr>
        <w:t>SeqCap</w:t>
      </w:r>
      <w:proofErr w:type="spellEnd"/>
      <w:r w:rsidRPr="000F68A9">
        <w:rPr>
          <w:lang w:val="en-US"/>
        </w:rPr>
        <w:t xml:space="preserve"> EZ </w:t>
      </w:r>
      <w:proofErr w:type="spellStart"/>
      <w:r w:rsidRPr="000F68A9">
        <w:rPr>
          <w:lang w:val="en-US"/>
        </w:rPr>
        <w:t>MedExome</w:t>
      </w:r>
      <w:proofErr w:type="spellEnd"/>
      <w:r w:rsidRPr="000F68A9">
        <w:rPr>
          <w:lang w:val="en-US"/>
        </w:rPr>
        <w:t xml:space="preserve"> kit </w:t>
      </w:r>
      <w:r>
        <w:rPr>
          <w:lang w:val="en-US"/>
        </w:rPr>
        <w:t xml:space="preserve">or </w:t>
      </w:r>
      <w:proofErr w:type="spellStart"/>
      <w:r w:rsidRPr="006D3FB5">
        <w:rPr>
          <w:lang w:val="en-US"/>
        </w:rPr>
        <w:t>HyperExome</w:t>
      </w:r>
      <w:proofErr w:type="spellEnd"/>
      <w:r>
        <w:rPr>
          <w:lang w:val="en-US"/>
        </w:rPr>
        <w:t xml:space="preserve"> </w:t>
      </w:r>
      <w:r w:rsidRPr="000F68A9">
        <w:rPr>
          <w:lang w:val="en-US"/>
        </w:rPr>
        <w:t>(Roche Technologies)</w:t>
      </w:r>
      <w:r w:rsidRPr="006D3FB5">
        <w:rPr>
          <w:lang w:val="en-US"/>
        </w:rPr>
        <w:t xml:space="preserve"> kit</w:t>
      </w:r>
      <w:r w:rsidRPr="0076669D">
        <w:rPr>
          <w:lang w:val="en-US"/>
        </w:rPr>
        <w:t xml:space="preserve"> </w:t>
      </w:r>
      <w:r>
        <w:rPr>
          <w:lang w:val="en-US"/>
        </w:rPr>
        <w:t xml:space="preserve">respectively, </w:t>
      </w:r>
      <w:r w:rsidRPr="000F68A9">
        <w:rPr>
          <w:lang w:val="en-US"/>
        </w:rPr>
        <w:t>and sequence w</w:t>
      </w:r>
      <w:r>
        <w:rPr>
          <w:lang w:val="en-US"/>
        </w:rPr>
        <w:t>ere</w:t>
      </w:r>
      <w:r w:rsidRPr="000F68A9">
        <w:rPr>
          <w:lang w:val="en-US"/>
        </w:rPr>
        <w:t xml:space="preserve"> generated on a NextSeq500 instrument (</w:t>
      </w:r>
      <w:proofErr w:type="spellStart"/>
      <w:r w:rsidRPr="000F68A9">
        <w:rPr>
          <w:lang w:val="en-US"/>
        </w:rPr>
        <w:t>Illumina</w:t>
      </w:r>
      <w:proofErr w:type="spellEnd"/>
      <w:r w:rsidRPr="000F68A9">
        <w:rPr>
          <w:lang w:val="en-US"/>
        </w:rPr>
        <w:t xml:space="preserve"> Inc.).</w:t>
      </w:r>
      <w:r>
        <w:rPr>
          <w:lang w:val="en-US"/>
        </w:rPr>
        <w:t xml:space="preserve"> ES in individual </w:t>
      </w:r>
      <w:r w:rsidR="00A60968">
        <w:rPr>
          <w:lang w:val="en-US"/>
        </w:rPr>
        <w:t xml:space="preserve">9 </w:t>
      </w:r>
      <w:r>
        <w:rPr>
          <w:lang w:val="en-US"/>
        </w:rPr>
        <w:t>was performed</w:t>
      </w:r>
      <w:r w:rsidRPr="00D260AE">
        <w:rPr>
          <w:lang w:val="en-US"/>
        </w:rPr>
        <w:t xml:space="preserve"> </w:t>
      </w:r>
      <w:r>
        <w:rPr>
          <w:lang w:val="en-US"/>
        </w:rPr>
        <w:t xml:space="preserve">according to </w:t>
      </w:r>
      <w:r w:rsidRPr="00D260AE">
        <w:rPr>
          <w:lang w:val="en-US"/>
        </w:rPr>
        <w:t>Blueprint Genetics Whole Exome Family Plus Test (version 2, Feb 9, 2018), coupled with Whole Exome Deletion/Duplication Analysis.</w:t>
      </w:r>
      <w:r>
        <w:rPr>
          <w:lang w:val="en-US"/>
        </w:rPr>
        <w:t xml:space="preserve"> </w:t>
      </w:r>
      <w:proofErr w:type="gramStart"/>
      <w:r>
        <w:rPr>
          <w:lang w:val="en-US"/>
        </w:rPr>
        <w:t>Gene</w:t>
      </w:r>
      <w:r w:rsidR="0054089E">
        <w:rPr>
          <w:lang w:val="en-US"/>
        </w:rPr>
        <w:t>s</w:t>
      </w:r>
      <w:proofErr w:type="gramEnd"/>
      <w:r>
        <w:rPr>
          <w:lang w:val="en-US"/>
        </w:rPr>
        <w:t xml:space="preserve"> panel carried out in individual </w:t>
      </w:r>
      <w:r w:rsidR="00A60968">
        <w:rPr>
          <w:lang w:val="en-US"/>
        </w:rPr>
        <w:t xml:space="preserve">13 </w:t>
      </w:r>
      <w:r>
        <w:rPr>
          <w:lang w:val="en-US"/>
        </w:rPr>
        <w:t xml:space="preserve">included 275 genes involved in </w:t>
      </w:r>
      <w:proofErr w:type="spellStart"/>
      <w:r>
        <w:rPr>
          <w:lang w:val="en-US"/>
        </w:rPr>
        <w:t>neurodevelopmental</w:t>
      </w:r>
      <w:proofErr w:type="spellEnd"/>
      <w:r>
        <w:rPr>
          <w:lang w:val="en-US"/>
        </w:rPr>
        <w:t xml:space="preserve"> disorders, </w:t>
      </w:r>
      <w:r w:rsidRPr="009C07D3">
        <w:rPr>
          <w:lang w:val="en-US"/>
        </w:rPr>
        <w:t>follow</w:t>
      </w:r>
      <w:r w:rsidR="0054089E">
        <w:rPr>
          <w:lang w:val="en-US"/>
        </w:rPr>
        <w:t>ing</w:t>
      </w:r>
      <w:r w:rsidRPr="009C07D3">
        <w:rPr>
          <w:lang w:val="en-US"/>
        </w:rPr>
        <w:t xml:space="preserve"> a basis proposed by Dr Piton et al. in </w:t>
      </w:r>
      <w:r w:rsidRPr="005812C2">
        <w:rPr>
          <w:lang w:val="en-US"/>
        </w:rPr>
        <w:t>2014</w:t>
      </w:r>
      <w:r w:rsidR="00D172CD" w:rsidRPr="007B5840">
        <w:rPr>
          <w:rFonts w:ascii="Calibri" w:hAnsi="Calibri" w:cs="Calibri"/>
          <w:lang w:val="en-US"/>
        </w:rPr>
        <w:t>(5)</w:t>
      </w:r>
      <w:r>
        <w:rPr>
          <w:lang w:val="en-US"/>
        </w:rPr>
        <w:t xml:space="preserve">. ES performed in individuals </w:t>
      </w:r>
      <w:r w:rsidR="000E1B0C">
        <w:rPr>
          <w:lang w:val="en-US"/>
        </w:rPr>
        <w:t xml:space="preserve">14 </w:t>
      </w:r>
      <w:r>
        <w:rPr>
          <w:lang w:val="en-US"/>
        </w:rPr>
        <w:t>and 1</w:t>
      </w:r>
      <w:r w:rsidR="000E1B0C">
        <w:rPr>
          <w:lang w:val="en-US"/>
        </w:rPr>
        <w:t>5</w:t>
      </w:r>
      <w:r>
        <w:rPr>
          <w:lang w:val="en-US"/>
        </w:rPr>
        <w:t xml:space="preserve"> were obtained using </w:t>
      </w:r>
      <w:proofErr w:type="spellStart"/>
      <w:r>
        <w:rPr>
          <w:lang w:val="en-US"/>
        </w:rPr>
        <w:t>IntegraGen</w:t>
      </w:r>
      <w:proofErr w:type="spellEnd"/>
      <w:r>
        <w:rPr>
          <w:lang w:val="en-US"/>
        </w:rPr>
        <w:t xml:space="preserve"> SA (</w:t>
      </w:r>
      <w:proofErr w:type="spellStart"/>
      <w:r>
        <w:rPr>
          <w:lang w:val="en-US"/>
        </w:rPr>
        <w:t>Evry</w:t>
      </w:r>
      <w:proofErr w:type="spellEnd"/>
      <w:r>
        <w:rPr>
          <w:lang w:val="en-US"/>
        </w:rPr>
        <w:t xml:space="preserve">, France) and </w:t>
      </w:r>
      <w:r w:rsidRPr="00972B6A">
        <w:rPr>
          <w:lang w:val="en-US"/>
        </w:rPr>
        <w:t>the Real-Time Analysis software sequence pipeline (</w:t>
      </w:r>
      <w:r>
        <w:rPr>
          <w:lang w:val="en-US"/>
        </w:rPr>
        <w:t>v</w:t>
      </w:r>
      <w:r w:rsidRPr="00972B6A">
        <w:rPr>
          <w:lang w:val="en-US"/>
        </w:rPr>
        <w:t>2.7.7) with default parameters</w:t>
      </w:r>
      <w:r>
        <w:rPr>
          <w:lang w:val="en-US"/>
        </w:rPr>
        <w:t xml:space="preserve">. ES performed in individual </w:t>
      </w:r>
      <w:r w:rsidR="000E1B0C">
        <w:rPr>
          <w:lang w:val="en-US"/>
        </w:rPr>
        <w:t xml:space="preserve">16 </w:t>
      </w:r>
      <w:r>
        <w:rPr>
          <w:lang w:val="en-US"/>
        </w:rPr>
        <w:t>was generated on NextSeq2000 instrument (</w:t>
      </w:r>
      <w:proofErr w:type="spellStart"/>
      <w:r>
        <w:rPr>
          <w:lang w:val="en-US"/>
        </w:rPr>
        <w:t>Illumina</w:t>
      </w:r>
      <w:proofErr w:type="spellEnd"/>
      <w:r>
        <w:rPr>
          <w:lang w:val="en-US"/>
        </w:rPr>
        <w:t xml:space="preserve"> Inc.), </w:t>
      </w:r>
      <w:r>
        <w:rPr>
          <w:lang w:val="en-US"/>
        </w:rPr>
        <w:lastRenderedPageBreak/>
        <w:t xml:space="preserve">and </w:t>
      </w:r>
      <w:r w:rsidRPr="00C6029A">
        <w:rPr>
          <w:i/>
          <w:iCs/>
          <w:lang w:val="en-US"/>
        </w:rPr>
        <w:t>DLG3</w:t>
      </w:r>
      <w:r>
        <w:rPr>
          <w:lang w:val="en-US"/>
        </w:rPr>
        <w:t xml:space="preserve"> variant was </w:t>
      </w:r>
      <w:r w:rsidRPr="00150621">
        <w:rPr>
          <w:lang w:val="en-US"/>
        </w:rPr>
        <w:t xml:space="preserve">confirmed by Sanger sequencing in the </w:t>
      </w:r>
      <w:r>
        <w:rPr>
          <w:lang w:val="en-US"/>
        </w:rPr>
        <w:t xml:space="preserve">individual </w:t>
      </w:r>
      <w:r w:rsidR="00346B56">
        <w:rPr>
          <w:lang w:val="en-US"/>
        </w:rPr>
        <w:t>16</w:t>
      </w:r>
      <w:r w:rsidR="00346B56" w:rsidRPr="00150621">
        <w:rPr>
          <w:lang w:val="en-US"/>
        </w:rPr>
        <w:t xml:space="preserve"> </w:t>
      </w:r>
      <w:r w:rsidRPr="00150621">
        <w:rPr>
          <w:lang w:val="en-US"/>
        </w:rPr>
        <w:t xml:space="preserve">and its parents. RT-PCR was </w:t>
      </w:r>
      <w:r>
        <w:rPr>
          <w:lang w:val="en-US"/>
        </w:rPr>
        <w:t xml:space="preserve">then </w:t>
      </w:r>
      <w:r w:rsidRPr="00150621">
        <w:rPr>
          <w:lang w:val="en-US"/>
        </w:rPr>
        <w:t xml:space="preserve">performed on RNA extracted from </w:t>
      </w:r>
      <w:proofErr w:type="spellStart"/>
      <w:r w:rsidRPr="00150621">
        <w:rPr>
          <w:lang w:val="en-US"/>
        </w:rPr>
        <w:t>PAXgene</w:t>
      </w:r>
      <w:proofErr w:type="spellEnd"/>
      <w:r w:rsidRPr="00150621">
        <w:rPr>
          <w:lang w:val="en-US"/>
        </w:rPr>
        <w:t xml:space="preserve"> tube using primers on exon 16 and 19 of </w:t>
      </w:r>
      <w:r w:rsidRPr="00C6029A">
        <w:rPr>
          <w:i/>
          <w:iCs/>
          <w:lang w:val="en-US"/>
        </w:rPr>
        <w:t>DLG3</w:t>
      </w:r>
      <w:r w:rsidRPr="00150621">
        <w:rPr>
          <w:lang w:val="en-US"/>
        </w:rPr>
        <w:t>.</w:t>
      </w:r>
    </w:p>
    <w:p w:rsidR="0068125B" w:rsidRDefault="0068125B" w:rsidP="0068125B">
      <w:pPr>
        <w:spacing w:after="0" w:line="480" w:lineRule="auto"/>
        <w:jc w:val="both"/>
        <w:rPr>
          <w:lang w:val="en-US"/>
        </w:rPr>
      </w:pPr>
      <w:r>
        <w:rPr>
          <w:lang w:val="en-US"/>
        </w:rPr>
        <w:t>Additional other genetic analysis (e.g. karyotype, chromosomal microarray,</w:t>
      </w:r>
      <w:r w:rsidRPr="00CB1792">
        <w:rPr>
          <w:lang w:val="en-US"/>
        </w:rPr>
        <w:t xml:space="preserve"> </w:t>
      </w:r>
      <w:r>
        <w:rPr>
          <w:lang w:val="en-US"/>
        </w:rPr>
        <w:t xml:space="preserve">FMR1 repeats) could have been performed. </w:t>
      </w:r>
    </w:p>
    <w:p w:rsidR="0068125B" w:rsidRDefault="0068125B" w:rsidP="0068125B">
      <w:pPr>
        <w:spacing w:after="0" w:line="480" w:lineRule="auto"/>
        <w:jc w:val="both"/>
        <w:rPr>
          <w:lang w:val="en-US"/>
        </w:rPr>
      </w:pPr>
    </w:p>
    <w:p w:rsidR="0003079E" w:rsidRDefault="0003079E" w:rsidP="0068125B">
      <w:pPr>
        <w:spacing w:after="0" w:line="480" w:lineRule="auto"/>
        <w:jc w:val="both"/>
        <w:rPr>
          <w:lang w:val="en-US"/>
        </w:rPr>
      </w:pPr>
    </w:p>
    <w:p w:rsidR="0068125B" w:rsidRDefault="0068125B">
      <w:pPr>
        <w:rPr>
          <w:lang w:val="en-US"/>
        </w:rPr>
      </w:pPr>
      <w:r>
        <w:rPr>
          <w:lang w:val="en-US"/>
        </w:rPr>
        <w:br w:type="page"/>
      </w:r>
    </w:p>
    <w:p w:rsidR="00346418" w:rsidRPr="00346418" w:rsidRDefault="00346418" w:rsidP="00346418">
      <w:pPr>
        <w:spacing w:after="0" w:line="480" w:lineRule="auto"/>
        <w:jc w:val="both"/>
        <w:rPr>
          <w:b/>
          <w:sz w:val="28"/>
          <w:szCs w:val="28"/>
          <w:lang w:val="en-US"/>
        </w:rPr>
      </w:pPr>
      <w:r w:rsidRPr="00346418">
        <w:rPr>
          <w:b/>
          <w:sz w:val="28"/>
          <w:szCs w:val="28"/>
          <w:lang w:val="en-US"/>
        </w:rPr>
        <w:lastRenderedPageBreak/>
        <w:t>URLs</w:t>
      </w:r>
    </w:p>
    <w:p w:rsidR="00A12945" w:rsidRDefault="00A12945" w:rsidP="00346418">
      <w:pPr>
        <w:spacing w:after="0" w:line="480" w:lineRule="auto"/>
        <w:rPr>
          <w:rFonts w:cs="Calibri"/>
          <w:bCs/>
          <w:lang w:val="en-US"/>
        </w:rPr>
      </w:pPr>
      <w:proofErr w:type="spellStart"/>
      <w:r>
        <w:rPr>
          <w:rFonts w:cs="Calibri"/>
          <w:bCs/>
          <w:lang w:val="en-US"/>
        </w:rPr>
        <w:t>AlphaFold</w:t>
      </w:r>
      <w:proofErr w:type="spellEnd"/>
      <w:r>
        <w:rPr>
          <w:rFonts w:cs="Calibri"/>
          <w:bCs/>
          <w:lang w:val="en-US"/>
        </w:rPr>
        <w:t xml:space="preserve">: </w:t>
      </w:r>
      <w:hyperlink r:id="rId5" w:history="1">
        <w:r w:rsidR="008B1FE4" w:rsidRPr="000A608F">
          <w:rPr>
            <w:rStyle w:val="Lienhypertexte"/>
            <w:rFonts w:cs="Calibri"/>
            <w:bCs/>
            <w:lang w:val="en-US"/>
          </w:rPr>
          <w:t>https://alphafold.com/</w:t>
        </w:r>
      </w:hyperlink>
      <w:r w:rsidR="008B1FE4">
        <w:rPr>
          <w:rFonts w:cs="Calibri"/>
          <w:bCs/>
          <w:lang w:val="en-US"/>
        </w:rPr>
        <w:t xml:space="preserve"> </w:t>
      </w:r>
    </w:p>
    <w:p w:rsidR="00346418" w:rsidRDefault="00346418" w:rsidP="00346418">
      <w:pPr>
        <w:spacing w:after="0" w:line="480" w:lineRule="auto"/>
        <w:rPr>
          <w:rFonts w:cs="Calibri"/>
          <w:bCs/>
          <w:lang w:val="en-US"/>
        </w:rPr>
      </w:pPr>
      <w:proofErr w:type="spellStart"/>
      <w:r>
        <w:rPr>
          <w:rFonts w:cs="Calibri"/>
          <w:bCs/>
          <w:lang w:val="en-US"/>
        </w:rPr>
        <w:t>AlphaFold</w:t>
      </w:r>
      <w:proofErr w:type="spellEnd"/>
      <w:r w:rsidR="00A12945">
        <w:rPr>
          <w:rFonts w:cs="Calibri"/>
          <w:bCs/>
          <w:lang w:val="en-US"/>
        </w:rPr>
        <w:t xml:space="preserve"> (PDB </w:t>
      </w:r>
      <w:r w:rsidR="002951E5">
        <w:rPr>
          <w:rFonts w:cs="Calibri"/>
          <w:bCs/>
          <w:lang w:val="en-US"/>
        </w:rPr>
        <w:t>data</w:t>
      </w:r>
      <w:r w:rsidR="00A12945">
        <w:rPr>
          <w:rFonts w:cs="Calibri"/>
          <w:bCs/>
          <w:lang w:val="en-US"/>
        </w:rPr>
        <w:t>)</w:t>
      </w:r>
      <w:r>
        <w:rPr>
          <w:rFonts w:cs="Calibri"/>
          <w:bCs/>
          <w:lang w:val="en-US"/>
        </w:rPr>
        <w:t xml:space="preserve">: </w:t>
      </w:r>
      <w:hyperlink r:id="rId6" w:history="1">
        <w:r w:rsidR="008B1FE4" w:rsidRPr="000A608F">
          <w:rPr>
            <w:rStyle w:val="Lienhypertexte"/>
            <w:rFonts w:cs="Calibri"/>
            <w:bCs/>
            <w:lang w:val="en-US"/>
          </w:rPr>
          <w:t>https://alphafold.ebi.ac.uk/entry/Q92796</w:t>
        </w:r>
      </w:hyperlink>
      <w:r w:rsidR="008B1FE4">
        <w:rPr>
          <w:rFonts w:cs="Calibri"/>
          <w:bCs/>
          <w:lang w:val="en-US"/>
        </w:rPr>
        <w:t xml:space="preserve"> </w:t>
      </w:r>
    </w:p>
    <w:p w:rsidR="00346418" w:rsidRPr="00267BCE" w:rsidRDefault="00346418" w:rsidP="00346418">
      <w:pPr>
        <w:spacing w:after="0" w:line="480" w:lineRule="auto"/>
        <w:rPr>
          <w:rFonts w:cs="Calibri"/>
          <w:bCs/>
        </w:rPr>
      </w:pPr>
      <w:r w:rsidRPr="00267BCE">
        <w:rPr>
          <w:rFonts w:cs="Calibri"/>
          <w:bCs/>
        </w:rPr>
        <w:t xml:space="preserve">Dynamut2: </w:t>
      </w:r>
      <w:hyperlink r:id="rId7" w:history="1">
        <w:r w:rsidR="008B1FE4" w:rsidRPr="00267BCE">
          <w:rPr>
            <w:rStyle w:val="Lienhypertexte"/>
            <w:rFonts w:cs="Calibri"/>
            <w:bCs/>
          </w:rPr>
          <w:t>https://biosig.lab.uq.edu.au/dynamut2/</w:t>
        </w:r>
      </w:hyperlink>
      <w:r w:rsidR="008B1FE4" w:rsidRPr="00267BCE">
        <w:rPr>
          <w:rFonts w:cs="Calibri"/>
          <w:bCs/>
        </w:rPr>
        <w:t xml:space="preserve"> </w:t>
      </w:r>
    </w:p>
    <w:p w:rsidR="00346418" w:rsidRDefault="00346418" w:rsidP="00346418">
      <w:pPr>
        <w:spacing w:after="0" w:line="480" w:lineRule="auto"/>
        <w:rPr>
          <w:rFonts w:cs="Calibri"/>
          <w:bCs/>
          <w:lang w:val="en-US"/>
        </w:rPr>
      </w:pPr>
      <w:proofErr w:type="spellStart"/>
      <w:r>
        <w:rPr>
          <w:rFonts w:cs="Calibri"/>
          <w:bCs/>
          <w:lang w:val="en-US"/>
        </w:rPr>
        <w:t>Genematcher</w:t>
      </w:r>
      <w:proofErr w:type="spellEnd"/>
      <w:r>
        <w:rPr>
          <w:rFonts w:cs="Calibri"/>
          <w:bCs/>
          <w:lang w:val="en-US"/>
        </w:rPr>
        <w:t xml:space="preserve">: </w:t>
      </w:r>
      <w:hyperlink r:id="rId8" w:history="1">
        <w:r w:rsidRPr="00165D33">
          <w:rPr>
            <w:rStyle w:val="Lienhypertexte"/>
            <w:rFonts w:cs="Calibri"/>
            <w:bCs/>
            <w:lang w:val="en-US"/>
          </w:rPr>
          <w:t>https://genematcher.org/</w:t>
        </w:r>
      </w:hyperlink>
    </w:p>
    <w:p w:rsidR="00346418" w:rsidRDefault="00346418" w:rsidP="00412276">
      <w:pPr>
        <w:spacing w:after="0" w:line="480" w:lineRule="auto"/>
        <w:rPr>
          <w:lang w:val="en-US"/>
        </w:rPr>
      </w:pPr>
      <w:proofErr w:type="spellStart"/>
      <w:r>
        <w:rPr>
          <w:lang w:val="en-US"/>
        </w:rPr>
        <w:t>GnomAD</w:t>
      </w:r>
      <w:proofErr w:type="spellEnd"/>
      <w:r>
        <w:rPr>
          <w:lang w:val="en-US"/>
        </w:rPr>
        <w:t xml:space="preserve"> v2.1.1: </w:t>
      </w:r>
      <w:hyperlink r:id="rId9" w:history="1">
        <w:r w:rsidRPr="00B21409">
          <w:rPr>
            <w:rStyle w:val="Lienhypertexte"/>
            <w:lang w:val="en-US"/>
          </w:rPr>
          <w:t>https://gnomad.broadinstitute.org/gene/ENSG00000082458?dataset=gnomad_r2_1</w:t>
        </w:r>
      </w:hyperlink>
    </w:p>
    <w:p w:rsidR="00346418" w:rsidRDefault="00346418" w:rsidP="00346418">
      <w:pPr>
        <w:spacing w:after="0" w:line="480" w:lineRule="auto"/>
        <w:jc w:val="both"/>
        <w:rPr>
          <w:rStyle w:val="Lienhypertexte"/>
          <w:lang w:val="en-US"/>
        </w:rPr>
      </w:pPr>
      <w:proofErr w:type="spellStart"/>
      <w:r>
        <w:rPr>
          <w:lang w:val="en-US"/>
        </w:rPr>
        <w:t>GnomAD</w:t>
      </w:r>
      <w:proofErr w:type="spellEnd"/>
      <w:r>
        <w:rPr>
          <w:lang w:val="en-US"/>
        </w:rPr>
        <w:t xml:space="preserve"> v4.1: </w:t>
      </w:r>
      <w:hyperlink r:id="rId10" w:history="1">
        <w:r w:rsidRPr="00DD7353">
          <w:rPr>
            <w:rStyle w:val="Lienhypertexte"/>
            <w:lang w:val="en-US"/>
          </w:rPr>
          <w:t>https://gnomad.broadinstitute.org/gene/ENSG00000082458?dataset=gnomad_r4</w:t>
        </w:r>
      </w:hyperlink>
    </w:p>
    <w:p w:rsidR="002529E7" w:rsidRDefault="002529E7" w:rsidP="00346418">
      <w:pPr>
        <w:spacing w:after="0" w:line="480" w:lineRule="auto"/>
        <w:jc w:val="both"/>
        <w:rPr>
          <w:lang w:val="en-US"/>
        </w:rPr>
      </w:pPr>
      <w:proofErr w:type="spellStart"/>
      <w:r>
        <w:rPr>
          <w:lang w:val="en-US"/>
        </w:rPr>
        <w:t>HHpred</w:t>
      </w:r>
      <w:proofErr w:type="spellEnd"/>
      <w:r>
        <w:rPr>
          <w:lang w:val="en-US"/>
        </w:rPr>
        <w:t xml:space="preserve">: </w:t>
      </w:r>
      <w:hyperlink r:id="rId11" w:history="1">
        <w:r w:rsidR="008B1FE4" w:rsidRPr="000A608F">
          <w:rPr>
            <w:rStyle w:val="Lienhypertexte"/>
            <w:lang w:val="en-US"/>
          </w:rPr>
          <w:t>https://toolkit.tuebingen.mpg.de/tools/hhpred</w:t>
        </w:r>
      </w:hyperlink>
      <w:r w:rsidR="008B1FE4">
        <w:rPr>
          <w:lang w:val="en-US"/>
        </w:rPr>
        <w:t xml:space="preserve"> </w:t>
      </w:r>
    </w:p>
    <w:p w:rsidR="00346418" w:rsidRDefault="00346418" w:rsidP="00346418">
      <w:pPr>
        <w:spacing w:after="0" w:line="480" w:lineRule="auto"/>
        <w:jc w:val="both"/>
        <w:rPr>
          <w:lang w:val="en-US"/>
        </w:rPr>
      </w:pPr>
      <w:proofErr w:type="spellStart"/>
      <w:r w:rsidRPr="000819AB">
        <w:rPr>
          <w:lang w:val="en-US"/>
        </w:rPr>
        <w:t>Metadome</w:t>
      </w:r>
      <w:proofErr w:type="spellEnd"/>
      <w:r w:rsidRPr="000819AB">
        <w:rPr>
          <w:lang w:val="en-US"/>
        </w:rPr>
        <w:t xml:space="preserve">: </w:t>
      </w:r>
      <w:hyperlink r:id="rId12" w:history="1">
        <w:r w:rsidRPr="007219EF">
          <w:rPr>
            <w:rStyle w:val="Lienhypertexte"/>
            <w:lang w:val="en-US"/>
          </w:rPr>
          <w:t>https://stuart.radboudumc.nl/metadome/dashboard/transcript/ENST00000374360.3/</w:t>
        </w:r>
      </w:hyperlink>
      <w:r>
        <w:rPr>
          <w:lang w:val="en-US"/>
        </w:rPr>
        <w:t xml:space="preserve"> </w:t>
      </w:r>
    </w:p>
    <w:p w:rsidR="00346418" w:rsidRDefault="00346418" w:rsidP="00346418">
      <w:pPr>
        <w:spacing w:after="0" w:line="480" w:lineRule="auto"/>
        <w:jc w:val="both"/>
        <w:rPr>
          <w:lang w:val="en-US"/>
        </w:rPr>
      </w:pPr>
      <w:proofErr w:type="spellStart"/>
      <w:r>
        <w:rPr>
          <w:lang w:val="en-US"/>
        </w:rPr>
        <w:t>Mobidetails</w:t>
      </w:r>
      <w:proofErr w:type="spellEnd"/>
      <w:r>
        <w:rPr>
          <w:lang w:val="en-US"/>
        </w:rPr>
        <w:t xml:space="preserve">: </w:t>
      </w:r>
      <w:hyperlink r:id="rId13" w:history="1">
        <w:r w:rsidRPr="002F4585">
          <w:rPr>
            <w:rStyle w:val="Lienhypertexte"/>
            <w:lang w:val="en-US"/>
          </w:rPr>
          <w:t>https://mobidetails.iurc.montp.inserm.fr/MD/gene/DLG3</w:t>
        </w:r>
      </w:hyperlink>
      <w:r>
        <w:rPr>
          <w:lang w:val="en-US"/>
        </w:rPr>
        <w:t xml:space="preserve"> </w:t>
      </w:r>
    </w:p>
    <w:p w:rsidR="00E91FA1" w:rsidRDefault="00E91FA1" w:rsidP="00346418">
      <w:pPr>
        <w:spacing w:after="0" w:line="480" w:lineRule="auto"/>
        <w:jc w:val="both"/>
        <w:rPr>
          <w:lang w:val="en-US"/>
        </w:rPr>
      </w:pPr>
      <w:proofErr w:type="spellStart"/>
      <w:r>
        <w:rPr>
          <w:lang w:val="en-US"/>
        </w:rPr>
        <w:t>MolStar</w:t>
      </w:r>
      <w:proofErr w:type="spellEnd"/>
      <w:r>
        <w:rPr>
          <w:lang w:val="en-US"/>
        </w:rPr>
        <w:t xml:space="preserve"> </w:t>
      </w:r>
      <w:r w:rsidR="00013722">
        <w:rPr>
          <w:lang w:val="en-US"/>
        </w:rPr>
        <w:t xml:space="preserve">viewer </w:t>
      </w:r>
      <w:r>
        <w:rPr>
          <w:lang w:val="en-US"/>
        </w:rPr>
        <w:t xml:space="preserve">(using RCSB): </w:t>
      </w:r>
      <w:hyperlink r:id="rId14" w:history="1">
        <w:r w:rsidR="008B1FE4" w:rsidRPr="000A608F">
          <w:rPr>
            <w:rStyle w:val="Lienhypertexte"/>
            <w:lang w:val="en-US"/>
          </w:rPr>
          <w:t>https://www.rcsb.org/3d-view</w:t>
        </w:r>
      </w:hyperlink>
      <w:r w:rsidR="008B1FE4">
        <w:rPr>
          <w:lang w:val="en-US"/>
        </w:rPr>
        <w:t xml:space="preserve"> </w:t>
      </w:r>
    </w:p>
    <w:p w:rsidR="00346418" w:rsidRDefault="00346418" w:rsidP="00412276">
      <w:pPr>
        <w:spacing w:after="0" w:line="480" w:lineRule="auto"/>
        <w:rPr>
          <w:lang w:val="en-US"/>
        </w:rPr>
      </w:pPr>
      <w:r w:rsidRPr="005D0A01">
        <w:rPr>
          <w:lang w:val="en-US"/>
        </w:rPr>
        <w:t>PERSYST:</w:t>
      </w:r>
      <w:r>
        <w:rPr>
          <w:lang w:val="en-US"/>
        </w:rPr>
        <w:t xml:space="preserve"> </w:t>
      </w:r>
      <w:hyperlink r:id="rId15" w:history="1">
        <w:r w:rsidRPr="00A5433A">
          <w:rPr>
            <w:rStyle w:val="Lienhypertexte"/>
            <w:lang w:val="en-US"/>
          </w:rPr>
          <w:t>https://www.australiangenomics.org.au/tools-and-resources/persyst-pathogenic-evaluation-of-recalcitrant-variants-by-systematic-transactivation/</w:t>
        </w:r>
      </w:hyperlink>
      <w:r>
        <w:rPr>
          <w:lang w:val="en-US"/>
        </w:rPr>
        <w:t xml:space="preserve"> </w:t>
      </w:r>
    </w:p>
    <w:p w:rsidR="001222CF" w:rsidRPr="005D0A01" w:rsidRDefault="001222CF" w:rsidP="00346418">
      <w:pPr>
        <w:spacing w:after="0" w:line="480" w:lineRule="auto"/>
        <w:jc w:val="both"/>
        <w:rPr>
          <w:lang w:val="en-US"/>
        </w:rPr>
      </w:pPr>
      <w:proofErr w:type="spellStart"/>
      <w:r>
        <w:rPr>
          <w:lang w:val="en-US"/>
        </w:rPr>
        <w:t>P</w:t>
      </w:r>
      <w:r w:rsidR="00FF1509">
        <w:rPr>
          <w:lang w:val="en-US"/>
        </w:rPr>
        <w:t>y</w:t>
      </w:r>
      <w:r>
        <w:rPr>
          <w:lang w:val="en-US"/>
        </w:rPr>
        <w:t>MOL</w:t>
      </w:r>
      <w:proofErr w:type="spellEnd"/>
      <w:r>
        <w:rPr>
          <w:lang w:val="en-US"/>
        </w:rPr>
        <w:t xml:space="preserve"> 2.5.4: </w:t>
      </w:r>
      <w:hyperlink r:id="rId16" w:history="1">
        <w:r w:rsidR="008B1FE4" w:rsidRPr="000A608F">
          <w:rPr>
            <w:rStyle w:val="Lienhypertexte"/>
            <w:lang w:val="en-US"/>
          </w:rPr>
          <w:t>https://pymol.org/</w:t>
        </w:r>
      </w:hyperlink>
      <w:r w:rsidR="008B1FE4">
        <w:rPr>
          <w:lang w:val="en-US"/>
        </w:rPr>
        <w:t xml:space="preserve"> </w:t>
      </w:r>
    </w:p>
    <w:p w:rsidR="00E91FA1" w:rsidRPr="00267BCE" w:rsidRDefault="00E91FA1" w:rsidP="00346418">
      <w:pPr>
        <w:spacing w:after="0" w:line="480" w:lineRule="auto"/>
        <w:jc w:val="both"/>
        <w:rPr>
          <w:lang w:val="en-US"/>
        </w:rPr>
      </w:pPr>
      <w:proofErr w:type="gramStart"/>
      <w:r w:rsidRPr="00267BCE">
        <w:rPr>
          <w:lang w:val="en-US"/>
        </w:rPr>
        <w:t>RCSB :</w:t>
      </w:r>
      <w:proofErr w:type="gramEnd"/>
      <w:r w:rsidR="006E5EC7" w:rsidRPr="00267BCE">
        <w:rPr>
          <w:lang w:val="en-US"/>
        </w:rPr>
        <w:t xml:space="preserve"> </w:t>
      </w:r>
      <w:hyperlink r:id="rId17" w:history="1">
        <w:r w:rsidR="008B1FE4" w:rsidRPr="00267BCE">
          <w:rPr>
            <w:rStyle w:val="Lienhypertexte"/>
            <w:lang w:val="en-US"/>
          </w:rPr>
          <w:t>https://www.rcsb.org/3d-view</w:t>
        </w:r>
      </w:hyperlink>
      <w:r w:rsidR="008B1FE4" w:rsidRPr="00267BCE">
        <w:rPr>
          <w:lang w:val="en-US"/>
        </w:rPr>
        <w:t xml:space="preserve"> </w:t>
      </w:r>
    </w:p>
    <w:p w:rsidR="00B54C00" w:rsidRPr="00267BCE" w:rsidRDefault="00B54C00" w:rsidP="00346418">
      <w:pPr>
        <w:spacing w:after="0" w:line="480" w:lineRule="auto"/>
        <w:jc w:val="both"/>
        <w:rPr>
          <w:lang w:val="en-US"/>
        </w:rPr>
      </w:pPr>
      <w:proofErr w:type="spellStart"/>
      <w:proofErr w:type="gramStart"/>
      <w:r w:rsidRPr="00267BCE">
        <w:rPr>
          <w:lang w:val="en-US"/>
        </w:rPr>
        <w:t>SwissModel</w:t>
      </w:r>
      <w:proofErr w:type="spellEnd"/>
      <w:r w:rsidRPr="00267BCE">
        <w:rPr>
          <w:lang w:val="en-US"/>
        </w:rPr>
        <w:t> :</w:t>
      </w:r>
      <w:proofErr w:type="gramEnd"/>
      <w:r w:rsidRPr="00267BCE">
        <w:rPr>
          <w:lang w:val="en-US"/>
        </w:rPr>
        <w:t xml:space="preserve"> </w:t>
      </w:r>
      <w:hyperlink r:id="rId18" w:history="1">
        <w:r w:rsidR="008B1FE4" w:rsidRPr="00267BCE">
          <w:rPr>
            <w:rStyle w:val="Lienhypertexte"/>
            <w:lang w:val="en-US"/>
          </w:rPr>
          <w:t>https://swissmodel.expasy.org/interactive</w:t>
        </w:r>
      </w:hyperlink>
      <w:r w:rsidR="008B1FE4" w:rsidRPr="00267BCE">
        <w:rPr>
          <w:lang w:val="en-US"/>
        </w:rPr>
        <w:t xml:space="preserve"> </w:t>
      </w:r>
    </w:p>
    <w:p w:rsidR="00346418" w:rsidRPr="00C86AB1" w:rsidRDefault="00346418" w:rsidP="00346418">
      <w:pPr>
        <w:spacing w:after="0" w:line="480" w:lineRule="auto"/>
        <w:jc w:val="both"/>
      </w:pPr>
      <w:proofErr w:type="spellStart"/>
      <w:r w:rsidRPr="00C86AB1">
        <w:t>Uni</w:t>
      </w:r>
      <w:r w:rsidR="00D323DD">
        <w:t>P</w:t>
      </w:r>
      <w:r w:rsidRPr="00C86AB1">
        <w:t>rot</w:t>
      </w:r>
      <w:proofErr w:type="spellEnd"/>
      <w:r w:rsidRPr="00C86AB1">
        <w:t xml:space="preserve">: </w:t>
      </w:r>
      <w:hyperlink r:id="rId19" w:history="1">
        <w:r w:rsidRPr="00EB1DA9">
          <w:rPr>
            <w:rStyle w:val="Lienhypertexte"/>
          </w:rPr>
          <w:t>https://www.uniprot.org/uniprotkb/Q92796/entry</w:t>
        </w:r>
      </w:hyperlink>
      <w:r>
        <w:t xml:space="preserve"> </w:t>
      </w:r>
    </w:p>
    <w:p w:rsidR="00346418" w:rsidRPr="00267BCE" w:rsidRDefault="00346418"/>
    <w:p w:rsidR="00346418" w:rsidRPr="00267BCE" w:rsidRDefault="00346418">
      <w:r w:rsidRPr="00267BCE">
        <w:br w:type="page"/>
      </w:r>
    </w:p>
    <w:p w:rsidR="0064275C" w:rsidRPr="0064275C" w:rsidRDefault="0064275C" w:rsidP="002B2637">
      <w:pPr>
        <w:spacing w:after="0" w:line="480" w:lineRule="auto"/>
        <w:jc w:val="both"/>
        <w:rPr>
          <w:b/>
          <w:sz w:val="28"/>
          <w:szCs w:val="28"/>
          <w:lang w:val="en-US"/>
        </w:rPr>
      </w:pPr>
      <w:r w:rsidRPr="0064275C">
        <w:rPr>
          <w:b/>
          <w:sz w:val="28"/>
          <w:szCs w:val="28"/>
          <w:lang w:val="en-US"/>
        </w:rPr>
        <w:lastRenderedPageBreak/>
        <w:t>References</w:t>
      </w:r>
    </w:p>
    <w:p w:rsidR="007B5840" w:rsidRPr="007B5840" w:rsidRDefault="007B5840" w:rsidP="007B5840">
      <w:pPr>
        <w:pStyle w:val="Bibliographie"/>
        <w:rPr>
          <w:lang w:val="en-US"/>
        </w:rPr>
      </w:pPr>
      <w:r w:rsidRPr="007B5840">
        <w:rPr>
          <w:lang w:val="en-US"/>
        </w:rPr>
        <w:t>1.</w:t>
      </w:r>
      <w:r w:rsidRPr="007B5840">
        <w:rPr>
          <w:lang w:val="en-US"/>
        </w:rPr>
        <w:tab/>
        <w:t xml:space="preserve">Zimmermann L, Stephens A, Nam SZ, Rau D, </w:t>
      </w:r>
      <w:proofErr w:type="spellStart"/>
      <w:r w:rsidRPr="007B5840">
        <w:rPr>
          <w:lang w:val="en-US"/>
        </w:rPr>
        <w:t>Kübler</w:t>
      </w:r>
      <w:proofErr w:type="spellEnd"/>
      <w:r w:rsidRPr="007B5840">
        <w:rPr>
          <w:lang w:val="en-US"/>
        </w:rPr>
        <w:t xml:space="preserve"> J, </w:t>
      </w:r>
      <w:proofErr w:type="spellStart"/>
      <w:r w:rsidRPr="007B5840">
        <w:rPr>
          <w:lang w:val="en-US"/>
        </w:rPr>
        <w:t>Lozajic</w:t>
      </w:r>
      <w:proofErr w:type="spellEnd"/>
      <w:r w:rsidRPr="007B5840">
        <w:rPr>
          <w:lang w:val="en-US"/>
        </w:rPr>
        <w:t xml:space="preserve"> M, et al. </w:t>
      </w:r>
      <w:proofErr w:type="gramStart"/>
      <w:r w:rsidRPr="007B5840">
        <w:rPr>
          <w:lang w:val="en-US"/>
        </w:rPr>
        <w:t xml:space="preserve">A Completely </w:t>
      </w:r>
      <w:proofErr w:type="spellStart"/>
      <w:r w:rsidRPr="007B5840">
        <w:rPr>
          <w:lang w:val="en-US"/>
        </w:rPr>
        <w:t>Reimplemented</w:t>
      </w:r>
      <w:proofErr w:type="spellEnd"/>
      <w:r w:rsidRPr="007B5840">
        <w:rPr>
          <w:lang w:val="en-US"/>
        </w:rPr>
        <w:t xml:space="preserve"> MPI Bioinformatics Toolkit with a New </w:t>
      </w:r>
      <w:proofErr w:type="spellStart"/>
      <w:r w:rsidRPr="007B5840">
        <w:rPr>
          <w:lang w:val="en-US"/>
        </w:rPr>
        <w:t>HHpred</w:t>
      </w:r>
      <w:proofErr w:type="spellEnd"/>
      <w:r w:rsidRPr="007B5840">
        <w:rPr>
          <w:lang w:val="en-US"/>
        </w:rPr>
        <w:t xml:space="preserve"> Server at its Core.</w:t>
      </w:r>
      <w:proofErr w:type="gramEnd"/>
      <w:r w:rsidRPr="007B5840">
        <w:rPr>
          <w:lang w:val="en-US"/>
        </w:rPr>
        <w:t xml:space="preserve"> J Mol Biol. 20 </w:t>
      </w:r>
      <w:proofErr w:type="spellStart"/>
      <w:r w:rsidRPr="007B5840">
        <w:rPr>
          <w:lang w:val="en-US"/>
        </w:rPr>
        <w:t>juill</w:t>
      </w:r>
      <w:proofErr w:type="spellEnd"/>
      <w:r w:rsidRPr="007B5840">
        <w:rPr>
          <w:lang w:val="en-US"/>
        </w:rPr>
        <w:t xml:space="preserve"> 2018</w:t>
      </w:r>
      <w:proofErr w:type="gramStart"/>
      <w:r w:rsidRPr="007B5840">
        <w:rPr>
          <w:lang w:val="en-US"/>
        </w:rPr>
        <w:t>;430</w:t>
      </w:r>
      <w:proofErr w:type="gramEnd"/>
      <w:r w:rsidRPr="007B5840">
        <w:rPr>
          <w:lang w:val="en-US"/>
        </w:rPr>
        <w:t>(15):2237</w:t>
      </w:r>
      <w:r w:rsidRPr="007B5840">
        <w:rPr>
          <w:rFonts w:ascii="Cambria Math" w:hAnsi="Cambria Math" w:cs="Cambria Math"/>
          <w:lang w:val="en-US"/>
        </w:rPr>
        <w:t>‑</w:t>
      </w:r>
      <w:r w:rsidRPr="007B5840">
        <w:rPr>
          <w:rFonts w:ascii="Calibri" w:hAnsi="Calibri" w:cs="Calibri"/>
          <w:lang w:val="en-US"/>
        </w:rPr>
        <w:t xml:space="preserve">43. </w:t>
      </w:r>
    </w:p>
    <w:p w:rsidR="007B5840" w:rsidRPr="007B5840" w:rsidRDefault="007B5840" w:rsidP="007B5840">
      <w:pPr>
        <w:pStyle w:val="Bibliographie"/>
        <w:rPr>
          <w:rFonts w:ascii="Calibri" w:hAnsi="Calibri" w:cs="Calibri"/>
          <w:lang w:val="en-US"/>
        </w:rPr>
      </w:pPr>
      <w:r w:rsidRPr="007B5840">
        <w:rPr>
          <w:lang w:val="en-US"/>
        </w:rPr>
        <w:t>2.</w:t>
      </w:r>
      <w:r w:rsidRPr="007B5840">
        <w:rPr>
          <w:lang w:val="en-US"/>
        </w:rPr>
        <w:tab/>
        <w:t xml:space="preserve">Richards S, Aziz N, Bale S, Bick D, Das S, </w:t>
      </w:r>
      <w:proofErr w:type="spellStart"/>
      <w:r w:rsidRPr="007B5840">
        <w:rPr>
          <w:lang w:val="en-US"/>
        </w:rPr>
        <w:t>Gastier</w:t>
      </w:r>
      <w:proofErr w:type="spellEnd"/>
      <w:r w:rsidRPr="007B5840">
        <w:rPr>
          <w:lang w:val="en-US"/>
        </w:rPr>
        <w:t xml:space="preserve">-Foster J, et al. Standards and Guidelines for the Interpretation of Sequence Variants: A Joint Consensus Recommendation of the American College of Medical Genetics and Genomics and the Association for Molecular Pathology. Genet Med Off J Am </w:t>
      </w:r>
      <w:proofErr w:type="spellStart"/>
      <w:r w:rsidRPr="007B5840">
        <w:rPr>
          <w:lang w:val="en-US"/>
        </w:rPr>
        <w:t>Coll</w:t>
      </w:r>
      <w:proofErr w:type="spellEnd"/>
      <w:r w:rsidRPr="007B5840">
        <w:rPr>
          <w:lang w:val="en-US"/>
        </w:rPr>
        <w:t xml:space="preserve"> Med Genet. </w:t>
      </w:r>
      <w:proofErr w:type="spellStart"/>
      <w:proofErr w:type="gramStart"/>
      <w:r w:rsidRPr="007B5840">
        <w:rPr>
          <w:lang w:val="en-US"/>
        </w:rPr>
        <w:t>mai</w:t>
      </w:r>
      <w:proofErr w:type="spellEnd"/>
      <w:proofErr w:type="gramEnd"/>
      <w:r w:rsidRPr="007B5840">
        <w:rPr>
          <w:lang w:val="en-US"/>
        </w:rPr>
        <w:t xml:space="preserve"> 2015;17(5):405</w:t>
      </w:r>
      <w:r w:rsidRPr="007B5840">
        <w:rPr>
          <w:rFonts w:ascii="Cambria Math" w:hAnsi="Cambria Math" w:cs="Cambria Math"/>
          <w:lang w:val="en-US"/>
        </w:rPr>
        <w:t>‑</w:t>
      </w:r>
      <w:r w:rsidRPr="007B5840">
        <w:rPr>
          <w:rFonts w:ascii="Calibri" w:hAnsi="Calibri" w:cs="Calibri"/>
          <w:lang w:val="en-US"/>
        </w:rPr>
        <w:t xml:space="preserve">24. </w:t>
      </w:r>
    </w:p>
    <w:p w:rsidR="007B5840" w:rsidRPr="007B5840" w:rsidRDefault="007B5840" w:rsidP="007B5840">
      <w:pPr>
        <w:pStyle w:val="Bibliographie"/>
        <w:rPr>
          <w:rFonts w:ascii="Calibri" w:hAnsi="Calibri" w:cs="Calibri"/>
        </w:rPr>
      </w:pPr>
      <w:r w:rsidRPr="007B5840">
        <w:rPr>
          <w:lang w:val="en-US"/>
        </w:rPr>
        <w:t>3.</w:t>
      </w:r>
      <w:r w:rsidRPr="007B5840">
        <w:rPr>
          <w:lang w:val="en-US"/>
        </w:rPr>
        <w:tab/>
      </w:r>
      <w:proofErr w:type="spellStart"/>
      <w:r w:rsidRPr="007B5840">
        <w:rPr>
          <w:lang w:val="en-US"/>
        </w:rPr>
        <w:t>Nambot</w:t>
      </w:r>
      <w:proofErr w:type="spellEnd"/>
      <w:r w:rsidRPr="007B5840">
        <w:rPr>
          <w:lang w:val="en-US"/>
        </w:rPr>
        <w:t xml:space="preserve"> S, </w:t>
      </w:r>
      <w:proofErr w:type="spellStart"/>
      <w:r w:rsidRPr="007B5840">
        <w:rPr>
          <w:lang w:val="en-US"/>
        </w:rPr>
        <w:t>Thevenon</w:t>
      </w:r>
      <w:proofErr w:type="spellEnd"/>
      <w:r w:rsidRPr="007B5840">
        <w:rPr>
          <w:lang w:val="en-US"/>
        </w:rPr>
        <w:t xml:space="preserve"> J, </w:t>
      </w:r>
      <w:proofErr w:type="spellStart"/>
      <w:r w:rsidRPr="007B5840">
        <w:rPr>
          <w:lang w:val="en-US"/>
        </w:rPr>
        <w:t>Kuentz</w:t>
      </w:r>
      <w:proofErr w:type="spellEnd"/>
      <w:r w:rsidRPr="007B5840">
        <w:rPr>
          <w:lang w:val="en-US"/>
        </w:rPr>
        <w:t xml:space="preserve"> P, </w:t>
      </w:r>
      <w:proofErr w:type="spellStart"/>
      <w:r w:rsidRPr="007B5840">
        <w:rPr>
          <w:lang w:val="en-US"/>
        </w:rPr>
        <w:t>Duffourd</w:t>
      </w:r>
      <w:proofErr w:type="spellEnd"/>
      <w:r w:rsidRPr="007B5840">
        <w:rPr>
          <w:lang w:val="en-US"/>
        </w:rPr>
        <w:t xml:space="preserve"> Y, </w:t>
      </w:r>
      <w:proofErr w:type="spellStart"/>
      <w:r w:rsidRPr="007B5840">
        <w:rPr>
          <w:lang w:val="en-US"/>
        </w:rPr>
        <w:t>Tisserant</w:t>
      </w:r>
      <w:proofErr w:type="spellEnd"/>
      <w:r w:rsidRPr="007B5840">
        <w:rPr>
          <w:lang w:val="en-US"/>
        </w:rPr>
        <w:t xml:space="preserve"> E, </w:t>
      </w:r>
      <w:proofErr w:type="spellStart"/>
      <w:r w:rsidRPr="007B5840">
        <w:rPr>
          <w:lang w:val="en-US"/>
        </w:rPr>
        <w:t>Bruel</w:t>
      </w:r>
      <w:proofErr w:type="spellEnd"/>
      <w:r w:rsidRPr="007B5840">
        <w:rPr>
          <w:lang w:val="en-US"/>
        </w:rPr>
        <w:t xml:space="preserve"> AL, et al. Clinical whole-exome sequencing for the diagnosis of rare disorders with congenital anomalies and/or intellectual disability: substantial interest of prospective annual reanalysis. </w:t>
      </w:r>
      <w:r w:rsidRPr="007B5840">
        <w:t>Genet Med. 1 juin 2018;20(6):645</w:t>
      </w:r>
      <w:r w:rsidRPr="007B5840">
        <w:rPr>
          <w:rFonts w:ascii="Cambria Math" w:hAnsi="Cambria Math" w:cs="Cambria Math"/>
        </w:rPr>
        <w:t>‑</w:t>
      </w:r>
      <w:r w:rsidRPr="007B5840">
        <w:rPr>
          <w:rFonts w:ascii="Calibri" w:hAnsi="Calibri" w:cs="Calibri"/>
        </w:rPr>
        <w:t xml:space="preserve">54. </w:t>
      </w:r>
    </w:p>
    <w:p w:rsidR="007B5840" w:rsidRPr="007B5840" w:rsidRDefault="007B5840" w:rsidP="007B5840">
      <w:pPr>
        <w:pStyle w:val="Bibliographie"/>
      </w:pPr>
      <w:r w:rsidRPr="007B5840">
        <w:t>4.</w:t>
      </w:r>
      <w:r w:rsidRPr="007B5840">
        <w:tab/>
      </w:r>
      <w:proofErr w:type="spellStart"/>
      <w:r w:rsidRPr="007B5840">
        <w:t>Binquet</w:t>
      </w:r>
      <w:proofErr w:type="spellEnd"/>
      <w:r w:rsidRPr="007B5840">
        <w:t xml:space="preserve"> C, Lejeune C, Faivre L, </w:t>
      </w:r>
      <w:proofErr w:type="spellStart"/>
      <w:r w:rsidRPr="007B5840">
        <w:t>Bouctot</w:t>
      </w:r>
      <w:proofErr w:type="spellEnd"/>
      <w:r w:rsidRPr="007B5840">
        <w:t xml:space="preserve"> M, </w:t>
      </w:r>
      <w:proofErr w:type="spellStart"/>
      <w:r w:rsidRPr="007B5840">
        <w:t>Asensio</w:t>
      </w:r>
      <w:proofErr w:type="spellEnd"/>
      <w:r w:rsidRPr="007B5840">
        <w:t xml:space="preserve"> ML, Simon A, et al. </w:t>
      </w:r>
      <w:r w:rsidRPr="007B5840">
        <w:rPr>
          <w:lang w:val="en-US"/>
        </w:rPr>
        <w:t xml:space="preserve">Genome Sequencing for Genetics Diagnosis of Patients </w:t>
      </w:r>
      <w:proofErr w:type="gramStart"/>
      <w:r w:rsidRPr="007B5840">
        <w:rPr>
          <w:lang w:val="en-US"/>
        </w:rPr>
        <w:t>With</w:t>
      </w:r>
      <w:proofErr w:type="gramEnd"/>
      <w:r w:rsidRPr="007B5840">
        <w:rPr>
          <w:lang w:val="en-US"/>
        </w:rPr>
        <w:t xml:space="preserve"> Intellectual Disability: The DEFIDIAG Study. </w:t>
      </w:r>
      <w:r w:rsidRPr="007B5840">
        <w:t xml:space="preserve">Front Genet [Internet]. 1 </w:t>
      </w:r>
      <w:proofErr w:type="spellStart"/>
      <w:r w:rsidRPr="007B5840">
        <w:t>févr</w:t>
      </w:r>
      <w:proofErr w:type="spellEnd"/>
      <w:r w:rsidRPr="007B5840">
        <w:t xml:space="preserve"> 2022 [cité 23 mars 2024];12. Disponible sur: https://www.frontiersin.org/journals/genetics/articles/10.3389/fgene.2021.766964/full</w:t>
      </w:r>
    </w:p>
    <w:p w:rsidR="007B5840" w:rsidRPr="007B5840" w:rsidRDefault="007B5840" w:rsidP="007B5840">
      <w:pPr>
        <w:pStyle w:val="Bibliographie"/>
      </w:pPr>
      <w:r w:rsidRPr="007B5840">
        <w:rPr>
          <w:lang w:val="en-US"/>
        </w:rPr>
        <w:t>5.</w:t>
      </w:r>
      <w:r w:rsidRPr="007B5840">
        <w:rPr>
          <w:lang w:val="en-US"/>
        </w:rPr>
        <w:tab/>
      </w:r>
      <w:proofErr w:type="spellStart"/>
      <w:r w:rsidRPr="007B5840">
        <w:rPr>
          <w:lang w:val="en-US"/>
        </w:rPr>
        <w:t>Redin</w:t>
      </w:r>
      <w:proofErr w:type="spellEnd"/>
      <w:r w:rsidRPr="007B5840">
        <w:rPr>
          <w:lang w:val="en-US"/>
        </w:rPr>
        <w:t xml:space="preserve"> C, </w:t>
      </w:r>
      <w:proofErr w:type="spellStart"/>
      <w:r w:rsidRPr="007B5840">
        <w:rPr>
          <w:lang w:val="en-US"/>
        </w:rPr>
        <w:t>Gérard</w:t>
      </w:r>
      <w:proofErr w:type="spellEnd"/>
      <w:r w:rsidRPr="007B5840">
        <w:rPr>
          <w:lang w:val="en-US"/>
        </w:rPr>
        <w:t xml:space="preserve"> B, Lauer J, </w:t>
      </w:r>
      <w:proofErr w:type="spellStart"/>
      <w:r w:rsidRPr="007B5840">
        <w:rPr>
          <w:lang w:val="en-US"/>
        </w:rPr>
        <w:t>Herenger</w:t>
      </w:r>
      <w:proofErr w:type="spellEnd"/>
      <w:r w:rsidRPr="007B5840">
        <w:rPr>
          <w:lang w:val="en-US"/>
        </w:rPr>
        <w:t xml:space="preserve"> Y, Muller J, </w:t>
      </w:r>
      <w:proofErr w:type="spellStart"/>
      <w:r w:rsidRPr="007B5840">
        <w:rPr>
          <w:lang w:val="en-US"/>
        </w:rPr>
        <w:t>Quartier</w:t>
      </w:r>
      <w:proofErr w:type="spellEnd"/>
      <w:r w:rsidRPr="007B5840">
        <w:rPr>
          <w:lang w:val="en-US"/>
        </w:rPr>
        <w:t xml:space="preserve"> A, et al. Efficient strategy for the molecular diagnosis of intellectual disability using targeted high-throughput sequencing. </w:t>
      </w:r>
      <w:r w:rsidRPr="007B5840">
        <w:t xml:space="preserve">J Med Genet. 1 </w:t>
      </w:r>
      <w:proofErr w:type="spellStart"/>
      <w:r w:rsidRPr="007B5840">
        <w:t>nov</w:t>
      </w:r>
      <w:proofErr w:type="spellEnd"/>
      <w:r w:rsidRPr="007B5840">
        <w:t xml:space="preserve"> 2014;51(11):724</w:t>
      </w:r>
      <w:r w:rsidRPr="007B5840">
        <w:rPr>
          <w:rFonts w:ascii="Cambria Math" w:hAnsi="Cambria Math" w:cs="Cambria Math"/>
        </w:rPr>
        <w:t>‑</w:t>
      </w:r>
      <w:r w:rsidRPr="007B5840">
        <w:rPr>
          <w:rFonts w:ascii="Calibri" w:hAnsi="Calibri" w:cs="Calibri"/>
        </w:rPr>
        <w:t xml:space="preserve">36. </w:t>
      </w:r>
    </w:p>
    <w:p w:rsidR="0068125B" w:rsidRDefault="0068125B" w:rsidP="00A167CD">
      <w:pPr>
        <w:spacing w:after="0" w:line="480" w:lineRule="auto"/>
        <w:jc w:val="both"/>
        <w:rPr>
          <w:lang w:val="en-US"/>
        </w:rPr>
      </w:pPr>
    </w:p>
    <w:p w:rsidR="005671AA" w:rsidRDefault="005671AA" w:rsidP="0068125B"/>
    <w:sectPr w:rsidR="005671AA" w:rsidSect="008724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131078" w:nlCheck="1" w:checkStyle="1"/>
  <w:activeWritingStyle w:appName="MSWord" w:lang="fr-FR" w:vendorID="64" w:dllVersion="131078" w:nlCheck="1" w:checkStyle="1"/>
  <w:proofState w:spelling="clean" w:grammar="clean"/>
  <w:defaultTabStop w:val="708"/>
  <w:hyphenationZone w:val="425"/>
  <w:characterSpacingControl w:val="doNotCompress"/>
  <w:compat/>
  <w:rsids>
    <w:rsidRoot w:val="005671AA"/>
    <w:rsid w:val="00013722"/>
    <w:rsid w:val="00027C50"/>
    <w:rsid w:val="0003079E"/>
    <w:rsid w:val="00036D9C"/>
    <w:rsid w:val="00053586"/>
    <w:rsid w:val="000732B5"/>
    <w:rsid w:val="00093873"/>
    <w:rsid w:val="000B5761"/>
    <w:rsid w:val="000C74A3"/>
    <w:rsid w:val="000E1B0C"/>
    <w:rsid w:val="000F431B"/>
    <w:rsid w:val="00102B04"/>
    <w:rsid w:val="00117711"/>
    <w:rsid w:val="00120807"/>
    <w:rsid w:val="001222CF"/>
    <w:rsid w:val="00160ABD"/>
    <w:rsid w:val="00165E2A"/>
    <w:rsid w:val="001700AF"/>
    <w:rsid w:val="001834EF"/>
    <w:rsid w:val="001971A5"/>
    <w:rsid w:val="001C6597"/>
    <w:rsid w:val="001D5D98"/>
    <w:rsid w:val="001D6CA4"/>
    <w:rsid w:val="001D7687"/>
    <w:rsid w:val="001E164F"/>
    <w:rsid w:val="001F61B5"/>
    <w:rsid w:val="00200B15"/>
    <w:rsid w:val="00207248"/>
    <w:rsid w:val="002120BC"/>
    <w:rsid w:val="0024430F"/>
    <w:rsid w:val="002529E7"/>
    <w:rsid w:val="00260D2A"/>
    <w:rsid w:val="00267BCE"/>
    <w:rsid w:val="002722B4"/>
    <w:rsid w:val="002768EE"/>
    <w:rsid w:val="002951E5"/>
    <w:rsid w:val="002B2637"/>
    <w:rsid w:val="002C2F17"/>
    <w:rsid w:val="002D0D73"/>
    <w:rsid w:val="002E12B6"/>
    <w:rsid w:val="002E5149"/>
    <w:rsid w:val="002E5AFD"/>
    <w:rsid w:val="002F006A"/>
    <w:rsid w:val="00315804"/>
    <w:rsid w:val="003229A8"/>
    <w:rsid w:val="00346418"/>
    <w:rsid w:val="00346B56"/>
    <w:rsid w:val="0034787D"/>
    <w:rsid w:val="00365E67"/>
    <w:rsid w:val="003849B3"/>
    <w:rsid w:val="003A3806"/>
    <w:rsid w:val="003D3E3F"/>
    <w:rsid w:val="003D6AA0"/>
    <w:rsid w:val="003E3D0E"/>
    <w:rsid w:val="0040344C"/>
    <w:rsid w:val="00406FCE"/>
    <w:rsid w:val="00412276"/>
    <w:rsid w:val="00430C38"/>
    <w:rsid w:val="00447F39"/>
    <w:rsid w:val="00482F2A"/>
    <w:rsid w:val="004A3661"/>
    <w:rsid w:val="004B4550"/>
    <w:rsid w:val="004E2B07"/>
    <w:rsid w:val="004F6941"/>
    <w:rsid w:val="004F73A9"/>
    <w:rsid w:val="00504E5E"/>
    <w:rsid w:val="005156F4"/>
    <w:rsid w:val="0054089E"/>
    <w:rsid w:val="0054798C"/>
    <w:rsid w:val="00560585"/>
    <w:rsid w:val="0056425A"/>
    <w:rsid w:val="005671AA"/>
    <w:rsid w:val="00587E8E"/>
    <w:rsid w:val="005A0FF4"/>
    <w:rsid w:val="005C1271"/>
    <w:rsid w:val="005D5F34"/>
    <w:rsid w:val="005E42E3"/>
    <w:rsid w:val="005F5967"/>
    <w:rsid w:val="0061176C"/>
    <w:rsid w:val="0064275C"/>
    <w:rsid w:val="00665D29"/>
    <w:rsid w:val="00666844"/>
    <w:rsid w:val="006675E9"/>
    <w:rsid w:val="006806F5"/>
    <w:rsid w:val="0068125B"/>
    <w:rsid w:val="00681DD9"/>
    <w:rsid w:val="00693FAC"/>
    <w:rsid w:val="006A0FF9"/>
    <w:rsid w:val="006A7D12"/>
    <w:rsid w:val="006C4137"/>
    <w:rsid w:val="006C7CCD"/>
    <w:rsid w:val="006D3038"/>
    <w:rsid w:val="006E5EC7"/>
    <w:rsid w:val="00701427"/>
    <w:rsid w:val="0070665B"/>
    <w:rsid w:val="00720188"/>
    <w:rsid w:val="00766FE4"/>
    <w:rsid w:val="00773F6E"/>
    <w:rsid w:val="007B2E99"/>
    <w:rsid w:val="007B5840"/>
    <w:rsid w:val="007B6234"/>
    <w:rsid w:val="007D5D8E"/>
    <w:rsid w:val="007F453A"/>
    <w:rsid w:val="0083202D"/>
    <w:rsid w:val="00864042"/>
    <w:rsid w:val="00867616"/>
    <w:rsid w:val="00872494"/>
    <w:rsid w:val="00874AE7"/>
    <w:rsid w:val="008751D1"/>
    <w:rsid w:val="00877963"/>
    <w:rsid w:val="00890114"/>
    <w:rsid w:val="008B1FE4"/>
    <w:rsid w:val="008C7DBB"/>
    <w:rsid w:val="008D23AB"/>
    <w:rsid w:val="008F2701"/>
    <w:rsid w:val="0090656C"/>
    <w:rsid w:val="009340A4"/>
    <w:rsid w:val="009441B0"/>
    <w:rsid w:val="00960DE8"/>
    <w:rsid w:val="00973EEA"/>
    <w:rsid w:val="009B0B10"/>
    <w:rsid w:val="009E2B0C"/>
    <w:rsid w:val="009E6836"/>
    <w:rsid w:val="00A12945"/>
    <w:rsid w:val="00A167CD"/>
    <w:rsid w:val="00A201BD"/>
    <w:rsid w:val="00A23FB6"/>
    <w:rsid w:val="00A2552D"/>
    <w:rsid w:val="00A30CC5"/>
    <w:rsid w:val="00A42F70"/>
    <w:rsid w:val="00A5437C"/>
    <w:rsid w:val="00A60968"/>
    <w:rsid w:val="00A87580"/>
    <w:rsid w:val="00AB53DF"/>
    <w:rsid w:val="00AC1E25"/>
    <w:rsid w:val="00AC30DC"/>
    <w:rsid w:val="00AF330F"/>
    <w:rsid w:val="00B24F85"/>
    <w:rsid w:val="00B31DBE"/>
    <w:rsid w:val="00B440C0"/>
    <w:rsid w:val="00B54C00"/>
    <w:rsid w:val="00B604EA"/>
    <w:rsid w:val="00B75A54"/>
    <w:rsid w:val="00B76C73"/>
    <w:rsid w:val="00B91A3E"/>
    <w:rsid w:val="00B9775C"/>
    <w:rsid w:val="00B97D19"/>
    <w:rsid w:val="00BC179C"/>
    <w:rsid w:val="00BC1FFD"/>
    <w:rsid w:val="00BC217F"/>
    <w:rsid w:val="00BD0CA7"/>
    <w:rsid w:val="00C0179E"/>
    <w:rsid w:val="00C12342"/>
    <w:rsid w:val="00C16A1F"/>
    <w:rsid w:val="00C2417A"/>
    <w:rsid w:val="00C66749"/>
    <w:rsid w:val="00C91A4F"/>
    <w:rsid w:val="00C9663F"/>
    <w:rsid w:val="00CB0F78"/>
    <w:rsid w:val="00CB4749"/>
    <w:rsid w:val="00CB6A7D"/>
    <w:rsid w:val="00CB784E"/>
    <w:rsid w:val="00CC438B"/>
    <w:rsid w:val="00CC4A1B"/>
    <w:rsid w:val="00CE56B5"/>
    <w:rsid w:val="00CF24CE"/>
    <w:rsid w:val="00CF6574"/>
    <w:rsid w:val="00D172CD"/>
    <w:rsid w:val="00D2628B"/>
    <w:rsid w:val="00D323DD"/>
    <w:rsid w:val="00D47821"/>
    <w:rsid w:val="00D56E81"/>
    <w:rsid w:val="00D62EF1"/>
    <w:rsid w:val="00D77946"/>
    <w:rsid w:val="00D910D3"/>
    <w:rsid w:val="00DA7E93"/>
    <w:rsid w:val="00DC346F"/>
    <w:rsid w:val="00DC49F7"/>
    <w:rsid w:val="00DF3A57"/>
    <w:rsid w:val="00E118EE"/>
    <w:rsid w:val="00E52391"/>
    <w:rsid w:val="00E67EBD"/>
    <w:rsid w:val="00E82863"/>
    <w:rsid w:val="00E91FA1"/>
    <w:rsid w:val="00EB6047"/>
    <w:rsid w:val="00EB7AE7"/>
    <w:rsid w:val="00EC1141"/>
    <w:rsid w:val="00EC58B5"/>
    <w:rsid w:val="00ED2E6D"/>
    <w:rsid w:val="00ED7862"/>
    <w:rsid w:val="00EF1A94"/>
    <w:rsid w:val="00EF39D6"/>
    <w:rsid w:val="00EF5B60"/>
    <w:rsid w:val="00F26389"/>
    <w:rsid w:val="00F410E5"/>
    <w:rsid w:val="00F4257E"/>
    <w:rsid w:val="00F624B5"/>
    <w:rsid w:val="00F62DEB"/>
    <w:rsid w:val="00F910CC"/>
    <w:rsid w:val="00FB0AFF"/>
    <w:rsid w:val="00FC0900"/>
    <w:rsid w:val="00FF1509"/>
    <w:rsid w:val="00FF3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79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5671AA"/>
    <w:rPr>
      <w:sz w:val="16"/>
      <w:szCs w:val="16"/>
    </w:rPr>
  </w:style>
  <w:style w:type="paragraph" w:styleId="Bibliographie">
    <w:name w:val="Bibliography"/>
    <w:basedOn w:val="Normal"/>
    <w:next w:val="Normal"/>
    <w:uiPriority w:val="37"/>
    <w:unhideWhenUsed/>
    <w:rsid w:val="0068125B"/>
  </w:style>
  <w:style w:type="character" w:customStyle="1" w:styleId="CommentaireCar">
    <w:name w:val="Commentaire Car"/>
    <w:basedOn w:val="Policepardfaut"/>
    <w:link w:val="Commentaire"/>
    <w:uiPriority w:val="99"/>
    <w:semiHidden/>
    <w:rsid w:val="00FB0AFF"/>
    <w:rPr>
      <w:sz w:val="20"/>
      <w:szCs w:val="20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B0AFF"/>
    <w:pPr>
      <w:spacing w:after="200" w:line="240" w:lineRule="auto"/>
    </w:pPr>
    <w:rPr>
      <w:sz w:val="20"/>
      <w:szCs w:val="20"/>
    </w:rPr>
  </w:style>
  <w:style w:type="character" w:customStyle="1" w:styleId="CommentaireCar1">
    <w:name w:val="Commentaire Car1"/>
    <w:basedOn w:val="Policepardfaut"/>
    <w:uiPriority w:val="99"/>
    <w:semiHidden/>
    <w:rsid w:val="00FB0AFF"/>
    <w:rPr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FB0AFF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B0A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0AFF"/>
    <w:rPr>
      <w:rFonts w:ascii="Segoe UI" w:hAnsi="Segoe UI" w:cs="Segoe UI"/>
      <w:sz w:val="18"/>
      <w:szCs w:val="18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346418"/>
    <w:rPr>
      <w:color w:val="605E5C"/>
      <w:shd w:val="clear" w:color="auto" w:fill="E1DFDD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8B1FE4"/>
    <w:rPr>
      <w:color w:val="605E5C"/>
      <w:shd w:val="clear" w:color="auto" w:fill="E1DFDD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81DD9"/>
    <w:pPr>
      <w:spacing w:after="160"/>
    </w:pPr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81DD9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nematcher.org/" TargetMode="External"/><Relationship Id="rId13" Type="http://schemas.openxmlformats.org/officeDocument/2006/relationships/hyperlink" Target="https://mobidetails.iurc.montp.inserm.fr/MD/gene/DLG3" TargetMode="External"/><Relationship Id="rId18" Type="http://schemas.openxmlformats.org/officeDocument/2006/relationships/hyperlink" Target="https://swissmodel.expasy.org/interactive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biosig.lab.uq.edu.au/dynamut2/" TargetMode="External"/><Relationship Id="rId12" Type="http://schemas.openxmlformats.org/officeDocument/2006/relationships/hyperlink" Target="https://stuart.radboudumc.nl/metadome/dashboard/transcript/ENST00000374360.3/" TargetMode="External"/><Relationship Id="rId17" Type="http://schemas.openxmlformats.org/officeDocument/2006/relationships/hyperlink" Target="https://www.rcsb.org/3d-view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ymol.org/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alphafold.ebi.ac.uk/entry/Q92796" TargetMode="External"/><Relationship Id="rId11" Type="http://schemas.openxmlformats.org/officeDocument/2006/relationships/hyperlink" Target="https://toolkit.tuebingen.mpg.de/tools/hhpred" TargetMode="External"/><Relationship Id="rId5" Type="http://schemas.openxmlformats.org/officeDocument/2006/relationships/hyperlink" Target="https://alphafold.com/" TargetMode="External"/><Relationship Id="rId15" Type="http://schemas.openxmlformats.org/officeDocument/2006/relationships/hyperlink" Target="https://www.australiangenomics.org.au/tools-and-resources/persyst-pathogenic-evaluation-of-recalcitrant-variants-by-systematic-transactivation/" TargetMode="External"/><Relationship Id="rId10" Type="http://schemas.openxmlformats.org/officeDocument/2006/relationships/hyperlink" Target="https://gnomad.broadinstitute.org/gene/ENSG00000082458?dataset=gnomad_r4" TargetMode="External"/><Relationship Id="rId19" Type="http://schemas.openxmlformats.org/officeDocument/2006/relationships/hyperlink" Target="https://www.uniprot.org/uniprotkb/Q92796/entry" TargetMode="External"/><Relationship Id="rId4" Type="http://schemas.openxmlformats.org/officeDocument/2006/relationships/hyperlink" Target="https://www.rcsb.org/structure/1UM7" TargetMode="External"/><Relationship Id="rId9" Type="http://schemas.openxmlformats.org/officeDocument/2006/relationships/hyperlink" Target="https://gnomad.broadinstitute.org/gene/ENSG00000082458?dataset=gnomad_r2_1" TargetMode="External"/><Relationship Id="rId14" Type="http://schemas.openxmlformats.org/officeDocument/2006/relationships/hyperlink" Target="https://www.rcsb.org/3d-view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1209</Words>
  <Characters>6652</Characters>
  <Application>Microsoft Office Word</Application>
  <DocSecurity>0</DocSecurity>
  <Lines>55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MALBOS Marlene</dc:creator>
  <cp:lastModifiedBy>win</cp:lastModifiedBy>
  <cp:revision>6</cp:revision>
  <dcterms:created xsi:type="dcterms:W3CDTF">2025-01-13T19:05:00Z</dcterms:created>
  <dcterms:modified xsi:type="dcterms:W3CDTF">2025-02-09T14:42:00Z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zotero-version="6.0.36"&gt;&lt;session id="E7CoT7dr"/&gt;&lt;style id="http://www.zotero.org/styles/vancouver" locale="fr-FR" hasBibliography="1" bibliographyStyleHasBeenSet="1"/&gt;&lt;prefs&gt;&lt;pref name="fieldType" value="Field"/&gt;&lt;pref name="automati</vt:lpwstr>
  </property>
  <property fmtid="{D5CDD505-2E9C-101B-9397-08002B2CF9AE}" pid="3" name="ZOTERO_PREF_2">
    <vt:lpwstr>cJournalAbbreviations" value="true"/&gt;&lt;/prefs&gt;&lt;/data&gt;</vt:lpwstr>
  </property>
</Properties>
</file>