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F6F70" w:rsidRPr="00FF6F70" w:rsidRDefault="000F0465" w:rsidP="00FF6F70">
      <w:pPr>
        <w:widowControl w:val="0"/>
        <w:snapToGrid w:val="0"/>
        <w:spacing w:line="480" w:lineRule="auto"/>
        <w:jc w:val="both"/>
        <w:rPr>
          <w:sz w:val="22"/>
          <w:szCs w:val="22"/>
        </w:rPr>
      </w:pPr>
      <w:r w:rsidRPr="00FF6F70">
        <w:rPr>
          <w:b/>
          <w:sz w:val="22"/>
          <w:szCs w:val="22"/>
        </w:rPr>
        <w:t xml:space="preserve"> Supplementary Figure </w:t>
      </w:r>
      <w:r w:rsidR="001035B2">
        <w:rPr>
          <w:b/>
          <w:sz w:val="22"/>
          <w:szCs w:val="22"/>
        </w:rPr>
        <w:t>S</w:t>
      </w:r>
      <w:r w:rsidRPr="00FF6F70">
        <w:rPr>
          <w:b/>
          <w:sz w:val="22"/>
          <w:szCs w:val="22"/>
        </w:rPr>
        <w:t>1.</w:t>
      </w:r>
      <w:r w:rsidRPr="00FF6F70">
        <w:rPr>
          <w:sz w:val="22"/>
          <w:szCs w:val="22"/>
        </w:rPr>
        <w:t xml:space="preserve"> Relationship between WHO classification and driver subtypes. </w:t>
      </w:r>
      <w:r w:rsidRPr="00FF6F70">
        <w:rPr>
          <w:bCs/>
          <w:sz w:val="22"/>
          <w:szCs w:val="22"/>
        </w:rPr>
        <w:t>Abbreviations: CSD, cumulative sun-damaged; WT, wildtype</w:t>
      </w:r>
      <w:r w:rsidRPr="00FF6F70">
        <w:rPr>
          <w:sz w:val="22"/>
          <w:szCs w:val="22"/>
        </w:rPr>
        <w:t>.</w:t>
      </w:r>
      <w:commentRangeStart w:id="0"/>
      <w:commentRangeEnd w:id="0"/>
    </w:p>
    <w:p w:rsidR="00FF6F70" w:rsidRPr="00FF6F70" w:rsidRDefault="00FF6F70" w:rsidP="00FF6F70">
      <w:pPr>
        <w:widowControl w:val="0"/>
        <w:snapToGrid w:val="0"/>
        <w:spacing w:line="480" w:lineRule="auto"/>
        <w:jc w:val="both"/>
        <w:rPr>
          <w:b/>
          <w:sz w:val="22"/>
          <w:szCs w:val="22"/>
        </w:rPr>
      </w:pPr>
    </w:p>
    <w:p w:rsidR="00FF6F70" w:rsidRDefault="000F0465" w:rsidP="00FF6F70">
      <w:pPr>
        <w:widowControl w:val="0"/>
        <w:snapToGrid w:val="0"/>
        <w:spacing w:line="480" w:lineRule="auto"/>
        <w:jc w:val="both"/>
        <w:rPr>
          <w:bCs/>
          <w:sz w:val="22"/>
          <w:szCs w:val="22"/>
        </w:rPr>
      </w:pPr>
      <w:r w:rsidRPr="00FF6F70">
        <w:rPr>
          <w:b/>
          <w:bCs/>
          <w:sz w:val="22"/>
          <w:szCs w:val="22"/>
        </w:rPr>
        <w:t xml:space="preserve">Supplementary Figure </w:t>
      </w:r>
      <w:r w:rsidR="001035B2">
        <w:rPr>
          <w:b/>
          <w:bCs/>
          <w:sz w:val="22"/>
          <w:szCs w:val="22"/>
        </w:rPr>
        <w:t>S</w:t>
      </w:r>
      <w:r w:rsidRPr="00FF6F70">
        <w:rPr>
          <w:b/>
          <w:bCs/>
          <w:sz w:val="22"/>
          <w:szCs w:val="22"/>
        </w:rPr>
        <w:t>2.</w:t>
      </w:r>
      <w:r w:rsidRPr="00FF6F70">
        <w:rPr>
          <w:sz w:val="22"/>
          <w:szCs w:val="22"/>
        </w:rPr>
        <w:t xml:space="preserve"> Driver mutations before, during</w:t>
      </w:r>
      <w:r>
        <w:rPr>
          <w:sz w:val="22"/>
          <w:szCs w:val="22"/>
        </w:rPr>
        <w:t>,</w:t>
      </w:r>
      <w:r w:rsidRPr="00FF6F70">
        <w:rPr>
          <w:sz w:val="22"/>
          <w:szCs w:val="22"/>
        </w:rPr>
        <w:t xml:space="preserve"> and after ICI treatment. Oncoprint is used to indicate temporal patterns of driver mutations derived from 21 cases. </w:t>
      </w:r>
      <w:r w:rsidRPr="00FF6F70">
        <w:rPr>
          <w:bCs/>
          <w:sz w:val="22"/>
          <w:szCs w:val="22"/>
        </w:rPr>
        <w:t>Abbreviations: ICI, immune checkpoint inhibitor.</w:t>
      </w:r>
    </w:p>
    <w:p w:rsidR="00FF6F70" w:rsidRPr="00FF6F70" w:rsidRDefault="00FF6F70" w:rsidP="00FF6F70">
      <w:pPr>
        <w:widowControl w:val="0"/>
        <w:snapToGrid w:val="0"/>
        <w:spacing w:line="480" w:lineRule="auto"/>
        <w:jc w:val="both"/>
        <w:rPr>
          <w:sz w:val="22"/>
          <w:szCs w:val="22"/>
        </w:rPr>
      </w:pPr>
    </w:p>
    <w:p w:rsidR="00FF6F70" w:rsidRDefault="000F0465" w:rsidP="00FF6F70">
      <w:pPr>
        <w:widowControl w:val="0"/>
        <w:snapToGrid w:val="0"/>
        <w:spacing w:line="480" w:lineRule="auto"/>
        <w:jc w:val="both"/>
        <w:rPr>
          <w:sz w:val="22"/>
          <w:szCs w:val="22"/>
        </w:rPr>
      </w:pPr>
      <w:r w:rsidRPr="00FF6F70">
        <w:rPr>
          <w:b/>
          <w:sz w:val="22"/>
          <w:szCs w:val="22"/>
        </w:rPr>
        <w:t xml:space="preserve">Supplementary Figure </w:t>
      </w:r>
      <w:r w:rsidR="001035B2">
        <w:rPr>
          <w:b/>
          <w:sz w:val="22"/>
          <w:szCs w:val="22"/>
        </w:rPr>
        <w:t>S</w:t>
      </w:r>
      <w:r w:rsidRPr="00FF6F70">
        <w:rPr>
          <w:b/>
          <w:sz w:val="22"/>
          <w:szCs w:val="22"/>
        </w:rPr>
        <w:t>3</w:t>
      </w:r>
      <w:r w:rsidRPr="00FF6F70">
        <w:rPr>
          <w:b/>
          <w:sz w:val="22"/>
          <w:szCs w:val="22"/>
        </w:rPr>
        <w:t>.</w:t>
      </w:r>
      <w:r w:rsidRPr="00FF6F70">
        <w:rPr>
          <w:sz w:val="22"/>
          <w:szCs w:val="22"/>
        </w:rPr>
        <w:t xml:space="preserve"> The clinical course of the 21 cases used for </w:t>
      </w:r>
      <w:r w:rsidRPr="00FF6F70">
        <w:rPr>
          <w:sz w:val="22"/>
          <w:szCs w:val="22"/>
        </w:rPr>
        <w:t>tumor</w:t>
      </w:r>
      <w:r w:rsidRPr="00FF6F70">
        <w:rPr>
          <w:sz w:val="22"/>
          <w:szCs w:val="22"/>
        </w:rPr>
        <w:t xml:space="preserve"> analysis and the site and timing of </w:t>
      </w:r>
      <w:r w:rsidRPr="00FF6F70">
        <w:rPr>
          <w:sz w:val="22"/>
          <w:szCs w:val="22"/>
        </w:rPr>
        <w:t>tumor</w:t>
      </w:r>
      <w:r w:rsidRPr="00FF6F70">
        <w:rPr>
          <w:sz w:val="22"/>
          <w:szCs w:val="22"/>
        </w:rPr>
        <w:t xml:space="preserve"> sampling. </w:t>
      </w:r>
      <w:r w:rsidRPr="00FF6F70">
        <w:rPr>
          <w:bCs/>
          <w:sz w:val="22"/>
          <w:szCs w:val="22"/>
        </w:rPr>
        <w:t xml:space="preserve">Abbreviations: LDH, </w:t>
      </w:r>
      <w:r>
        <w:rPr>
          <w:bCs/>
          <w:sz w:val="22"/>
          <w:szCs w:val="22"/>
        </w:rPr>
        <w:t>l</w:t>
      </w:r>
      <w:r w:rsidRPr="00FF6F70">
        <w:rPr>
          <w:bCs/>
          <w:sz w:val="22"/>
          <w:szCs w:val="22"/>
        </w:rPr>
        <w:t xml:space="preserve">actate </w:t>
      </w:r>
      <w:r>
        <w:rPr>
          <w:bCs/>
          <w:sz w:val="22"/>
          <w:szCs w:val="22"/>
        </w:rPr>
        <w:t>d</w:t>
      </w:r>
      <w:r w:rsidRPr="00FF6F70">
        <w:rPr>
          <w:bCs/>
          <w:sz w:val="22"/>
          <w:szCs w:val="22"/>
        </w:rPr>
        <w:t xml:space="preserve">ehydrogenase; 5-S-CD, 5-S-cysteinyldopa; </w:t>
      </w:r>
      <w:r w:rsidRPr="00FF6F70">
        <w:rPr>
          <w:sz w:val="22"/>
          <w:szCs w:val="22"/>
        </w:rPr>
        <w:t>CR, complete response; PR, partial response; SD, stable disease; PD, progressive disease; Nivo, Nivolumab; Pembro, Pembrolizu</w:t>
      </w:r>
      <w:r w:rsidRPr="00FF6F70">
        <w:rPr>
          <w:sz w:val="22"/>
          <w:szCs w:val="22"/>
        </w:rPr>
        <w:t>mab; Ipi, I</w:t>
      </w:r>
      <w:r w:rsidRPr="00FF6F70">
        <w:rPr>
          <w:sz w:val="22"/>
          <w:szCs w:val="22"/>
        </w:rPr>
        <w:t>pilimumab; DTIC, Dacarbazine; RT, radiation therapy; Dab/Tra, Dabrafenib/Trametinib; Vem, Vemurafenib; Enco/Bini</w:t>
      </w:r>
      <w:bookmarkStart w:id="1" w:name="_GoBack"/>
      <w:bookmarkEnd w:id="1"/>
      <w:r w:rsidRPr="00FF6F70">
        <w:rPr>
          <w:sz w:val="22"/>
          <w:szCs w:val="22"/>
        </w:rPr>
        <w:t>, Encorafenib/Binimetinib; sAE, severe adverse event.</w:t>
      </w:r>
    </w:p>
    <w:p w:rsidR="00FF6F70" w:rsidRPr="00FF6F70" w:rsidRDefault="00FF6F70" w:rsidP="00FF6F70">
      <w:pPr>
        <w:widowControl w:val="0"/>
        <w:snapToGrid w:val="0"/>
        <w:spacing w:line="480" w:lineRule="auto"/>
        <w:jc w:val="both"/>
        <w:rPr>
          <w:sz w:val="22"/>
          <w:szCs w:val="22"/>
        </w:rPr>
      </w:pPr>
    </w:p>
    <w:p w:rsidR="00FF6F70" w:rsidRPr="00FF6F70" w:rsidRDefault="000F0465" w:rsidP="00FF6F70">
      <w:pPr>
        <w:spacing w:line="480" w:lineRule="auto"/>
        <w:contextualSpacing/>
        <w:jc w:val="both"/>
        <w:rPr>
          <w:rFonts w:eastAsia="ＭＳ Ｐゴシック"/>
          <w:bCs/>
          <w:sz w:val="22"/>
          <w:szCs w:val="22"/>
          <w:lang w:eastAsia="ja-JP" w:bidi="ar-SA"/>
        </w:rPr>
      </w:pPr>
      <w:r w:rsidRPr="00FF6F70">
        <w:rPr>
          <w:rFonts w:eastAsia="ＭＳ Ｐゴシック"/>
          <w:b/>
          <w:sz w:val="22"/>
          <w:szCs w:val="22"/>
          <w:lang w:eastAsia="ja-JP" w:bidi="ar-SA"/>
        </w:rPr>
        <w:t xml:space="preserve">Supplementary Figure </w:t>
      </w:r>
      <w:r w:rsidR="001035B2">
        <w:rPr>
          <w:rFonts w:eastAsia="ＭＳ Ｐゴシック"/>
          <w:b/>
          <w:sz w:val="22"/>
          <w:szCs w:val="22"/>
          <w:lang w:eastAsia="ja-JP" w:bidi="ar-SA"/>
        </w:rPr>
        <w:t>S</w:t>
      </w:r>
      <w:r w:rsidRPr="00FF6F70">
        <w:rPr>
          <w:rFonts w:eastAsia="ＭＳ Ｐゴシック"/>
          <w:b/>
          <w:sz w:val="22"/>
          <w:szCs w:val="22"/>
          <w:lang w:eastAsia="ja-JP" w:bidi="ar-SA"/>
        </w:rPr>
        <w:t>4.</w:t>
      </w:r>
      <w:r w:rsidRPr="00FF6F70">
        <w:rPr>
          <w:rFonts w:eastAsia="ＭＳ Ｐゴシック"/>
          <w:sz w:val="22"/>
          <w:szCs w:val="22"/>
          <w:lang w:eastAsia="ja-JP" w:bidi="ar-SA"/>
        </w:rPr>
        <w:t xml:space="preserve"> Multiplex immunofluorescence and cellular </w:t>
      </w:r>
      <w:r w:rsidRPr="00FF6F70">
        <w:rPr>
          <w:rFonts w:eastAsia="ＭＳ Ｐゴシック"/>
          <w:sz w:val="22"/>
          <w:szCs w:val="22"/>
          <w:lang w:eastAsia="ja-JP" w:bidi="ar-SA"/>
        </w:rPr>
        <w:t>neighborhood</w:t>
      </w:r>
      <w:r w:rsidRPr="00FF6F70">
        <w:rPr>
          <w:rFonts w:eastAsia="ＭＳ Ｐゴシック"/>
          <w:sz w:val="22"/>
          <w:szCs w:val="22"/>
          <w:lang w:eastAsia="ja-JP" w:bidi="ar-SA"/>
        </w:rPr>
        <w:t xml:space="preserve"> analysis of </w:t>
      </w:r>
      <w:r w:rsidR="00344C12">
        <w:rPr>
          <w:rFonts w:eastAsia="ＭＳ Ｐゴシック"/>
          <w:sz w:val="22"/>
          <w:szCs w:val="22"/>
          <w:lang w:eastAsia="ja-JP" w:bidi="ar-SA"/>
        </w:rPr>
        <w:t>before</w:t>
      </w:r>
      <w:r w:rsidRPr="00FF6F70">
        <w:rPr>
          <w:rFonts w:eastAsia="ＭＳ Ｐゴシック"/>
          <w:sz w:val="22"/>
          <w:szCs w:val="22"/>
          <w:lang w:eastAsia="ja-JP" w:bidi="ar-SA"/>
        </w:rPr>
        <w:t xml:space="preserve">- and </w:t>
      </w:r>
      <w:r w:rsidR="00344C12">
        <w:rPr>
          <w:rFonts w:eastAsia="ＭＳ Ｐゴシック"/>
          <w:sz w:val="22"/>
          <w:szCs w:val="22"/>
          <w:lang w:eastAsia="ja-JP" w:bidi="ar-SA"/>
        </w:rPr>
        <w:t>after</w:t>
      </w:r>
      <w:r w:rsidRPr="00FF6F70">
        <w:rPr>
          <w:rFonts w:eastAsia="ＭＳ Ｐゴシック"/>
          <w:sz w:val="22"/>
          <w:szCs w:val="22"/>
          <w:lang w:eastAsia="ja-JP" w:bidi="ar-SA"/>
        </w:rPr>
        <w:t xml:space="preserve">-treatment samples from a responder </w:t>
      </w:r>
      <w:r>
        <w:rPr>
          <w:rFonts w:eastAsia="ＭＳ Ｐゴシック"/>
          <w:sz w:val="22"/>
          <w:szCs w:val="22"/>
          <w:lang w:eastAsia="ja-JP" w:bidi="ar-SA"/>
        </w:rPr>
        <w:t>(</w:t>
      </w:r>
      <w:r w:rsidRPr="00FF6F70">
        <w:rPr>
          <w:rFonts w:eastAsia="ＭＳ Ｐゴシック"/>
          <w:sz w:val="22"/>
          <w:szCs w:val="22"/>
          <w:lang w:eastAsia="ja-JP" w:bidi="ar-SA"/>
        </w:rPr>
        <w:t>KM041</w:t>
      </w:r>
      <w:r>
        <w:rPr>
          <w:rFonts w:eastAsia="ＭＳ Ｐゴシック"/>
          <w:sz w:val="22"/>
          <w:szCs w:val="22"/>
          <w:lang w:eastAsia="ja-JP" w:bidi="ar-SA"/>
        </w:rPr>
        <w:t>)</w:t>
      </w:r>
      <w:r w:rsidRPr="00FF6F70">
        <w:rPr>
          <w:rFonts w:eastAsia="ＭＳ Ｐゴシック"/>
          <w:sz w:val="22"/>
          <w:szCs w:val="22"/>
          <w:lang w:eastAsia="ja-JP" w:bidi="ar-SA"/>
        </w:rPr>
        <w:t xml:space="preserve">. A. Images of multiplex immunofluorescence  of </w:t>
      </w:r>
      <w:r w:rsidR="00344C12">
        <w:rPr>
          <w:rFonts w:eastAsia="ＭＳ Ｐゴシック"/>
          <w:sz w:val="22"/>
          <w:szCs w:val="22"/>
          <w:lang w:eastAsia="ja-JP" w:bidi="ar-SA"/>
        </w:rPr>
        <w:t>before</w:t>
      </w:r>
      <w:r w:rsidRPr="00FF6F70">
        <w:rPr>
          <w:rFonts w:eastAsia="ＭＳ Ｐゴシック"/>
          <w:sz w:val="22"/>
          <w:szCs w:val="22"/>
          <w:lang w:eastAsia="ja-JP" w:bidi="ar-SA"/>
        </w:rPr>
        <w:t xml:space="preserve">- (left) and </w:t>
      </w:r>
      <w:r w:rsidR="00344C12">
        <w:rPr>
          <w:rFonts w:eastAsia="ＭＳ Ｐゴシック"/>
          <w:sz w:val="22"/>
          <w:szCs w:val="22"/>
          <w:lang w:eastAsia="ja-JP" w:bidi="ar-SA"/>
        </w:rPr>
        <w:t>after</w:t>
      </w:r>
      <w:r w:rsidRPr="00FF6F70">
        <w:rPr>
          <w:rFonts w:eastAsia="ＭＳ Ｐゴシック"/>
          <w:sz w:val="22"/>
          <w:szCs w:val="22"/>
          <w:lang w:eastAsia="ja-JP" w:bidi="ar-SA"/>
        </w:rPr>
        <w:t xml:space="preserve">- (right) treatment samples. Index bars indicate 100 </w:t>
      </w:r>
      <w:r w:rsidRPr="00FF6F70">
        <w:rPr>
          <w:rFonts w:ascii="Symbol" w:eastAsia="ＭＳ Ｐゴシック" w:hAnsi="Symbol"/>
          <w:sz w:val="22"/>
          <w:szCs w:val="22"/>
          <w:lang w:eastAsia="ja-JP" w:bidi="ar-SA"/>
        </w:rPr>
        <w:sym w:font="Symbol" w:char="F06D"/>
      </w:r>
      <w:r w:rsidRPr="00FF6F70">
        <w:rPr>
          <w:rFonts w:eastAsia="ＭＳ Ｐゴシック"/>
          <w:sz w:val="22"/>
          <w:szCs w:val="22"/>
          <w:lang w:eastAsia="ja-JP" w:bidi="ar-SA"/>
        </w:rPr>
        <w:t xml:space="preserve">m. B. Region assignment by CODEX processor. Two and three regions were assigned based on the </w:t>
      </w:r>
      <w:r w:rsidRPr="00FF6F70">
        <w:rPr>
          <w:rFonts w:eastAsia="ＭＳ Ｐゴシック"/>
          <w:sz w:val="22"/>
          <w:szCs w:val="22"/>
          <w:lang w:eastAsia="ja-JP" w:bidi="ar-SA"/>
        </w:rPr>
        <w:t>neighborhood</w:t>
      </w:r>
      <w:r w:rsidRPr="00FF6F70">
        <w:rPr>
          <w:rFonts w:eastAsia="ＭＳ Ｐゴシック"/>
          <w:sz w:val="22"/>
          <w:szCs w:val="22"/>
          <w:lang w:eastAsia="ja-JP" w:bidi="ar-SA"/>
        </w:rPr>
        <w:t xml:space="preserve">, and numbered according to the cellularity for </w:t>
      </w:r>
      <w:r w:rsidR="00344C12">
        <w:rPr>
          <w:rFonts w:eastAsia="ＭＳ Ｐゴシック"/>
          <w:sz w:val="22"/>
          <w:szCs w:val="22"/>
          <w:lang w:eastAsia="ja-JP" w:bidi="ar-SA"/>
        </w:rPr>
        <w:t>before</w:t>
      </w:r>
      <w:r w:rsidRPr="00FF6F70">
        <w:rPr>
          <w:rFonts w:eastAsia="ＭＳ Ｐゴシック"/>
          <w:sz w:val="22"/>
          <w:szCs w:val="22"/>
          <w:lang w:eastAsia="ja-JP" w:bidi="ar-SA"/>
        </w:rPr>
        <w:t xml:space="preserve">- and </w:t>
      </w:r>
      <w:r w:rsidR="00344C12">
        <w:rPr>
          <w:rFonts w:eastAsia="ＭＳ Ｐゴシック"/>
          <w:sz w:val="22"/>
          <w:szCs w:val="22"/>
          <w:lang w:eastAsia="ja-JP" w:bidi="ar-SA"/>
        </w:rPr>
        <w:t>after</w:t>
      </w:r>
      <w:r w:rsidRPr="00FF6F70">
        <w:rPr>
          <w:rFonts w:eastAsia="ＭＳ Ｐゴシック"/>
          <w:sz w:val="22"/>
          <w:szCs w:val="22"/>
          <w:lang w:eastAsia="ja-JP" w:bidi="ar-SA"/>
        </w:rPr>
        <w:t>-treatment samples</w:t>
      </w:r>
      <w:r>
        <w:rPr>
          <w:rFonts w:eastAsia="ＭＳ Ｐゴシック"/>
          <w:sz w:val="22"/>
          <w:szCs w:val="22"/>
          <w:lang w:eastAsia="ja-JP" w:bidi="ar-SA"/>
        </w:rPr>
        <w:t>, respectively</w:t>
      </w:r>
      <w:r w:rsidRPr="00FF6F70">
        <w:rPr>
          <w:rFonts w:eastAsia="ＭＳ Ｐゴシック"/>
          <w:sz w:val="22"/>
          <w:szCs w:val="22"/>
          <w:lang w:eastAsia="ja-JP" w:bidi="ar-SA"/>
        </w:rPr>
        <w:t xml:space="preserve">. C. Heatmaps of cell compositions in the </w:t>
      </w:r>
      <w:r w:rsidRPr="00FF6F70">
        <w:rPr>
          <w:rFonts w:eastAsia="ＭＳ Ｐゴシック"/>
          <w:sz w:val="22"/>
          <w:szCs w:val="22"/>
          <w:lang w:eastAsia="ja-JP" w:bidi="ar-SA"/>
        </w:rPr>
        <w:t>neighborhood</w:t>
      </w:r>
      <w:r w:rsidRPr="00FF6F70">
        <w:rPr>
          <w:rFonts w:eastAsia="ＭＳ Ｐゴシック"/>
          <w:sz w:val="22"/>
          <w:szCs w:val="22"/>
          <w:lang w:eastAsia="ja-JP" w:bidi="ar-SA"/>
        </w:rPr>
        <w:t xml:space="preserve"> of </w:t>
      </w:r>
      <w:r w:rsidR="00344C12">
        <w:rPr>
          <w:rFonts w:eastAsia="ＭＳ Ｐゴシック"/>
          <w:sz w:val="22"/>
          <w:szCs w:val="22"/>
          <w:lang w:eastAsia="ja-JP" w:bidi="ar-SA"/>
        </w:rPr>
        <w:t>before</w:t>
      </w:r>
      <w:r w:rsidRPr="00FF6F70">
        <w:rPr>
          <w:rFonts w:eastAsia="ＭＳ Ｐゴシック"/>
          <w:sz w:val="22"/>
          <w:szCs w:val="22"/>
          <w:lang w:eastAsia="ja-JP" w:bidi="ar-SA"/>
        </w:rPr>
        <w:t xml:space="preserve">- (left) and </w:t>
      </w:r>
      <w:r w:rsidR="00344C12">
        <w:rPr>
          <w:rFonts w:eastAsia="ＭＳ Ｐゴシック"/>
          <w:sz w:val="22"/>
          <w:szCs w:val="22"/>
          <w:lang w:eastAsia="ja-JP" w:bidi="ar-SA"/>
        </w:rPr>
        <w:t>after</w:t>
      </w:r>
      <w:r w:rsidRPr="00FF6F70">
        <w:rPr>
          <w:rFonts w:eastAsia="ＭＳ Ｐゴシック"/>
          <w:sz w:val="22"/>
          <w:szCs w:val="22"/>
          <w:lang w:eastAsia="ja-JP" w:bidi="ar-SA"/>
        </w:rPr>
        <w:t xml:space="preserve">- (right) treatment samples. Antigens </w:t>
      </w:r>
      <w:r>
        <w:rPr>
          <w:rFonts w:eastAsia="ＭＳ Ｐゴシック"/>
          <w:sz w:val="22"/>
          <w:szCs w:val="22"/>
          <w:lang w:eastAsia="ja-JP" w:bidi="ar-SA"/>
        </w:rPr>
        <w:t>are</w:t>
      </w:r>
      <w:r w:rsidRPr="00FF6F70">
        <w:rPr>
          <w:rFonts w:eastAsia="ＭＳ Ｐゴシック"/>
          <w:sz w:val="22"/>
          <w:szCs w:val="22"/>
          <w:lang w:eastAsia="ja-JP" w:bidi="ar-SA"/>
        </w:rPr>
        <w:t xml:space="preserve"> </w:t>
      </w:r>
      <w:r w:rsidRPr="00FF6F70">
        <w:rPr>
          <w:rFonts w:eastAsia="ＭＳ Ｐゴシック"/>
          <w:sz w:val="22"/>
          <w:szCs w:val="22"/>
          <w:lang w:eastAsia="ja-JP" w:bidi="ar-SA"/>
        </w:rPr>
        <w:t xml:space="preserve">shown on the left. D. Heatmaps of the </w:t>
      </w:r>
      <w:r w:rsidRPr="00FF6F70">
        <w:rPr>
          <w:rFonts w:eastAsia="ＭＳ Ｐゴシック"/>
          <w:sz w:val="22"/>
          <w:szCs w:val="22"/>
          <w:lang w:eastAsia="ja-JP" w:bidi="ar-SA"/>
        </w:rPr>
        <w:t>density of each antigen expressing cell</w:t>
      </w:r>
      <w:r w:rsidRPr="00FF6F70">
        <w:rPr>
          <w:rFonts w:eastAsia="ＭＳ Ｐゴシック"/>
          <w:sz w:val="22"/>
          <w:szCs w:val="22"/>
          <w:lang w:eastAsia="ja-JP" w:bidi="ar-SA"/>
        </w:rPr>
        <w:t xml:space="preserve"> of </w:t>
      </w:r>
      <w:r w:rsidR="00344C12">
        <w:rPr>
          <w:rFonts w:eastAsia="ＭＳ Ｐゴシック"/>
          <w:sz w:val="22"/>
          <w:szCs w:val="22"/>
          <w:lang w:eastAsia="ja-JP" w:bidi="ar-SA"/>
        </w:rPr>
        <w:t>before</w:t>
      </w:r>
      <w:r w:rsidRPr="00FF6F70">
        <w:rPr>
          <w:rFonts w:eastAsia="ＭＳ Ｐゴシック"/>
          <w:sz w:val="22"/>
          <w:szCs w:val="22"/>
          <w:lang w:eastAsia="ja-JP" w:bidi="ar-SA"/>
        </w:rPr>
        <w:t xml:space="preserve">- (left) and </w:t>
      </w:r>
      <w:r w:rsidR="00344C12">
        <w:rPr>
          <w:rFonts w:eastAsia="ＭＳ Ｐゴシック"/>
          <w:sz w:val="22"/>
          <w:szCs w:val="22"/>
          <w:lang w:eastAsia="ja-JP" w:bidi="ar-SA"/>
        </w:rPr>
        <w:t>after</w:t>
      </w:r>
      <w:r w:rsidRPr="00FF6F70">
        <w:rPr>
          <w:rFonts w:eastAsia="ＭＳ Ｐゴシック"/>
          <w:sz w:val="22"/>
          <w:szCs w:val="22"/>
          <w:lang w:eastAsia="ja-JP" w:bidi="ar-SA"/>
        </w:rPr>
        <w:t xml:space="preserve">- (right) treatment samples. The cell density </w:t>
      </w:r>
      <w:r>
        <w:rPr>
          <w:rFonts w:eastAsia="ＭＳ Ｐゴシック"/>
          <w:sz w:val="22"/>
          <w:szCs w:val="22"/>
          <w:lang w:eastAsia="ja-JP" w:bidi="ar-SA"/>
        </w:rPr>
        <w:t>i</w:t>
      </w:r>
      <w:r w:rsidRPr="00FF6F70">
        <w:rPr>
          <w:rFonts w:eastAsia="ＭＳ Ｐゴシック"/>
          <w:sz w:val="22"/>
          <w:szCs w:val="22"/>
          <w:lang w:eastAsia="ja-JP" w:bidi="ar-SA"/>
        </w:rPr>
        <w:t xml:space="preserve">s </w:t>
      </w:r>
      <w:r w:rsidRPr="00FF6F70">
        <w:rPr>
          <w:rFonts w:eastAsia="ＭＳ Ｐゴシック"/>
          <w:sz w:val="22"/>
          <w:szCs w:val="22"/>
          <w:lang w:eastAsia="ja-JP" w:bidi="ar-SA"/>
        </w:rPr>
        <w:t>als</w:t>
      </w:r>
      <w:r w:rsidRPr="00FF6F70">
        <w:rPr>
          <w:rFonts w:eastAsia="ＭＳ Ｐゴシック"/>
          <w:sz w:val="22"/>
          <w:szCs w:val="22"/>
          <w:lang w:eastAsia="ja-JP" w:bidi="ar-SA"/>
        </w:rPr>
        <w:t xml:space="preserve">o presented as the number on the heatmap. Antigens </w:t>
      </w:r>
      <w:r>
        <w:rPr>
          <w:rFonts w:eastAsia="ＭＳ Ｐゴシック"/>
          <w:sz w:val="22"/>
          <w:szCs w:val="22"/>
          <w:lang w:eastAsia="ja-JP" w:bidi="ar-SA"/>
        </w:rPr>
        <w:t>ar</w:t>
      </w:r>
      <w:r w:rsidRPr="00FF6F70">
        <w:rPr>
          <w:rFonts w:eastAsia="ＭＳ Ｐゴシック"/>
          <w:sz w:val="22"/>
          <w:szCs w:val="22"/>
          <w:lang w:eastAsia="ja-JP" w:bidi="ar-SA"/>
        </w:rPr>
        <w:t xml:space="preserve">e </w:t>
      </w:r>
      <w:r w:rsidRPr="00FF6F70">
        <w:rPr>
          <w:rFonts w:eastAsia="ＭＳ Ｐゴシック"/>
          <w:sz w:val="22"/>
          <w:szCs w:val="22"/>
          <w:lang w:eastAsia="ja-JP" w:bidi="ar-SA"/>
        </w:rPr>
        <w:t xml:space="preserve">shown on the left. The area percentage of the region </w:t>
      </w:r>
      <w:r>
        <w:rPr>
          <w:rFonts w:eastAsia="ＭＳ Ｐゴシック"/>
          <w:sz w:val="22"/>
          <w:szCs w:val="22"/>
          <w:lang w:eastAsia="ja-JP" w:bidi="ar-SA"/>
        </w:rPr>
        <w:t>is</w:t>
      </w:r>
      <w:r w:rsidRPr="00FF6F70">
        <w:rPr>
          <w:rFonts w:eastAsia="ＭＳ Ｐゴシック"/>
          <w:sz w:val="22"/>
          <w:szCs w:val="22"/>
          <w:lang w:eastAsia="ja-JP" w:bidi="ar-SA"/>
        </w:rPr>
        <w:t xml:space="preserve"> </w:t>
      </w:r>
      <w:r w:rsidRPr="00FF6F70">
        <w:rPr>
          <w:rFonts w:eastAsia="ＭＳ Ｐゴシック"/>
          <w:sz w:val="22"/>
          <w:szCs w:val="22"/>
          <w:lang w:eastAsia="ja-JP" w:bidi="ar-SA"/>
        </w:rPr>
        <w:t>shown on the bottom row.</w:t>
      </w:r>
    </w:p>
    <w:p w:rsidR="00FF6F70" w:rsidRPr="00FF6F70" w:rsidRDefault="00FF6F70" w:rsidP="00FF6F70">
      <w:pPr>
        <w:spacing w:line="480" w:lineRule="auto"/>
        <w:contextualSpacing/>
        <w:jc w:val="both"/>
        <w:rPr>
          <w:rFonts w:eastAsia="ＭＳ Ｐゴシック"/>
          <w:sz w:val="22"/>
          <w:szCs w:val="22"/>
          <w:lang w:eastAsia="ja-JP" w:bidi="ar-SA"/>
        </w:rPr>
      </w:pPr>
    </w:p>
    <w:p w:rsidR="0027309E" w:rsidRPr="00FF6F70" w:rsidRDefault="0027309E" w:rsidP="00FF6F70">
      <w:pPr>
        <w:spacing w:line="480" w:lineRule="auto"/>
        <w:jc w:val="both"/>
        <w:rPr>
          <w:sz w:val="22"/>
          <w:szCs w:val="22"/>
          <w:lang w:val="en-IN" w:eastAsia="ja-JP"/>
        </w:rPr>
      </w:pPr>
    </w:p>
    <w:sectPr w:rsidR="0027309E" w:rsidRPr="00FF6F70" w:rsidSect="00114A24">
      <w:pgSz w:w="12240" w:h="15840" w:code="1"/>
      <w:pgMar w:top="1304" w:right="1797" w:bottom="1304" w:left="179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ＭＳ Ｐゴシック">
    <w:altName w:val="ＭＳＰゴシック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EEA33B2"/>
    <w:multiLevelType w:val="multilevel"/>
    <w:tmpl w:val="EE2CD6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removeDateAndTime/>
  <w:bordersDoNotSurroundHeader/>
  <w:bordersDoNotSurroundFooter/>
  <w:proofState w:spelling="clean" w:grammar="clean"/>
  <w:trackRevisions/>
  <w:defaultTabStop w:val="720"/>
  <w:noPunctuationKerning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18A8"/>
    <w:rsid w:val="00002C61"/>
    <w:rsid w:val="00012970"/>
    <w:rsid w:val="000278C6"/>
    <w:rsid w:val="00035F27"/>
    <w:rsid w:val="00043E47"/>
    <w:rsid w:val="00046804"/>
    <w:rsid w:val="000632F3"/>
    <w:rsid w:val="00072192"/>
    <w:rsid w:val="00072ED6"/>
    <w:rsid w:val="000749F1"/>
    <w:rsid w:val="0007793C"/>
    <w:rsid w:val="0009492B"/>
    <w:rsid w:val="00095114"/>
    <w:rsid w:val="000B34AC"/>
    <w:rsid w:val="000D3ED4"/>
    <w:rsid w:val="000D781F"/>
    <w:rsid w:val="000F0465"/>
    <w:rsid w:val="000F1860"/>
    <w:rsid w:val="001035B2"/>
    <w:rsid w:val="00110D5C"/>
    <w:rsid w:val="00110FE4"/>
    <w:rsid w:val="00114A24"/>
    <w:rsid w:val="00115DDC"/>
    <w:rsid w:val="001201BB"/>
    <w:rsid w:val="0012521E"/>
    <w:rsid w:val="00130369"/>
    <w:rsid w:val="001457BC"/>
    <w:rsid w:val="0014797D"/>
    <w:rsid w:val="001618A8"/>
    <w:rsid w:val="001809B6"/>
    <w:rsid w:val="001C0A18"/>
    <w:rsid w:val="001C6A87"/>
    <w:rsid w:val="001D0462"/>
    <w:rsid w:val="001E4051"/>
    <w:rsid w:val="001F2920"/>
    <w:rsid w:val="001F296B"/>
    <w:rsid w:val="001F2B20"/>
    <w:rsid w:val="001F5CD4"/>
    <w:rsid w:val="0020571C"/>
    <w:rsid w:val="00206F40"/>
    <w:rsid w:val="002129D5"/>
    <w:rsid w:val="0022175C"/>
    <w:rsid w:val="00222050"/>
    <w:rsid w:val="00227580"/>
    <w:rsid w:val="00230D51"/>
    <w:rsid w:val="0023324D"/>
    <w:rsid w:val="002570C2"/>
    <w:rsid w:val="00263F49"/>
    <w:rsid w:val="0027309E"/>
    <w:rsid w:val="0027447C"/>
    <w:rsid w:val="00282000"/>
    <w:rsid w:val="002951E1"/>
    <w:rsid w:val="002A1693"/>
    <w:rsid w:val="002A4FD8"/>
    <w:rsid w:val="002B4CE5"/>
    <w:rsid w:val="002F1DB5"/>
    <w:rsid w:val="002F2376"/>
    <w:rsid w:val="00302BFF"/>
    <w:rsid w:val="003213B8"/>
    <w:rsid w:val="00327097"/>
    <w:rsid w:val="003318E3"/>
    <w:rsid w:val="00336DE6"/>
    <w:rsid w:val="00344C12"/>
    <w:rsid w:val="00355C7A"/>
    <w:rsid w:val="003568B4"/>
    <w:rsid w:val="003652AD"/>
    <w:rsid w:val="003732D3"/>
    <w:rsid w:val="0037469D"/>
    <w:rsid w:val="003968A6"/>
    <w:rsid w:val="003B4590"/>
    <w:rsid w:val="003C63A5"/>
    <w:rsid w:val="003D778F"/>
    <w:rsid w:val="003F0B47"/>
    <w:rsid w:val="003F7F21"/>
    <w:rsid w:val="0040112B"/>
    <w:rsid w:val="00411C88"/>
    <w:rsid w:val="0041696E"/>
    <w:rsid w:val="00417D64"/>
    <w:rsid w:val="0042646C"/>
    <w:rsid w:val="004315EE"/>
    <w:rsid w:val="00440BE5"/>
    <w:rsid w:val="004452C0"/>
    <w:rsid w:val="004531F5"/>
    <w:rsid w:val="004535F3"/>
    <w:rsid w:val="00463415"/>
    <w:rsid w:val="00466A42"/>
    <w:rsid w:val="00485A51"/>
    <w:rsid w:val="00495933"/>
    <w:rsid w:val="004A0EF6"/>
    <w:rsid w:val="004B1D6A"/>
    <w:rsid w:val="004D1BBE"/>
    <w:rsid w:val="004F4299"/>
    <w:rsid w:val="00536447"/>
    <w:rsid w:val="00541F7E"/>
    <w:rsid w:val="00556160"/>
    <w:rsid w:val="00585EEC"/>
    <w:rsid w:val="005B73D5"/>
    <w:rsid w:val="005C2B50"/>
    <w:rsid w:val="005C3265"/>
    <w:rsid w:val="005C3457"/>
    <w:rsid w:val="005C3EFA"/>
    <w:rsid w:val="005C62AC"/>
    <w:rsid w:val="005E2C1A"/>
    <w:rsid w:val="005F70DD"/>
    <w:rsid w:val="00604BE4"/>
    <w:rsid w:val="0062575A"/>
    <w:rsid w:val="00632C25"/>
    <w:rsid w:val="006572E7"/>
    <w:rsid w:val="006642E9"/>
    <w:rsid w:val="00664E5C"/>
    <w:rsid w:val="00665A89"/>
    <w:rsid w:val="00685904"/>
    <w:rsid w:val="0069427F"/>
    <w:rsid w:val="006A3980"/>
    <w:rsid w:val="006E5AAB"/>
    <w:rsid w:val="006E7BCA"/>
    <w:rsid w:val="006F4D76"/>
    <w:rsid w:val="006F7768"/>
    <w:rsid w:val="00701C03"/>
    <w:rsid w:val="00705C88"/>
    <w:rsid w:val="00717574"/>
    <w:rsid w:val="0072311A"/>
    <w:rsid w:val="00727810"/>
    <w:rsid w:val="007858E4"/>
    <w:rsid w:val="00785D4F"/>
    <w:rsid w:val="00787795"/>
    <w:rsid w:val="00787F61"/>
    <w:rsid w:val="007E0A8E"/>
    <w:rsid w:val="007E4751"/>
    <w:rsid w:val="007F38E1"/>
    <w:rsid w:val="007F4B1E"/>
    <w:rsid w:val="007F589F"/>
    <w:rsid w:val="007F6A6A"/>
    <w:rsid w:val="008042ED"/>
    <w:rsid w:val="008130A1"/>
    <w:rsid w:val="00820544"/>
    <w:rsid w:val="0082378B"/>
    <w:rsid w:val="00827D0E"/>
    <w:rsid w:val="00831349"/>
    <w:rsid w:val="008318F7"/>
    <w:rsid w:val="008330B9"/>
    <w:rsid w:val="00833472"/>
    <w:rsid w:val="0084512D"/>
    <w:rsid w:val="00846CC9"/>
    <w:rsid w:val="00855FF6"/>
    <w:rsid w:val="00865662"/>
    <w:rsid w:val="0087426B"/>
    <w:rsid w:val="00876BE5"/>
    <w:rsid w:val="00883688"/>
    <w:rsid w:val="00896C6B"/>
    <w:rsid w:val="008A0810"/>
    <w:rsid w:val="008B7753"/>
    <w:rsid w:val="008E52D8"/>
    <w:rsid w:val="00911426"/>
    <w:rsid w:val="00916373"/>
    <w:rsid w:val="0093186E"/>
    <w:rsid w:val="00950EEE"/>
    <w:rsid w:val="00951BFB"/>
    <w:rsid w:val="0096432E"/>
    <w:rsid w:val="00992C04"/>
    <w:rsid w:val="009946D1"/>
    <w:rsid w:val="009959B1"/>
    <w:rsid w:val="009C659E"/>
    <w:rsid w:val="009C7D16"/>
    <w:rsid w:val="009D4CF6"/>
    <w:rsid w:val="009F3DC0"/>
    <w:rsid w:val="00A003BE"/>
    <w:rsid w:val="00A02BBC"/>
    <w:rsid w:val="00A13FA4"/>
    <w:rsid w:val="00A14C45"/>
    <w:rsid w:val="00A15880"/>
    <w:rsid w:val="00A16DBC"/>
    <w:rsid w:val="00A272CE"/>
    <w:rsid w:val="00A314D1"/>
    <w:rsid w:val="00A358DB"/>
    <w:rsid w:val="00A47ACE"/>
    <w:rsid w:val="00A6108A"/>
    <w:rsid w:val="00A73142"/>
    <w:rsid w:val="00A73BE9"/>
    <w:rsid w:val="00A82945"/>
    <w:rsid w:val="00AA05E7"/>
    <w:rsid w:val="00AA0661"/>
    <w:rsid w:val="00AB5FD6"/>
    <w:rsid w:val="00AB693F"/>
    <w:rsid w:val="00AC23CC"/>
    <w:rsid w:val="00AF1E70"/>
    <w:rsid w:val="00B00DDE"/>
    <w:rsid w:val="00B27E06"/>
    <w:rsid w:val="00B348C8"/>
    <w:rsid w:val="00B4701D"/>
    <w:rsid w:val="00B50446"/>
    <w:rsid w:val="00B57628"/>
    <w:rsid w:val="00B64892"/>
    <w:rsid w:val="00B83892"/>
    <w:rsid w:val="00B84871"/>
    <w:rsid w:val="00B863A7"/>
    <w:rsid w:val="00B87CFA"/>
    <w:rsid w:val="00BB119E"/>
    <w:rsid w:val="00BD085D"/>
    <w:rsid w:val="00BD4E10"/>
    <w:rsid w:val="00BD753B"/>
    <w:rsid w:val="00BE0970"/>
    <w:rsid w:val="00BE7585"/>
    <w:rsid w:val="00BF2722"/>
    <w:rsid w:val="00C0395F"/>
    <w:rsid w:val="00C138FD"/>
    <w:rsid w:val="00C47A48"/>
    <w:rsid w:val="00C56B8D"/>
    <w:rsid w:val="00C818BD"/>
    <w:rsid w:val="00C8487C"/>
    <w:rsid w:val="00CA0BE9"/>
    <w:rsid w:val="00CA19B8"/>
    <w:rsid w:val="00CA6BDB"/>
    <w:rsid w:val="00CB3A70"/>
    <w:rsid w:val="00CC310F"/>
    <w:rsid w:val="00CC4412"/>
    <w:rsid w:val="00CE2C16"/>
    <w:rsid w:val="00CF6C7D"/>
    <w:rsid w:val="00D060DE"/>
    <w:rsid w:val="00D12FB0"/>
    <w:rsid w:val="00D157C0"/>
    <w:rsid w:val="00D263A9"/>
    <w:rsid w:val="00D26A1A"/>
    <w:rsid w:val="00D409A4"/>
    <w:rsid w:val="00D44E04"/>
    <w:rsid w:val="00D4654B"/>
    <w:rsid w:val="00D60ACA"/>
    <w:rsid w:val="00D613EC"/>
    <w:rsid w:val="00D65778"/>
    <w:rsid w:val="00D75C5C"/>
    <w:rsid w:val="00D871DF"/>
    <w:rsid w:val="00D9053B"/>
    <w:rsid w:val="00DA4D31"/>
    <w:rsid w:val="00DD111E"/>
    <w:rsid w:val="00DE4A40"/>
    <w:rsid w:val="00E056F7"/>
    <w:rsid w:val="00E1375E"/>
    <w:rsid w:val="00E3701A"/>
    <w:rsid w:val="00E733BE"/>
    <w:rsid w:val="00E767DB"/>
    <w:rsid w:val="00E838F3"/>
    <w:rsid w:val="00E961B1"/>
    <w:rsid w:val="00E969E1"/>
    <w:rsid w:val="00E97F37"/>
    <w:rsid w:val="00EA36CE"/>
    <w:rsid w:val="00EA5F39"/>
    <w:rsid w:val="00EC6C5A"/>
    <w:rsid w:val="00EE11B7"/>
    <w:rsid w:val="00EE589B"/>
    <w:rsid w:val="00F03212"/>
    <w:rsid w:val="00F0433B"/>
    <w:rsid w:val="00F24BDC"/>
    <w:rsid w:val="00F40E7D"/>
    <w:rsid w:val="00F41DD7"/>
    <w:rsid w:val="00F443E9"/>
    <w:rsid w:val="00F45216"/>
    <w:rsid w:val="00F61932"/>
    <w:rsid w:val="00F64373"/>
    <w:rsid w:val="00F7054F"/>
    <w:rsid w:val="00F90AB7"/>
    <w:rsid w:val="00FA3A78"/>
    <w:rsid w:val="00FA725B"/>
    <w:rsid w:val="00FB0CB0"/>
    <w:rsid w:val="00FC4786"/>
    <w:rsid w:val="00FC70FB"/>
    <w:rsid w:val="00FE4FF5"/>
    <w:rsid w:val="00FF2620"/>
    <w:rsid w:val="00FF6CED"/>
    <w:rsid w:val="00FF6F70"/>
  </w:rsids>
  <m:mathPr>
    <m:mathFont m:val="Cambria Math"/>
    <m:brkBin m:val="before"/>
    <m:brkBinSub m:val="--"/>
    <m:smallFrac m:val="0"/>
    <m:dispDef/>
    <m:lMargin m:val="0"/>
    <m:rMargin m:val="0"/>
    <m:defJc m:val="centerGroup"/>
    <m:wrapRight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257D9D80"/>
  <w15:docId w15:val="{5687CA16-6545-B740-ADE5-C50132E33F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ＭＳ 明朝" w:hAnsi="Times New Roman" w:cs="Times New Roman"/>
        <w:lang w:val="en-IN" w:eastAsia="en-IN" w:bidi="hi-IN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9427F"/>
    <w:rPr>
      <w:sz w:val="24"/>
      <w:szCs w:val="24"/>
      <w:lang w:val="en-US" w:eastAsia="en-US" w:bidi="he-I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A5F39"/>
    <w:pPr>
      <w:keepNext/>
      <w:spacing w:before="240" w:after="60"/>
      <w:outlineLvl w:val="1"/>
    </w:pPr>
    <w:rPr>
      <w:rFonts w:ascii="Calibri Light" w:eastAsia="Times New Roman" w:hAnsi="Calibri Light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rsid w:val="00114A24"/>
    <w:pPr>
      <w:jc w:val="both"/>
    </w:pPr>
    <w:rPr>
      <w:lang w:eastAsia="ja-JP"/>
    </w:rPr>
  </w:style>
  <w:style w:type="paragraph" w:styleId="a4">
    <w:name w:val="header"/>
    <w:basedOn w:val="a"/>
    <w:semiHidden/>
    <w:rsid w:val="00114A24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semiHidden/>
    <w:rsid w:val="00114A24"/>
    <w:pPr>
      <w:tabs>
        <w:tab w:val="center" w:pos="4252"/>
        <w:tab w:val="right" w:pos="8504"/>
      </w:tabs>
      <w:snapToGrid w:val="0"/>
    </w:pPr>
  </w:style>
  <w:style w:type="character" w:styleId="a6">
    <w:name w:val="annotation reference"/>
    <w:semiHidden/>
    <w:unhideWhenUsed/>
    <w:rsid w:val="00114A24"/>
    <w:rPr>
      <w:sz w:val="16"/>
      <w:szCs w:val="16"/>
    </w:rPr>
  </w:style>
  <w:style w:type="paragraph" w:styleId="a7">
    <w:name w:val="annotation text"/>
    <w:aliases w:val="Char11,字元"/>
    <w:basedOn w:val="a"/>
    <w:link w:val="1"/>
    <w:uiPriority w:val="99"/>
    <w:unhideWhenUsed/>
    <w:qFormat/>
    <w:rsid w:val="0069427F"/>
    <w:rPr>
      <w:sz w:val="22"/>
      <w:szCs w:val="20"/>
    </w:rPr>
  </w:style>
  <w:style w:type="character" w:customStyle="1" w:styleId="a8">
    <w:name w:val="コメント文字列 (文字)"/>
    <w:rsid w:val="00114A24"/>
    <w:rPr>
      <w:lang w:bidi="he-IL"/>
    </w:rPr>
  </w:style>
  <w:style w:type="paragraph" w:styleId="a9">
    <w:name w:val="annotation subject"/>
    <w:basedOn w:val="a7"/>
    <w:next w:val="a7"/>
    <w:semiHidden/>
    <w:unhideWhenUsed/>
    <w:rsid w:val="00114A24"/>
    <w:rPr>
      <w:b/>
      <w:bCs/>
    </w:rPr>
  </w:style>
  <w:style w:type="character" w:customStyle="1" w:styleId="aa">
    <w:name w:val="コメント内容 (文字)"/>
    <w:semiHidden/>
    <w:rsid w:val="00114A24"/>
    <w:rPr>
      <w:b/>
      <w:bCs/>
      <w:lang w:bidi="he-IL"/>
    </w:rPr>
  </w:style>
  <w:style w:type="paragraph" w:styleId="ab">
    <w:name w:val="Balloon Text"/>
    <w:basedOn w:val="a"/>
    <w:semiHidden/>
    <w:unhideWhenUsed/>
    <w:rsid w:val="0069427F"/>
    <w:rPr>
      <w:rFonts w:ascii="Tahoma" w:hAnsi="Tahoma" w:cs="Tahoma"/>
      <w:sz w:val="18"/>
      <w:szCs w:val="16"/>
    </w:rPr>
  </w:style>
  <w:style w:type="character" w:customStyle="1" w:styleId="ac">
    <w:name w:val="吹き出し (文字)"/>
    <w:semiHidden/>
    <w:rsid w:val="00114A24"/>
    <w:rPr>
      <w:rFonts w:ascii="Tahoma" w:hAnsi="Tahoma" w:cs="Tahoma"/>
      <w:sz w:val="16"/>
      <w:szCs w:val="16"/>
      <w:lang w:bidi="he-IL"/>
    </w:rPr>
  </w:style>
  <w:style w:type="paragraph" w:styleId="ad">
    <w:name w:val="Revision"/>
    <w:hidden/>
    <w:semiHidden/>
    <w:rsid w:val="00114A24"/>
    <w:rPr>
      <w:sz w:val="24"/>
      <w:szCs w:val="24"/>
      <w:lang w:val="en-US" w:eastAsia="en-US" w:bidi="he-IL"/>
    </w:rPr>
  </w:style>
  <w:style w:type="character" w:customStyle="1" w:styleId="1">
    <w:name w:val="コメント文字列 (文字)1"/>
    <w:aliases w:val="Char11 (文字),字元 (文字)"/>
    <w:link w:val="a7"/>
    <w:uiPriority w:val="99"/>
    <w:qFormat/>
    <w:rsid w:val="0069427F"/>
    <w:rPr>
      <w:sz w:val="22"/>
      <w:lang w:val="en-US" w:eastAsia="en-US" w:bidi="he-IL"/>
    </w:rPr>
  </w:style>
  <w:style w:type="character" w:customStyle="1" w:styleId="20">
    <w:name w:val="見出し 2 (文字)"/>
    <w:link w:val="2"/>
    <w:uiPriority w:val="9"/>
    <w:semiHidden/>
    <w:rsid w:val="00EA5F39"/>
    <w:rPr>
      <w:rFonts w:ascii="Calibri Light" w:eastAsia="Times New Roman" w:hAnsi="Calibri Light" w:cs="Times New Roman"/>
      <w:b/>
      <w:bCs/>
      <w:i/>
      <w:iCs/>
      <w:sz w:val="28"/>
      <w:szCs w:val="28"/>
      <w:lang w:bidi="he-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F44E24-2D74-6847-8CEB-3B900ACFFD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264</Words>
  <Characters>1506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/>
      <vt:lpstr>What is</vt:lpstr>
    </vt:vector>
  </TitlesOfParts>
  <Company/>
  <LinksUpToDate>false</LinksUpToDate>
  <CharactersWithSpaces>1767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3</cp:revision>
  <dcterms:created xsi:type="dcterms:W3CDTF">2024-12-25T08:36:00Z</dcterms:created>
  <dcterms:modified xsi:type="dcterms:W3CDTF">2024-12-25T08:37:00Z</dcterms:modified>
</cp:coreProperties>
</file>