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994C3" w14:textId="7DEB8C01" w:rsidR="00D60498" w:rsidRPr="004742B0" w:rsidRDefault="00D60498" w:rsidP="00D60498">
      <w:pPr>
        <w:spacing w:line="480" w:lineRule="auto"/>
        <w:jc w:val="left"/>
        <w:rPr>
          <w:rFonts w:ascii="Times New Roman" w:eastAsia="宋体" w:hAnsi="Times New Roman" w:cs="Times New Roman"/>
          <w:b/>
          <w:color w:val="231F20"/>
          <w:kern w:val="0"/>
          <w:sz w:val="24"/>
          <w:szCs w:val="24"/>
        </w:rPr>
      </w:pPr>
      <w:r w:rsidRPr="004742B0">
        <w:rPr>
          <w:rFonts w:ascii="Times New Roman" w:eastAsia="宋体" w:hAnsi="Times New Roman" w:cs="Times New Roman"/>
          <w:b/>
          <w:color w:val="231F20"/>
          <w:kern w:val="0"/>
          <w:sz w:val="24"/>
          <w:szCs w:val="24"/>
        </w:rPr>
        <w:t>Materials and methods</w:t>
      </w:r>
    </w:p>
    <w:p w14:paraId="291CD256" w14:textId="19089B60" w:rsidR="00D60498" w:rsidRPr="004742B0" w:rsidRDefault="00D60498" w:rsidP="00D60498">
      <w:pPr>
        <w:spacing w:line="480" w:lineRule="auto"/>
        <w:rPr>
          <w:rFonts w:ascii="Times New Roman" w:eastAsia="宋体" w:hAnsi="Times New Roman" w:cs="Times New Roman"/>
          <w:i/>
          <w:sz w:val="24"/>
          <w:szCs w:val="24"/>
        </w:rPr>
      </w:pPr>
      <w:bookmarkStart w:id="0" w:name="OLE_LINK7"/>
      <w:r w:rsidRPr="004742B0">
        <w:rPr>
          <w:rFonts w:ascii="Times New Roman" w:hAnsi="Times New Roman" w:cs="Times New Roman"/>
          <w:i/>
          <w:sz w:val="24"/>
          <w:szCs w:val="24"/>
        </w:rPr>
        <w:t xml:space="preserve">1 </w:t>
      </w:r>
      <w:r w:rsidRPr="004742B0">
        <w:rPr>
          <w:rFonts w:ascii="Times New Roman" w:eastAsia="PMingLiU" w:hAnsi="Times New Roman" w:cs="Times New Roman"/>
          <w:i/>
          <w:sz w:val="24"/>
          <w:szCs w:val="24"/>
          <w:lang w:eastAsia="zh-TW"/>
        </w:rPr>
        <w:t>Preparation of aqueous DM extract</w:t>
      </w:r>
    </w:p>
    <w:p w14:paraId="51BDEA62" w14:textId="77777777" w:rsidR="00D60498" w:rsidRPr="004742B0" w:rsidRDefault="00D60498" w:rsidP="00D60498">
      <w:pPr>
        <w:spacing w:line="480" w:lineRule="auto"/>
        <w:ind w:firstLineChars="100" w:firstLine="240"/>
        <w:rPr>
          <w:rFonts w:ascii="Times New Roman" w:eastAsia="宋体" w:hAnsi="Times New Roman" w:cs="Times New Roman"/>
          <w:sz w:val="24"/>
          <w:szCs w:val="24"/>
        </w:rPr>
      </w:pPr>
      <w:bookmarkStart w:id="1" w:name="OLE_LINK15"/>
      <w:bookmarkStart w:id="2" w:name="OLE_LINK16"/>
      <w:bookmarkStart w:id="3" w:name="OLE_LINK17"/>
      <w:r w:rsidRPr="004742B0">
        <w:rPr>
          <w:rFonts w:ascii="Times New Roman" w:eastAsia="宋体" w:hAnsi="Times New Roman" w:cs="Times New Roman"/>
          <w:i/>
          <w:sz w:val="24"/>
          <w:szCs w:val="24"/>
        </w:rPr>
        <w:t>Nauclea officinalis</w:t>
      </w:r>
      <w:r w:rsidRPr="004742B0">
        <w:rPr>
          <w:rFonts w:ascii="Times New Roman" w:eastAsia="宋体" w:hAnsi="Times New Roman" w:cs="Times New Roman"/>
          <w:sz w:val="24"/>
          <w:szCs w:val="24"/>
        </w:rPr>
        <w:t xml:space="preserve"> was planted at longitude 109.9 and latitude 18.9. DM (batch number: QZ200301) was obtained from Hainan Senqi Pharmaceutical Co., Ltd. (Haikou, China), and then </w:t>
      </w:r>
      <w:bookmarkEnd w:id="1"/>
      <w:bookmarkEnd w:id="2"/>
      <w:bookmarkEnd w:id="3"/>
      <w:r w:rsidRPr="004742B0">
        <w:rPr>
          <w:rFonts w:ascii="Times New Roman" w:eastAsia="宋体" w:hAnsi="Times New Roman" w:cs="Times New Roman"/>
          <w:sz w:val="24"/>
          <w:szCs w:val="24"/>
        </w:rPr>
        <w:t>DM</w:t>
      </w:r>
      <w:r w:rsidRPr="004742B0" w:rsidDel="005C4996">
        <w:rPr>
          <w:rFonts w:ascii="Times New Roman" w:eastAsia="宋体" w:hAnsi="Times New Roman" w:cs="Times New Roman"/>
          <w:sz w:val="24"/>
          <w:szCs w:val="24"/>
        </w:rPr>
        <w:t xml:space="preserve"> </w:t>
      </w:r>
      <w:r w:rsidRPr="004742B0">
        <w:rPr>
          <w:rFonts w:ascii="Times New Roman" w:eastAsia="宋体" w:hAnsi="Times New Roman" w:cs="Times New Roman"/>
          <w:sz w:val="24"/>
          <w:szCs w:val="24"/>
        </w:rPr>
        <w:t>were sliced and decocted three times. Five times of pure water was first added and cooked for 2 h. Four times of pure water was then added for the second time and cooked for another 1.5 h. For the third time, four times of pure water was added and further cooked for another 1 h. The decoctions were then combined and filtered, and the filtrate was concentrated to a clear paste with a relative density of 1.07 at 60°C (13% yield) to obtain an aqueous DM extract that was stored at 2-10°C.</w:t>
      </w:r>
    </w:p>
    <w:bookmarkEnd w:id="0"/>
    <w:p w14:paraId="7DD593D4" w14:textId="3C23C51E" w:rsidR="00D60498" w:rsidRPr="004742B0" w:rsidRDefault="00D60498" w:rsidP="00D60498">
      <w:pPr>
        <w:spacing w:line="480" w:lineRule="auto"/>
        <w:rPr>
          <w:rFonts w:ascii="Times New Roman" w:eastAsia="PMingLiU" w:hAnsi="Times New Roman" w:cs="Times New Roman"/>
          <w:i/>
          <w:sz w:val="24"/>
          <w:szCs w:val="24"/>
          <w:lang w:eastAsia="zh-TW"/>
        </w:rPr>
      </w:pPr>
      <w:r w:rsidRPr="004742B0">
        <w:rPr>
          <w:rFonts w:ascii="Times New Roman" w:hAnsi="Times New Roman" w:cs="Times New Roman"/>
          <w:i/>
          <w:sz w:val="24"/>
          <w:szCs w:val="24"/>
        </w:rPr>
        <w:t xml:space="preserve">2 </w:t>
      </w:r>
      <w:r w:rsidRPr="004742B0">
        <w:rPr>
          <w:rFonts w:ascii="Times New Roman" w:eastAsia="PMingLiU" w:hAnsi="Times New Roman" w:cs="Times New Roman"/>
          <w:i/>
          <w:sz w:val="24"/>
          <w:szCs w:val="24"/>
          <w:lang w:eastAsia="zh-TW"/>
        </w:rPr>
        <w:t>Animal model preparation and drug intervention methods</w:t>
      </w:r>
    </w:p>
    <w:p w14:paraId="0595313E" w14:textId="1044F5D8" w:rsidR="00D60498" w:rsidRPr="004742B0" w:rsidRDefault="00D60498" w:rsidP="00D60498">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sz w:val="24"/>
          <w:szCs w:val="24"/>
        </w:rPr>
        <w:t>The study was approved by the Experimental Animal Centre of Huazhong Agriculture University (ID Number</w:t>
      </w:r>
      <w:r w:rsidRPr="004742B0">
        <w:rPr>
          <w:rFonts w:ascii="Times New Roman" w:eastAsia="宋体" w:hAnsi="Times New Roman" w:cs="Times New Roman"/>
          <w:sz w:val="24"/>
          <w:szCs w:val="24"/>
        </w:rPr>
        <w:t>：</w:t>
      </w:r>
      <w:r w:rsidRPr="004742B0">
        <w:rPr>
          <w:rFonts w:ascii="Times New Roman" w:eastAsia="宋体" w:hAnsi="Times New Roman" w:cs="Times New Roman"/>
          <w:sz w:val="24"/>
          <w:szCs w:val="24"/>
        </w:rPr>
        <w:t>HZAUMO-2022-0055). C57BL/6J male mice aged 6-8 weeks and weighing 20-25 g were purchased from the Experimental Animal Centre, Huazhong Agriculture University. After 7 days of acclimatized feeding, the mice were randomly divided into 5 groups (10 in each group): low-dose aqueous DM extract (low DM), high-dose aqueous DM extract (high DM), DSS, mesalazine, and control groups. During the experiment, each mouse in control group was given pure water, and other groups was given 2.5% DSS solution (w/v) as drinking water for 7 consecutive days. Here we called the high DM and low DM groups as DM_treat group; and the control, DSS, and mesalazine groups as DM_untreat group.</w:t>
      </w:r>
    </w:p>
    <w:p w14:paraId="478EC980" w14:textId="77777777" w:rsidR="00D60498" w:rsidRPr="004742B0" w:rsidRDefault="00D60498" w:rsidP="00D60498">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sz w:val="24"/>
          <w:szCs w:val="24"/>
        </w:rPr>
        <w:lastRenderedPageBreak/>
        <w:t>From the first day of modeling, each mouse in experimental groups was gavaged with corresponding therapeutic drugs from 8:00 am to 10:00 am: low DM group: 23.57 g/kg/d (based on dried herbs), high DM group: 47.14 g/kg/d (based on dried herbs), and mesalazine group: 500 mg/kg/day mesalazine. While, each mouse in DSS group and in control group was gavaged with 0.2 ml pure water.</w:t>
      </w:r>
    </w:p>
    <w:p w14:paraId="4BA4A9E0" w14:textId="1CD8747C" w:rsidR="00D60498" w:rsidRPr="004742B0" w:rsidRDefault="00D60498" w:rsidP="00D60498">
      <w:pPr>
        <w:spacing w:line="480" w:lineRule="auto"/>
        <w:rPr>
          <w:rFonts w:ascii="Times New Roman" w:eastAsia="宋体" w:hAnsi="Times New Roman" w:cs="Times New Roman"/>
          <w:i/>
          <w:sz w:val="24"/>
          <w:szCs w:val="24"/>
        </w:rPr>
      </w:pPr>
      <w:r w:rsidRPr="004742B0">
        <w:rPr>
          <w:rFonts w:ascii="Times New Roman" w:eastAsia="宋体" w:hAnsi="Times New Roman" w:cs="Times New Roman"/>
          <w:i/>
          <w:sz w:val="24"/>
          <w:szCs w:val="24"/>
        </w:rPr>
        <w:t>3 qRT-qPCR method</w:t>
      </w:r>
    </w:p>
    <w:p w14:paraId="601175E9" w14:textId="77777777" w:rsidR="004742B0" w:rsidRPr="004742B0" w:rsidRDefault="00D60498" w:rsidP="004742B0">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sz w:val="24"/>
          <w:szCs w:val="24"/>
        </w:rPr>
        <w:t>Mouse colon tissue was obtained, and then minced, and its RNA was extracted using RNAeasy™ Small RNA Isolation Kit with Spin Column (Beyotime, Shanghai, China).</w:t>
      </w:r>
      <w:r w:rsidRPr="004742B0">
        <w:rPr>
          <w:rFonts w:ascii="Times New Roman" w:hAnsi="Times New Roman" w:cs="Times New Roman"/>
          <w:sz w:val="24"/>
          <w:szCs w:val="24"/>
        </w:rPr>
        <w:t xml:space="preserve"> </w:t>
      </w:r>
      <w:r w:rsidRPr="004742B0">
        <w:rPr>
          <w:rFonts w:ascii="Times New Roman" w:eastAsia="宋体" w:hAnsi="Times New Roman" w:cs="Times New Roman"/>
          <w:sz w:val="24"/>
          <w:szCs w:val="24"/>
        </w:rPr>
        <w:t xml:space="preserve">DNA was first removed using DNase I (Takara Biotechnology, Dalian, Liaoning, China), and the RNA concentration was then measured using a NanoDrop 2000 (Thermofisher Scientific, Waltham, MA, USA). cDNA was synthesized using reverse transcriptase from the PrimeScript RT reagent kit (Takara Biotechnology, Dalian, Liaoning, China) according to the manufacturer’s instructions. For qRT-PCR, reactions were performed in ABI 7500 (Applied Biosystems, Waltham, MA, USA) under the following conditions: 95°C for 10 s, 60°C for 10 s, and 72°C for 10 s for 40 cycles. </w:t>
      </w:r>
      <w:r w:rsidR="004742B0" w:rsidRPr="004742B0">
        <w:rPr>
          <w:rFonts w:ascii="Times New Roman" w:eastAsia="宋体" w:hAnsi="Times New Roman" w:cs="Times New Roman"/>
          <w:sz w:val="24"/>
          <w:szCs w:val="24"/>
        </w:rPr>
        <w:t>The primer information for detecting the transcriptional levels of inflammatory factors in mouse colon tissue is as follows:</w:t>
      </w:r>
    </w:p>
    <w:p w14:paraId="18E54C4F" w14:textId="5B8F9E92" w:rsidR="004742B0" w:rsidRPr="004742B0" w:rsidRDefault="004742B0" w:rsidP="004742B0">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sz w:val="24"/>
          <w:szCs w:val="24"/>
        </w:rPr>
        <w:t xml:space="preserve">(1) </w:t>
      </w:r>
      <w:r w:rsidRPr="004742B0">
        <w:rPr>
          <w:rFonts w:ascii="Times New Roman" w:eastAsia="宋体" w:hAnsi="Times New Roman" w:cs="Times New Roman"/>
          <w:sz w:val="24"/>
          <w:szCs w:val="24"/>
        </w:rPr>
        <w:t xml:space="preserve">IL-1β primers: Forward (F):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-CACTACAGGCTCCGAGATGAACAAC-</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 xml:space="preserve">; Reverse (R):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-TGTCGTTGCTTGGTTCTCCTTGTAC-</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w:t>
      </w:r>
    </w:p>
    <w:p w14:paraId="2FAD22F4" w14:textId="2FC3387B" w:rsidR="004742B0" w:rsidRPr="004742B0" w:rsidRDefault="004742B0" w:rsidP="004742B0">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sz w:val="24"/>
          <w:szCs w:val="24"/>
        </w:rPr>
        <w:t xml:space="preserve">(2) </w:t>
      </w:r>
      <w:r w:rsidRPr="004742B0">
        <w:rPr>
          <w:rFonts w:ascii="Times New Roman" w:eastAsia="宋体" w:hAnsi="Times New Roman" w:cs="Times New Roman"/>
          <w:sz w:val="24"/>
          <w:szCs w:val="24"/>
        </w:rPr>
        <w:t xml:space="preserve">IL-2 primers: F: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-CCCAGGATGCTCACCTTCAAA-</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 xml:space="preserve">; R: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-CCGCAGAGGTCCAAGTTCAT-</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w:t>
      </w:r>
    </w:p>
    <w:p w14:paraId="2022C395" w14:textId="02D2C619" w:rsidR="004742B0" w:rsidRPr="004742B0" w:rsidRDefault="004742B0" w:rsidP="004742B0">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sz w:val="24"/>
          <w:szCs w:val="24"/>
        </w:rPr>
        <w:t xml:space="preserve">(3) </w:t>
      </w:r>
      <w:r w:rsidRPr="004742B0">
        <w:rPr>
          <w:rFonts w:ascii="Times New Roman" w:eastAsia="宋体" w:hAnsi="Times New Roman" w:cs="Times New Roman"/>
          <w:sz w:val="24"/>
          <w:szCs w:val="24"/>
        </w:rPr>
        <w:t xml:space="preserve">IL-6 primers: F: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-CTTCTTGGGACTGATGCTGGTGAC-</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 xml:space="preserve">; R: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w:t>
      </w:r>
      <w:r w:rsidRPr="004742B0">
        <w:rPr>
          <w:rFonts w:ascii="Times New Roman" w:eastAsia="宋体" w:hAnsi="Times New Roman" w:cs="Times New Roman"/>
          <w:sz w:val="24"/>
          <w:szCs w:val="24"/>
        </w:rPr>
        <w:lastRenderedPageBreak/>
        <w:t>TCTGTTGGGAGTGGTATCCTCTGTG-</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w:t>
      </w:r>
    </w:p>
    <w:p w14:paraId="70B5F5E8" w14:textId="6B0657DD" w:rsidR="004742B0" w:rsidRPr="004742B0" w:rsidRDefault="004742B0" w:rsidP="004742B0">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sz w:val="24"/>
          <w:szCs w:val="24"/>
        </w:rPr>
        <w:t xml:space="preserve">(4) </w:t>
      </w:r>
      <w:r w:rsidRPr="004742B0">
        <w:rPr>
          <w:rFonts w:ascii="Times New Roman" w:eastAsia="宋体" w:hAnsi="Times New Roman" w:cs="Times New Roman"/>
          <w:sz w:val="24"/>
          <w:szCs w:val="24"/>
        </w:rPr>
        <w:t xml:space="preserve">IL-10 primers: F: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-TTCTTTCAAACAAAGGACCAGC-</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 xml:space="preserve">; R: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-GCAACCCAAGTAACCCTTAAAG-</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w:t>
      </w:r>
    </w:p>
    <w:p w14:paraId="0FA7A9C3" w14:textId="6D65AE9F" w:rsidR="004742B0" w:rsidRPr="004742B0" w:rsidRDefault="004742B0" w:rsidP="004742B0">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sz w:val="24"/>
          <w:szCs w:val="24"/>
        </w:rPr>
        <w:t xml:space="preserve">(5) </w:t>
      </w:r>
      <w:r w:rsidRPr="004742B0">
        <w:rPr>
          <w:rFonts w:ascii="Times New Roman" w:eastAsia="宋体" w:hAnsi="Times New Roman" w:cs="Times New Roman"/>
          <w:sz w:val="24"/>
          <w:szCs w:val="24"/>
        </w:rPr>
        <w:t xml:space="preserve">IL-12 primers: F: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-GACCTGTTTACCACTGGAACTA-</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 xml:space="preserve">; R: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-GATCTGCTGATGGTTGTGATTC-</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w:t>
      </w:r>
    </w:p>
    <w:p w14:paraId="2E2867A5" w14:textId="70E90BE9" w:rsidR="004742B0" w:rsidRPr="004742B0" w:rsidRDefault="004742B0" w:rsidP="004742B0">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sz w:val="24"/>
          <w:szCs w:val="24"/>
        </w:rPr>
        <w:t xml:space="preserve">(6) </w:t>
      </w:r>
      <w:r w:rsidRPr="004742B0">
        <w:rPr>
          <w:rFonts w:ascii="Times New Roman" w:eastAsia="宋体" w:hAnsi="Times New Roman" w:cs="Times New Roman"/>
          <w:sz w:val="24"/>
          <w:szCs w:val="24"/>
        </w:rPr>
        <w:t xml:space="preserve">IL-13 primers: F: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-CTCTTGCTTGCCTTGGTGGTCTC-</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 xml:space="preserve">; R: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-GGGAGTCTGGTCTTGTGTGATGTTG-</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w:t>
      </w:r>
    </w:p>
    <w:p w14:paraId="5F1CFB8F" w14:textId="377AD71E" w:rsidR="004742B0" w:rsidRPr="004742B0" w:rsidRDefault="004742B0" w:rsidP="004742B0">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sz w:val="24"/>
          <w:szCs w:val="24"/>
        </w:rPr>
        <w:t xml:space="preserve">(7) </w:t>
      </w:r>
      <w:r w:rsidRPr="004742B0">
        <w:rPr>
          <w:rFonts w:ascii="Times New Roman" w:eastAsia="宋体" w:hAnsi="Times New Roman" w:cs="Times New Roman"/>
          <w:sz w:val="24"/>
          <w:szCs w:val="24"/>
        </w:rPr>
        <w:t xml:space="preserve">IL-17 primers: F: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-GAGCTTCATCTGTGTCTCTGAT-</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 xml:space="preserve">; R: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-GCCAAGGGAGTTAAAGACTTTG-</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w:t>
      </w:r>
    </w:p>
    <w:p w14:paraId="75EB75E3" w14:textId="7E9B5BE8" w:rsidR="004742B0" w:rsidRPr="004742B0" w:rsidRDefault="004742B0" w:rsidP="004742B0">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sz w:val="24"/>
          <w:szCs w:val="24"/>
        </w:rPr>
        <w:t xml:space="preserve">(8) </w:t>
      </w:r>
      <w:r w:rsidRPr="004742B0">
        <w:rPr>
          <w:rFonts w:ascii="Times New Roman" w:eastAsia="宋体" w:hAnsi="Times New Roman" w:cs="Times New Roman"/>
          <w:sz w:val="24"/>
          <w:szCs w:val="24"/>
        </w:rPr>
        <w:t>IFN</w:t>
      </w:r>
      <w:r w:rsidR="00184650">
        <w:rPr>
          <w:rFonts w:ascii="Times New Roman" w:eastAsia="宋体" w:hAnsi="Times New Roman" w:cs="Times New Roman" w:hint="eastAsia"/>
          <w:sz w:val="24"/>
          <w:szCs w:val="24"/>
        </w:rPr>
        <w:t>-</w:t>
      </w:r>
      <w:r w:rsidRPr="004742B0">
        <w:rPr>
          <w:rFonts w:ascii="Times New Roman" w:eastAsia="宋体" w:hAnsi="Times New Roman" w:cs="Times New Roman"/>
          <w:sz w:val="24"/>
          <w:szCs w:val="24"/>
        </w:rPr>
        <w:t xml:space="preserve">γ primers: F: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-CTTGAAAGACAATCAGGCCATC-</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 xml:space="preserve">; R: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-CTTGGCAATACTCATGAATGCA-</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w:t>
      </w:r>
    </w:p>
    <w:p w14:paraId="6516769B" w14:textId="2921D476" w:rsidR="004742B0" w:rsidRPr="004742B0" w:rsidRDefault="004742B0" w:rsidP="004742B0">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sz w:val="24"/>
          <w:szCs w:val="24"/>
        </w:rPr>
        <w:t xml:space="preserve">(9) </w:t>
      </w:r>
      <w:r w:rsidRPr="004742B0">
        <w:rPr>
          <w:rFonts w:ascii="Times New Roman" w:eastAsia="宋体" w:hAnsi="Times New Roman" w:cs="Times New Roman"/>
          <w:sz w:val="24"/>
          <w:szCs w:val="24"/>
        </w:rPr>
        <w:t xml:space="preserve">TGF-β primers: F: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-ACCGCAACAACGCCATCTATGAG-</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 xml:space="preserve">; R: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-GGCACTGCTTCCCGAATGTCTG-</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w:t>
      </w:r>
    </w:p>
    <w:p w14:paraId="29D0FCF0" w14:textId="67CDC1C5" w:rsidR="004742B0" w:rsidRPr="004742B0" w:rsidRDefault="004742B0" w:rsidP="004742B0">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sz w:val="24"/>
          <w:szCs w:val="24"/>
        </w:rPr>
        <w:t xml:space="preserve">(10) </w:t>
      </w:r>
      <w:r w:rsidRPr="004742B0">
        <w:rPr>
          <w:rFonts w:ascii="Times New Roman" w:eastAsia="宋体" w:hAnsi="Times New Roman" w:cs="Times New Roman"/>
          <w:sz w:val="24"/>
          <w:szCs w:val="24"/>
        </w:rPr>
        <w:t xml:space="preserve">TL1A primers: F: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-ACCTGCTGCCTGTTGTCATTTCC-</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 xml:space="preserve">; R: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-AGGTGAGTAAACTTGCTGTGGTGAAG-</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w:t>
      </w:r>
    </w:p>
    <w:p w14:paraId="0715D829" w14:textId="11E06C0A" w:rsidR="00D60498" w:rsidRPr="004742B0" w:rsidRDefault="004742B0" w:rsidP="004742B0">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sz w:val="24"/>
          <w:szCs w:val="24"/>
        </w:rPr>
        <w:t xml:space="preserve">(11) </w:t>
      </w:r>
      <w:r w:rsidRPr="004742B0">
        <w:rPr>
          <w:rFonts w:ascii="Times New Roman" w:eastAsia="宋体" w:hAnsi="Times New Roman" w:cs="Times New Roman"/>
          <w:sz w:val="24"/>
          <w:szCs w:val="24"/>
        </w:rPr>
        <w:t xml:space="preserve">TNF-A primers: F: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-CGCTCTTCTGTCTACTGAACTTCGG-</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 xml:space="preserve">; R: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-GTGGTTTGTGAGTGTGAGGGTCTG-</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w:t>
      </w:r>
    </w:p>
    <w:p w14:paraId="675F928B" w14:textId="1A9CB8A8" w:rsidR="00D60498" w:rsidRPr="004742B0" w:rsidRDefault="00D60498" w:rsidP="00D60498">
      <w:pPr>
        <w:spacing w:line="480" w:lineRule="auto"/>
        <w:rPr>
          <w:rFonts w:ascii="Times New Roman" w:eastAsia="宋体" w:hAnsi="Times New Roman" w:cs="Times New Roman"/>
          <w:i/>
          <w:sz w:val="24"/>
          <w:szCs w:val="24"/>
        </w:rPr>
      </w:pPr>
      <w:r w:rsidRPr="004742B0">
        <w:rPr>
          <w:rFonts w:ascii="Times New Roman" w:eastAsia="宋体" w:hAnsi="Times New Roman" w:cs="Times New Roman"/>
          <w:i/>
          <w:sz w:val="24"/>
          <w:szCs w:val="24"/>
        </w:rPr>
        <w:t>4 Enzyme-linked immunosorbent assay</w:t>
      </w:r>
    </w:p>
    <w:p w14:paraId="5885C7FE" w14:textId="77777777" w:rsidR="00D60498" w:rsidRPr="004742B0" w:rsidRDefault="00D60498" w:rsidP="00D60498">
      <w:pPr>
        <w:spacing w:line="480" w:lineRule="auto"/>
        <w:ind w:firstLineChars="200" w:firstLine="480"/>
        <w:rPr>
          <w:rFonts w:ascii="Times New Roman" w:eastAsia="宋体" w:hAnsi="Times New Roman" w:cs="Times New Roman"/>
          <w:sz w:val="24"/>
          <w:szCs w:val="24"/>
        </w:rPr>
      </w:pPr>
      <w:r w:rsidRPr="004742B0">
        <w:rPr>
          <w:rFonts w:ascii="Times New Roman" w:eastAsia="宋体" w:hAnsi="Times New Roman" w:cs="Times New Roman"/>
          <w:sz w:val="24"/>
          <w:szCs w:val="24"/>
        </w:rPr>
        <w:t xml:space="preserve">The protein expression level of </w:t>
      </w:r>
      <w:r w:rsidRPr="004742B0">
        <w:rPr>
          <w:rFonts w:ascii="Times New Roman" w:hAnsi="Times New Roman" w:cs="Times New Roman"/>
          <w:sz w:val="24"/>
          <w:szCs w:val="24"/>
        </w:rPr>
        <w:t>chemokine (C-C motif) ligand 2</w:t>
      </w:r>
      <w:r w:rsidRPr="004742B0">
        <w:rPr>
          <w:rFonts w:ascii="Times New Roman" w:eastAsia="宋体" w:hAnsi="Times New Roman" w:cs="Times New Roman"/>
          <w:sz w:val="24"/>
          <w:szCs w:val="24"/>
        </w:rPr>
        <w:t xml:space="preserve"> (CCL2) in mouse colon tissue was measured by a Mouse CCL2 enzyme-linked immunosorbent assay (ELISA) Kit (Beyotime Biotechnology, Shanghai, China) according to the manufacturer’s instructions.</w:t>
      </w:r>
    </w:p>
    <w:p w14:paraId="4D90398C" w14:textId="77A2896C" w:rsidR="00D60498" w:rsidRPr="004742B0" w:rsidRDefault="00D60498" w:rsidP="00D60498">
      <w:pPr>
        <w:spacing w:line="480" w:lineRule="auto"/>
        <w:rPr>
          <w:rFonts w:ascii="Times New Roman" w:hAnsi="Times New Roman" w:cs="Times New Roman"/>
          <w:i/>
          <w:sz w:val="24"/>
          <w:szCs w:val="24"/>
        </w:rPr>
      </w:pPr>
      <w:r w:rsidRPr="004742B0">
        <w:rPr>
          <w:rFonts w:ascii="Times New Roman" w:hAnsi="Times New Roman" w:cs="Times New Roman"/>
          <w:i/>
          <w:sz w:val="24"/>
          <w:szCs w:val="24"/>
        </w:rPr>
        <w:lastRenderedPageBreak/>
        <w:t xml:space="preserve">5 </w:t>
      </w:r>
      <w:r w:rsidRPr="004742B0">
        <w:rPr>
          <w:rFonts w:ascii="Times New Roman" w:eastAsia="PMingLiU" w:hAnsi="Times New Roman" w:cs="Times New Roman"/>
          <w:i/>
          <w:sz w:val="24"/>
          <w:szCs w:val="24"/>
          <w:lang w:eastAsia="zh-TW"/>
        </w:rPr>
        <w:t xml:space="preserve">Tissue section, </w:t>
      </w:r>
      <w:r w:rsidR="00A45D7A" w:rsidRPr="004742B0">
        <w:rPr>
          <w:rFonts w:ascii="Times New Roman" w:hAnsi="Times New Roman" w:cs="Times New Roman"/>
          <w:i/>
          <w:sz w:val="24"/>
          <w:szCs w:val="24"/>
        </w:rPr>
        <w:t xml:space="preserve">and </w:t>
      </w:r>
      <w:r w:rsidRPr="004742B0">
        <w:rPr>
          <w:rFonts w:ascii="Times New Roman" w:eastAsia="PMingLiU" w:hAnsi="Times New Roman" w:cs="Times New Roman"/>
          <w:i/>
          <w:sz w:val="24"/>
          <w:szCs w:val="24"/>
          <w:lang w:eastAsia="zh-TW"/>
        </w:rPr>
        <w:t>hematoxylin-eosin staining</w:t>
      </w:r>
    </w:p>
    <w:p w14:paraId="30FC7FA9" w14:textId="1ED0C9D8" w:rsidR="00D60498" w:rsidRPr="004742B0" w:rsidRDefault="00D60498" w:rsidP="00D60498">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i/>
          <w:sz w:val="24"/>
          <w:szCs w:val="24"/>
        </w:rPr>
        <w:t>Tissue section</w:t>
      </w:r>
      <w:r w:rsidRPr="004742B0">
        <w:rPr>
          <w:rFonts w:ascii="Times New Roman" w:eastAsia="宋体" w:hAnsi="Times New Roman" w:cs="Times New Roman"/>
          <w:sz w:val="24"/>
          <w:szCs w:val="24"/>
        </w:rPr>
        <w:t>: mouse colon tissue was fixed with 10% formaldehyde for 24 hours, and then dehydrated with graded concentrations of alcohol (alcohol concentration gradient: 50%, 70%, 80%, 95%, and 100%). The dehydrated tissue was then embedded in paraffin using a tissue embedding machine, and subsequently sectioned. Paraffin tissue section was used for hematoxylin-eosin (HE) staining.</w:t>
      </w:r>
    </w:p>
    <w:p w14:paraId="61BA3B07" w14:textId="77777777" w:rsidR="00D60498" w:rsidRPr="004742B0" w:rsidRDefault="00D60498" w:rsidP="00D60498">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i/>
          <w:sz w:val="24"/>
          <w:szCs w:val="24"/>
        </w:rPr>
        <w:t>HE staining</w:t>
      </w:r>
      <w:r w:rsidRPr="004742B0">
        <w:rPr>
          <w:rFonts w:ascii="Times New Roman" w:eastAsia="宋体" w:hAnsi="Times New Roman" w:cs="Times New Roman"/>
          <w:sz w:val="24"/>
          <w:szCs w:val="24"/>
        </w:rPr>
        <w:t>: Paraffin tissue section was stained according to the following steps: (1) For dewax</w:t>
      </w:r>
      <w:r w:rsidRPr="004742B0">
        <w:rPr>
          <w:rFonts w:ascii="Times New Roman" w:eastAsia="PMingLiU" w:hAnsi="Times New Roman" w:cs="Times New Roman"/>
          <w:sz w:val="24"/>
          <w:szCs w:val="24"/>
          <w:lang w:eastAsia="zh-TW"/>
        </w:rPr>
        <w:t>ing</w:t>
      </w:r>
      <w:r w:rsidRPr="004742B0">
        <w:rPr>
          <w:rFonts w:ascii="Times New Roman" w:hAnsi="Times New Roman" w:cs="Times New Roman"/>
          <w:sz w:val="24"/>
          <w:szCs w:val="24"/>
        </w:rPr>
        <w:t xml:space="preserve"> and hydration</w:t>
      </w:r>
      <w:r w:rsidRPr="004742B0">
        <w:rPr>
          <w:rFonts w:ascii="Times New Roman" w:eastAsia="宋体" w:hAnsi="Times New Roman" w:cs="Times New Roman"/>
          <w:sz w:val="24"/>
          <w:szCs w:val="24"/>
        </w:rPr>
        <w:t>, the tissue section was treated separately with xylene (10 min × 2), anhydrous ethanol (1 min), 95% ethanol (1 min), 80% ethanol (1 min), and pure water (5 min). (2) For HE staining, the tissue section was treated separately with hematoxylin solution (5 min), pure water (1 min), 0.5% ethanol hydrochloride (5 s), 1% ammonia (10 s),</w:t>
      </w:r>
      <w:r w:rsidRPr="004742B0">
        <w:rPr>
          <w:rFonts w:ascii="Times New Roman" w:hAnsi="Times New Roman" w:cs="Times New Roman"/>
          <w:sz w:val="24"/>
          <w:szCs w:val="24"/>
        </w:rPr>
        <w:t xml:space="preserve"> </w:t>
      </w:r>
      <w:r w:rsidRPr="004742B0">
        <w:rPr>
          <w:rFonts w:ascii="Times New Roman" w:eastAsia="宋体" w:hAnsi="Times New Roman" w:cs="Times New Roman"/>
          <w:sz w:val="24"/>
          <w:szCs w:val="24"/>
        </w:rPr>
        <w:t>pure water (5 min)-eosin (2 min), pure water (1 min), 95% ethanol (1 min × 2), 100% ethanol (1 min), 100% ethanol (2 min), and xylene (2 min × 2). (3) After mounting with neutral resin, the tissue section was observed and photographed using a microscope.</w:t>
      </w:r>
    </w:p>
    <w:p w14:paraId="23A8A562" w14:textId="77777777" w:rsidR="00A45D7A" w:rsidRPr="004742B0" w:rsidRDefault="00A45D7A" w:rsidP="00D60498">
      <w:pPr>
        <w:spacing w:line="480" w:lineRule="auto"/>
        <w:ind w:firstLine="420"/>
        <w:rPr>
          <w:rFonts w:ascii="Times New Roman" w:eastAsia="宋体" w:hAnsi="Times New Roman" w:cs="Times New Roman"/>
          <w:sz w:val="24"/>
          <w:szCs w:val="24"/>
        </w:rPr>
      </w:pPr>
    </w:p>
    <w:p w14:paraId="5169DE41" w14:textId="79940622" w:rsidR="00D60498" w:rsidRPr="004742B0" w:rsidRDefault="00D60498" w:rsidP="00D60498">
      <w:pPr>
        <w:spacing w:line="480" w:lineRule="auto"/>
        <w:rPr>
          <w:rFonts w:ascii="Times New Roman" w:eastAsia="宋体" w:hAnsi="Times New Roman" w:cs="Times New Roman"/>
          <w:i/>
          <w:sz w:val="24"/>
          <w:szCs w:val="24"/>
        </w:rPr>
      </w:pPr>
      <w:r w:rsidRPr="004742B0">
        <w:rPr>
          <w:rFonts w:ascii="Times New Roman" w:eastAsia="宋体" w:hAnsi="Times New Roman" w:cs="Times New Roman"/>
          <w:i/>
          <w:sz w:val="24"/>
          <w:szCs w:val="24"/>
        </w:rPr>
        <w:t>6 16S rRNA gene sequencing</w:t>
      </w:r>
    </w:p>
    <w:p w14:paraId="65805607" w14:textId="75563140" w:rsidR="00D60498" w:rsidRPr="004742B0" w:rsidRDefault="00D60498" w:rsidP="00D60498">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sz w:val="24"/>
          <w:szCs w:val="24"/>
        </w:rPr>
        <w:t xml:space="preserve">For high-throughput 16S rRNA gene sequencing of intestinal microbiota, mouse cecal sample was first thawed and centrifuged at 13,000 × </w:t>
      </w:r>
      <w:r w:rsidRPr="004742B0">
        <w:rPr>
          <w:rFonts w:ascii="Times New Roman" w:eastAsia="宋体" w:hAnsi="Times New Roman" w:cs="Times New Roman"/>
          <w:i/>
          <w:sz w:val="24"/>
          <w:szCs w:val="24"/>
        </w:rPr>
        <w:t>g</w:t>
      </w:r>
      <w:r w:rsidRPr="004742B0">
        <w:rPr>
          <w:rFonts w:ascii="Times New Roman" w:eastAsia="宋体" w:hAnsi="Times New Roman" w:cs="Times New Roman"/>
          <w:sz w:val="24"/>
          <w:szCs w:val="24"/>
        </w:rPr>
        <w:t xml:space="preserve"> for 2 min, then the supernatant was removed. Total DNA in the stool sample was extracted using the QIAamp DNA Mini Kit (QIAGEN, Stockach, Germany). The 16S rRNA gene fragment was amplified using TransStart Fastpfu DNA Polymerase (TransGen </w:t>
      </w:r>
      <w:r w:rsidRPr="004742B0">
        <w:rPr>
          <w:rFonts w:ascii="Times New Roman" w:eastAsia="宋体" w:hAnsi="Times New Roman" w:cs="Times New Roman"/>
          <w:sz w:val="24"/>
          <w:szCs w:val="24"/>
        </w:rPr>
        <w:lastRenderedPageBreak/>
        <w:t xml:space="preserve">Biotech, Beijing, China) and 16S rRNA V3-V4 region primer pair (338F: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-ACTCCTACGGGAGGCAGCAG-</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 xml:space="preserve">; 806R: </w:t>
      </w:r>
      <w:r w:rsidR="00184650">
        <w:rPr>
          <w:rFonts w:ascii="Times New Roman" w:eastAsia="宋体" w:hAnsi="Times New Roman" w:cs="Times New Roman"/>
          <w:sz w:val="24"/>
          <w:szCs w:val="24"/>
        </w:rPr>
        <w:t>5’</w:t>
      </w:r>
      <w:r w:rsidRPr="004742B0">
        <w:rPr>
          <w:rFonts w:ascii="Times New Roman" w:eastAsia="宋体" w:hAnsi="Times New Roman" w:cs="Times New Roman"/>
          <w:sz w:val="24"/>
          <w:szCs w:val="24"/>
        </w:rPr>
        <w:t>-GGACTACHVGGGTWTCTAAT-</w:t>
      </w:r>
      <w:r w:rsidR="00184650">
        <w:rPr>
          <w:rFonts w:ascii="Times New Roman" w:eastAsia="宋体" w:hAnsi="Times New Roman" w:cs="Times New Roman"/>
          <w:sz w:val="24"/>
          <w:szCs w:val="24"/>
        </w:rPr>
        <w:t>3’</w:t>
      </w:r>
      <w:r w:rsidRPr="004742B0">
        <w:rPr>
          <w:rFonts w:ascii="Times New Roman" w:eastAsia="宋体" w:hAnsi="Times New Roman" w:cs="Times New Roman"/>
          <w:sz w:val="24"/>
          <w:szCs w:val="24"/>
        </w:rPr>
        <w:t>), and the PCR product was then purified by the AxyPrepDNA Gel Recovery Kit (Axygen, Union City, CA, USA) and quantified with QuantiFluor™-ST Kit (Promega, Madison, WI, USA). Purified PCR product was pooled in equimolar amounts for paired-end sequencing on an Illumina MiSeq PE300 platform (Illumina, San Diego, CA, USA).</w:t>
      </w:r>
    </w:p>
    <w:p w14:paraId="07713266" w14:textId="35054150" w:rsidR="00D60498" w:rsidRPr="004742B0" w:rsidRDefault="00D60498" w:rsidP="00D60498">
      <w:pPr>
        <w:spacing w:line="480" w:lineRule="auto"/>
        <w:ind w:firstLine="420"/>
        <w:rPr>
          <w:rFonts w:ascii="Times New Roman" w:eastAsia="宋体" w:hAnsi="Times New Roman" w:cs="Times New Roman"/>
          <w:sz w:val="24"/>
          <w:szCs w:val="24"/>
        </w:rPr>
      </w:pPr>
      <w:r w:rsidRPr="004742B0">
        <w:rPr>
          <w:rFonts w:ascii="Times New Roman" w:eastAsia="宋体" w:hAnsi="Times New Roman" w:cs="Times New Roman"/>
          <w:sz w:val="24"/>
          <w:szCs w:val="24"/>
        </w:rPr>
        <w:t>The data analysis method was referred to the previous descriptions. The raw fastq files were first de-multiplexed using an in-house Perl script, then quality-filtered by fastp version 0.19.6, and merged with FLASH version 1.2.7. Sequences were clustered into operational taxonomic units (OTUs) using UPARSE 7.1 with a sequence similarity level of 97%. The numbers of sequences per sample was enriched according to the smallest sample sequence number (23,693 reads).</w:t>
      </w:r>
      <w:r w:rsidRPr="004742B0">
        <w:rPr>
          <w:rFonts w:ascii="Times New Roman" w:hAnsi="Times New Roman" w:cs="Times New Roman"/>
          <w:sz w:val="24"/>
          <w:szCs w:val="24"/>
        </w:rPr>
        <w:t xml:space="preserve"> </w:t>
      </w:r>
      <w:r w:rsidRPr="004742B0">
        <w:rPr>
          <w:rFonts w:ascii="Times New Roman" w:eastAsia="宋体" w:hAnsi="Times New Roman" w:cs="Times New Roman"/>
          <w:sz w:val="24"/>
          <w:szCs w:val="24"/>
        </w:rPr>
        <w:t>The taxonomy of each OTU representative sequence was analyzed by the RDP Classifier version 2.2 against the Silva version 138 database with a confidence threshold of 0.7.</w:t>
      </w:r>
      <w:r w:rsidRPr="004742B0">
        <w:rPr>
          <w:rFonts w:ascii="Times New Roman" w:hAnsi="Times New Roman" w:cs="Times New Roman"/>
          <w:sz w:val="24"/>
          <w:szCs w:val="24"/>
        </w:rPr>
        <w:t xml:space="preserve"> </w:t>
      </w:r>
      <w:r w:rsidRPr="004742B0">
        <w:rPr>
          <w:rFonts w:ascii="Times New Roman" w:eastAsia="宋体" w:hAnsi="Times New Roman" w:cs="Times New Roman"/>
          <w:sz w:val="24"/>
          <w:szCs w:val="24"/>
        </w:rPr>
        <w:t>Bioinformatic analysis of intestinal microbiota was carried out using the Majorbio cloud platform (https://cloud.majorbio.com). The α diversity indices were calculated with Mothur version 1.30.1 and the β diversity indices calculated with Vegan version 2.5-3 package. Significantly enriched taxa (from phylum to genera) of bacteria in different groups (LDA score &gt; 3.0) were identified using linear discriminant analysis (LDA) effect size (LEfSe).</w:t>
      </w:r>
    </w:p>
    <w:p w14:paraId="1CA71D18" w14:textId="77777777" w:rsidR="00D60498" w:rsidRPr="004742B0" w:rsidRDefault="00D60498" w:rsidP="00D60498">
      <w:pPr>
        <w:spacing w:line="480" w:lineRule="auto"/>
        <w:rPr>
          <w:rFonts w:ascii="Times New Roman" w:eastAsia="宋体" w:hAnsi="Times New Roman" w:cs="Times New Roman"/>
          <w:sz w:val="24"/>
          <w:szCs w:val="24"/>
        </w:rPr>
      </w:pPr>
    </w:p>
    <w:p w14:paraId="1CDD035B" w14:textId="77777777" w:rsidR="00506311" w:rsidRPr="004742B0" w:rsidRDefault="00506311">
      <w:pPr>
        <w:rPr>
          <w:rFonts w:ascii="Times New Roman" w:hAnsi="Times New Roman" w:cs="Times New Roman"/>
          <w:sz w:val="24"/>
          <w:szCs w:val="24"/>
        </w:rPr>
      </w:pPr>
    </w:p>
    <w:sectPr w:rsidR="00506311" w:rsidRPr="004742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BA4C3" w14:textId="77777777" w:rsidR="00DB7DFC" w:rsidRDefault="00DB7DFC" w:rsidP="00D60498">
      <w:pPr>
        <w:rPr>
          <w:rFonts w:hint="eastAsia"/>
        </w:rPr>
      </w:pPr>
      <w:r>
        <w:separator/>
      </w:r>
    </w:p>
  </w:endnote>
  <w:endnote w:type="continuationSeparator" w:id="0">
    <w:p w14:paraId="056AC4F0" w14:textId="77777777" w:rsidR="00DB7DFC" w:rsidRDefault="00DB7DFC" w:rsidP="00D6049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E1926" w14:textId="77777777" w:rsidR="00DB7DFC" w:rsidRDefault="00DB7DFC" w:rsidP="00D60498">
      <w:pPr>
        <w:rPr>
          <w:rFonts w:hint="eastAsia"/>
        </w:rPr>
      </w:pPr>
      <w:r>
        <w:separator/>
      </w:r>
    </w:p>
  </w:footnote>
  <w:footnote w:type="continuationSeparator" w:id="0">
    <w:p w14:paraId="7C2B6A34" w14:textId="77777777" w:rsidR="00DB7DFC" w:rsidRDefault="00DB7DFC" w:rsidP="00D6049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581E"/>
    <w:multiLevelType w:val="multilevel"/>
    <w:tmpl w:val="591E6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0847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571FC"/>
    <w:rsid w:val="00184650"/>
    <w:rsid w:val="004742B0"/>
    <w:rsid w:val="00506311"/>
    <w:rsid w:val="007265CC"/>
    <w:rsid w:val="00727D78"/>
    <w:rsid w:val="008C1D7B"/>
    <w:rsid w:val="00904CFE"/>
    <w:rsid w:val="009A6126"/>
    <w:rsid w:val="00A45D7A"/>
    <w:rsid w:val="00B62755"/>
    <w:rsid w:val="00BE181A"/>
    <w:rsid w:val="00D571FC"/>
    <w:rsid w:val="00D60498"/>
    <w:rsid w:val="00DB7DFC"/>
    <w:rsid w:val="00EF0E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A8192C6"/>
  <w14:defaultImageDpi w14:val="32767"/>
  <w15:chartTrackingRefBased/>
  <w15:docId w15:val="{052FC860-BCAA-4B8B-B59A-8E07106DC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0498"/>
    <w:pPr>
      <w:widowControl w:val="0"/>
      <w:jc w:val="both"/>
    </w:pPr>
  </w:style>
  <w:style w:type="paragraph" w:styleId="1">
    <w:name w:val="heading 1"/>
    <w:basedOn w:val="a"/>
    <w:next w:val="a"/>
    <w:link w:val="10"/>
    <w:uiPriority w:val="9"/>
    <w:qFormat/>
    <w:rsid w:val="008C1D7B"/>
    <w:pPr>
      <w:keepNext/>
      <w:keepLines/>
      <w:spacing w:before="360" w:after="360" w:line="360" w:lineRule="auto"/>
      <w:ind w:leftChars="100" w:left="100" w:rightChars="100" w:right="100"/>
      <w:jc w:val="left"/>
      <w:outlineLvl w:val="0"/>
    </w:pPr>
    <w:rPr>
      <w:rFonts w:ascii="Times New Roman" w:hAnsi="Times New Roman"/>
      <w:b/>
      <w:bCs/>
      <w:kern w:val="44"/>
      <w:sz w:val="28"/>
      <w:szCs w:val="44"/>
    </w:rPr>
  </w:style>
  <w:style w:type="paragraph" w:styleId="2">
    <w:name w:val="heading 2"/>
    <w:basedOn w:val="a"/>
    <w:next w:val="a"/>
    <w:link w:val="20"/>
    <w:uiPriority w:val="9"/>
    <w:semiHidden/>
    <w:unhideWhenUsed/>
    <w:qFormat/>
    <w:rsid w:val="00D571F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571F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D571F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D571FC"/>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D571FC"/>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D571F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571F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571F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C1D7B"/>
    <w:rPr>
      <w:rFonts w:ascii="Times New Roman" w:hAnsi="Times New Roman"/>
      <w:b/>
      <w:bCs/>
      <w:kern w:val="44"/>
      <w:sz w:val="28"/>
      <w:szCs w:val="44"/>
    </w:rPr>
  </w:style>
  <w:style w:type="character" w:customStyle="1" w:styleId="20">
    <w:name w:val="标题 2 字符"/>
    <w:basedOn w:val="a0"/>
    <w:link w:val="2"/>
    <w:uiPriority w:val="9"/>
    <w:semiHidden/>
    <w:rsid w:val="00D571F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571F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571FC"/>
    <w:rPr>
      <w:rFonts w:cstheme="majorBidi"/>
      <w:color w:val="0F4761" w:themeColor="accent1" w:themeShade="BF"/>
      <w:sz w:val="28"/>
      <w:szCs w:val="28"/>
    </w:rPr>
  </w:style>
  <w:style w:type="character" w:customStyle="1" w:styleId="50">
    <w:name w:val="标题 5 字符"/>
    <w:basedOn w:val="a0"/>
    <w:link w:val="5"/>
    <w:uiPriority w:val="9"/>
    <w:semiHidden/>
    <w:rsid w:val="00D571FC"/>
    <w:rPr>
      <w:rFonts w:cstheme="majorBidi"/>
      <w:color w:val="0F4761" w:themeColor="accent1" w:themeShade="BF"/>
      <w:sz w:val="24"/>
      <w:szCs w:val="24"/>
    </w:rPr>
  </w:style>
  <w:style w:type="character" w:customStyle="1" w:styleId="60">
    <w:name w:val="标题 6 字符"/>
    <w:basedOn w:val="a0"/>
    <w:link w:val="6"/>
    <w:uiPriority w:val="9"/>
    <w:semiHidden/>
    <w:rsid w:val="00D571FC"/>
    <w:rPr>
      <w:rFonts w:cstheme="majorBidi"/>
      <w:b/>
      <w:bCs/>
      <w:color w:val="0F4761" w:themeColor="accent1" w:themeShade="BF"/>
    </w:rPr>
  </w:style>
  <w:style w:type="character" w:customStyle="1" w:styleId="70">
    <w:name w:val="标题 7 字符"/>
    <w:basedOn w:val="a0"/>
    <w:link w:val="7"/>
    <w:uiPriority w:val="9"/>
    <w:semiHidden/>
    <w:rsid w:val="00D571FC"/>
    <w:rPr>
      <w:rFonts w:cstheme="majorBidi"/>
      <w:b/>
      <w:bCs/>
      <w:color w:val="595959" w:themeColor="text1" w:themeTint="A6"/>
    </w:rPr>
  </w:style>
  <w:style w:type="character" w:customStyle="1" w:styleId="80">
    <w:name w:val="标题 8 字符"/>
    <w:basedOn w:val="a0"/>
    <w:link w:val="8"/>
    <w:uiPriority w:val="9"/>
    <w:semiHidden/>
    <w:rsid w:val="00D571FC"/>
    <w:rPr>
      <w:rFonts w:cstheme="majorBidi"/>
      <w:color w:val="595959" w:themeColor="text1" w:themeTint="A6"/>
    </w:rPr>
  </w:style>
  <w:style w:type="character" w:customStyle="1" w:styleId="90">
    <w:name w:val="标题 9 字符"/>
    <w:basedOn w:val="a0"/>
    <w:link w:val="9"/>
    <w:uiPriority w:val="9"/>
    <w:semiHidden/>
    <w:rsid w:val="00D571FC"/>
    <w:rPr>
      <w:rFonts w:eastAsiaTheme="majorEastAsia" w:cstheme="majorBidi"/>
      <w:color w:val="595959" w:themeColor="text1" w:themeTint="A6"/>
    </w:rPr>
  </w:style>
  <w:style w:type="paragraph" w:styleId="a3">
    <w:name w:val="Title"/>
    <w:basedOn w:val="a"/>
    <w:next w:val="a"/>
    <w:link w:val="a4"/>
    <w:uiPriority w:val="10"/>
    <w:qFormat/>
    <w:rsid w:val="00D571F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571F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71F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571F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71FC"/>
    <w:pPr>
      <w:spacing w:before="160" w:after="160"/>
      <w:jc w:val="center"/>
    </w:pPr>
    <w:rPr>
      <w:i/>
      <w:iCs/>
      <w:color w:val="404040" w:themeColor="text1" w:themeTint="BF"/>
    </w:rPr>
  </w:style>
  <w:style w:type="character" w:customStyle="1" w:styleId="a8">
    <w:name w:val="引用 字符"/>
    <w:basedOn w:val="a0"/>
    <w:link w:val="a7"/>
    <w:uiPriority w:val="29"/>
    <w:rsid w:val="00D571FC"/>
    <w:rPr>
      <w:i/>
      <w:iCs/>
      <w:color w:val="404040" w:themeColor="text1" w:themeTint="BF"/>
    </w:rPr>
  </w:style>
  <w:style w:type="paragraph" w:styleId="a9">
    <w:name w:val="List Paragraph"/>
    <w:basedOn w:val="a"/>
    <w:uiPriority w:val="34"/>
    <w:qFormat/>
    <w:rsid w:val="00D571FC"/>
    <w:pPr>
      <w:ind w:left="720"/>
      <w:contextualSpacing/>
    </w:pPr>
  </w:style>
  <w:style w:type="character" w:styleId="aa">
    <w:name w:val="Intense Emphasis"/>
    <w:basedOn w:val="a0"/>
    <w:uiPriority w:val="21"/>
    <w:qFormat/>
    <w:rsid w:val="00D571FC"/>
    <w:rPr>
      <w:i/>
      <w:iCs/>
      <w:color w:val="0F4761" w:themeColor="accent1" w:themeShade="BF"/>
    </w:rPr>
  </w:style>
  <w:style w:type="paragraph" w:styleId="ab">
    <w:name w:val="Intense Quote"/>
    <w:basedOn w:val="a"/>
    <w:next w:val="a"/>
    <w:link w:val="ac"/>
    <w:uiPriority w:val="30"/>
    <w:qFormat/>
    <w:rsid w:val="00D571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571FC"/>
    <w:rPr>
      <w:i/>
      <w:iCs/>
      <w:color w:val="0F4761" w:themeColor="accent1" w:themeShade="BF"/>
    </w:rPr>
  </w:style>
  <w:style w:type="character" w:styleId="ad">
    <w:name w:val="Intense Reference"/>
    <w:basedOn w:val="a0"/>
    <w:uiPriority w:val="32"/>
    <w:qFormat/>
    <w:rsid w:val="00D571FC"/>
    <w:rPr>
      <w:b/>
      <w:bCs/>
      <w:smallCaps/>
      <w:color w:val="0F4761" w:themeColor="accent1" w:themeShade="BF"/>
      <w:spacing w:val="5"/>
    </w:rPr>
  </w:style>
  <w:style w:type="paragraph" w:styleId="ae">
    <w:name w:val="header"/>
    <w:basedOn w:val="a"/>
    <w:link w:val="af"/>
    <w:uiPriority w:val="99"/>
    <w:unhideWhenUsed/>
    <w:rsid w:val="00D60498"/>
    <w:pPr>
      <w:tabs>
        <w:tab w:val="center" w:pos="4153"/>
        <w:tab w:val="right" w:pos="8306"/>
      </w:tabs>
      <w:snapToGrid w:val="0"/>
      <w:jc w:val="center"/>
    </w:pPr>
    <w:rPr>
      <w:sz w:val="18"/>
      <w:szCs w:val="18"/>
    </w:rPr>
  </w:style>
  <w:style w:type="character" w:customStyle="1" w:styleId="af">
    <w:name w:val="页眉 字符"/>
    <w:basedOn w:val="a0"/>
    <w:link w:val="ae"/>
    <w:uiPriority w:val="99"/>
    <w:rsid w:val="00D60498"/>
    <w:rPr>
      <w:sz w:val="18"/>
      <w:szCs w:val="18"/>
    </w:rPr>
  </w:style>
  <w:style w:type="paragraph" w:styleId="af0">
    <w:name w:val="footer"/>
    <w:basedOn w:val="a"/>
    <w:link w:val="af1"/>
    <w:uiPriority w:val="99"/>
    <w:unhideWhenUsed/>
    <w:rsid w:val="00D60498"/>
    <w:pPr>
      <w:tabs>
        <w:tab w:val="center" w:pos="4153"/>
        <w:tab w:val="right" w:pos="8306"/>
      </w:tabs>
      <w:snapToGrid w:val="0"/>
      <w:jc w:val="left"/>
    </w:pPr>
    <w:rPr>
      <w:sz w:val="18"/>
      <w:szCs w:val="18"/>
    </w:rPr>
  </w:style>
  <w:style w:type="character" w:customStyle="1" w:styleId="af1">
    <w:name w:val="页脚 字符"/>
    <w:basedOn w:val="a0"/>
    <w:link w:val="af0"/>
    <w:uiPriority w:val="99"/>
    <w:rsid w:val="00D60498"/>
    <w:rPr>
      <w:sz w:val="18"/>
      <w:szCs w:val="18"/>
    </w:rPr>
  </w:style>
  <w:style w:type="table" w:styleId="af2">
    <w:name w:val="Table Grid"/>
    <w:basedOn w:val="a1"/>
    <w:uiPriority w:val="39"/>
    <w:rsid w:val="00D60498"/>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147711">
      <w:bodyDiv w:val="1"/>
      <w:marLeft w:val="0"/>
      <w:marRight w:val="0"/>
      <w:marTop w:val="0"/>
      <w:marBottom w:val="0"/>
      <w:divBdr>
        <w:top w:val="none" w:sz="0" w:space="0" w:color="auto"/>
        <w:left w:val="none" w:sz="0" w:space="0" w:color="auto"/>
        <w:bottom w:val="none" w:sz="0" w:space="0" w:color="auto"/>
        <w:right w:val="none" w:sz="0" w:space="0" w:color="auto"/>
      </w:divBdr>
      <w:divsChild>
        <w:div w:id="553396204">
          <w:marLeft w:val="0"/>
          <w:marRight w:val="0"/>
          <w:marTop w:val="0"/>
          <w:marBottom w:val="0"/>
          <w:divBdr>
            <w:top w:val="none" w:sz="0" w:space="0" w:color="auto"/>
            <w:left w:val="none" w:sz="0" w:space="0" w:color="auto"/>
            <w:bottom w:val="none" w:sz="0" w:space="0" w:color="auto"/>
            <w:right w:val="none" w:sz="0" w:space="0" w:color="auto"/>
          </w:divBdr>
          <w:divsChild>
            <w:div w:id="149325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1514">
      <w:bodyDiv w:val="1"/>
      <w:marLeft w:val="0"/>
      <w:marRight w:val="0"/>
      <w:marTop w:val="0"/>
      <w:marBottom w:val="0"/>
      <w:divBdr>
        <w:top w:val="none" w:sz="0" w:space="0" w:color="auto"/>
        <w:left w:val="none" w:sz="0" w:space="0" w:color="auto"/>
        <w:bottom w:val="none" w:sz="0" w:space="0" w:color="auto"/>
        <w:right w:val="none" w:sz="0" w:space="0" w:color="auto"/>
      </w:divBdr>
      <w:divsChild>
        <w:div w:id="1229652057">
          <w:marLeft w:val="0"/>
          <w:marRight w:val="0"/>
          <w:marTop w:val="0"/>
          <w:marBottom w:val="0"/>
          <w:divBdr>
            <w:top w:val="none" w:sz="0" w:space="0" w:color="auto"/>
            <w:left w:val="none" w:sz="0" w:space="0" w:color="auto"/>
            <w:bottom w:val="none" w:sz="0" w:space="0" w:color="auto"/>
            <w:right w:val="none" w:sz="0" w:space="0" w:color="auto"/>
          </w:divBdr>
          <w:divsChild>
            <w:div w:id="16739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1067</Words>
  <Characters>6088</Characters>
  <Application>Microsoft Office Word</Application>
  <DocSecurity>0</DocSecurity>
  <Lines>50</Lines>
  <Paragraphs>14</Paragraphs>
  <ScaleCrop>false</ScaleCrop>
  <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Archer</dc:creator>
  <cp:keywords/>
  <dc:description/>
  <cp:lastModifiedBy>Xavier Archer</cp:lastModifiedBy>
  <cp:revision>4</cp:revision>
  <dcterms:created xsi:type="dcterms:W3CDTF">2025-02-08T12:26:00Z</dcterms:created>
  <dcterms:modified xsi:type="dcterms:W3CDTF">2025-02-12T11:18:00Z</dcterms:modified>
</cp:coreProperties>
</file>