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A531B" w14:textId="287034BA" w:rsidR="007E10AA" w:rsidRPr="007E10AA" w:rsidRDefault="007E10AA" w:rsidP="007E10AA">
      <w:pPr>
        <w:rPr>
          <w:lang w:val="en-IN"/>
        </w:rPr>
      </w:pPr>
      <w:r w:rsidRPr="007E10AA">
        <w:rPr>
          <w:lang w:val="en-IN"/>
        </w:rPr>
        <w:drawing>
          <wp:inline distT="0" distB="0" distL="0" distR="0" wp14:anchorId="34D7EC8B" wp14:editId="034FD377">
            <wp:extent cx="5943600" cy="1858010"/>
            <wp:effectExtent l="0" t="0" r="0" b="8890"/>
            <wp:docPr id="19299461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31F01" w14:textId="77777777" w:rsidR="007E10AA" w:rsidRPr="007E10AA" w:rsidRDefault="007E10AA" w:rsidP="007E10AA">
      <w:pPr>
        <w:rPr>
          <w:lang w:val="en-IN"/>
        </w:rPr>
      </w:pPr>
      <w:bookmarkStart w:id="0" w:name="_Hlk185526624"/>
      <w:bookmarkStart w:id="1" w:name="_Hlk185526648"/>
      <w:r w:rsidRPr="007E10AA">
        <w:rPr>
          <w:b/>
          <w:bCs/>
          <w:lang w:val="en-IN"/>
        </w:rPr>
        <w:t>Scheme 1.</w:t>
      </w:r>
      <w:r w:rsidRPr="007E10AA">
        <w:rPr>
          <w:lang w:val="en-IN"/>
        </w:rPr>
        <w:t xml:space="preserve"> The synthesized novel </w:t>
      </w:r>
      <w:r w:rsidRPr="007E10AA">
        <w:rPr>
          <w:u w:val="single"/>
        </w:rPr>
        <w:t xml:space="preserve">thiazole-pyrimidine hybrids </w:t>
      </w:r>
      <w:r w:rsidRPr="007E10AA">
        <w:rPr>
          <w:lang w:val="en-IN"/>
        </w:rPr>
        <w:t>(</w:t>
      </w:r>
      <w:r w:rsidRPr="007E10AA">
        <w:rPr>
          <w:b/>
          <w:bCs/>
          <w:lang w:val="en-IN"/>
        </w:rPr>
        <w:t xml:space="preserve">P1 </w:t>
      </w:r>
      <w:r w:rsidRPr="007E10AA">
        <w:rPr>
          <w:lang w:val="en-IN"/>
        </w:rPr>
        <w:t>to</w:t>
      </w:r>
      <w:r w:rsidRPr="007E10AA">
        <w:rPr>
          <w:b/>
          <w:bCs/>
          <w:lang w:val="en-IN"/>
        </w:rPr>
        <w:t xml:space="preserve"> P15</w:t>
      </w:r>
      <w:r w:rsidRPr="007E10AA">
        <w:rPr>
          <w:lang w:val="en-IN"/>
        </w:rPr>
        <w:t xml:space="preserve">). reagents and conditions: (i) ethanol, glacial acetic acid, reflux, 3h; (ii) ethanol, sodium ethoxide, r.t, 3h; iii) </w:t>
      </w:r>
      <w:bookmarkEnd w:id="0"/>
      <w:r w:rsidRPr="007E10AA">
        <w:rPr>
          <w:lang w:val="en-IN"/>
        </w:rPr>
        <w:t>POCl</w:t>
      </w:r>
      <w:r w:rsidRPr="007E10AA">
        <w:rPr>
          <w:vertAlign w:val="subscript"/>
          <w:lang w:val="en-IN"/>
        </w:rPr>
        <w:t>3</w:t>
      </w:r>
      <w:r w:rsidRPr="007E10AA">
        <w:rPr>
          <w:lang w:val="en-IN"/>
        </w:rPr>
        <w:t>, TEA, reflux, 5 h; (iv) DMF, K</w:t>
      </w:r>
      <w:r w:rsidRPr="007E10AA">
        <w:rPr>
          <w:vertAlign w:val="subscript"/>
          <w:lang w:val="en-IN"/>
        </w:rPr>
        <w:t>2</w:t>
      </w:r>
      <w:r w:rsidRPr="007E10AA">
        <w:rPr>
          <w:lang w:val="en-IN"/>
        </w:rPr>
        <w:t>CO</w:t>
      </w:r>
      <w:r w:rsidRPr="007E10AA">
        <w:rPr>
          <w:vertAlign w:val="subscript"/>
          <w:lang w:val="en-IN"/>
        </w:rPr>
        <w:t>3</w:t>
      </w:r>
      <w:r w:rsidRPr="007E10AA">
        <w:rPr>
          <w:lang w:val="en-IN"/>
        </w:rPr>
        <w:t>, r.t, 8h; (v) 2°-amine, DMF, K</w:t>
      </w:r>
      <w:r w:rsidRPr="007E10AA">
        <w:rPr>
          <w:vertAlign w:val="subscript"/>
          <w:lang w:val="en-IN"/>
        </w:rPr>
        <w:t>2</w:t>
      </w:r>
      <w:r w:rsidRPr="007E10AA">
        <w:rPr>
          <w:lang w:val="en-IN"/>
        </w:rPr>
        <w:t>CO</w:t>
      </w:r>
      <w:r w:rsidRPr="007E10AA">
        <w:rPr>
          <w:vertAlign w:val="subscript"/>
          <w:lang w:val="en-IN"/>
        </w:rPr>
        <w:t>3</w:t>
      </w:r>
      <w:r w:rsidRPr="007E10AA">
        <w:rPr>
          <w:lang w:val="en-IN"/>
        </w:rPr>
        <w:t>, reflux (90 °C), 6-8 h or ultrasonic irradiation, 40 kHz, 60 °C, 50-80 min.</w:t>
      </w:r>
      <w:bookmarkEnd w:id="1"/>
    </w:p>
    <w:p w14:paraId="40D9E2E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0AA"/>
    <w:rsid w:val="00732981"/>
    <w:rsid w:val="007E10AA"/>
    <w:rsid w:val="00AC0449"/>
    <w:rsid w:val="00AD604E"/>
    <w:rsid w:val="00B34282"/>
    <w:rsid w:val="00C5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9D901"/>
  <w15:chartTrackingRefBased/>
  <w15:docId w15:val="{CD2483FB-1887-48D8-8A54-3D7688CAD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10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0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0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0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0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0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0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0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0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0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0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0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0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0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0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0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0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0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0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0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0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0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0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0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0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0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0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0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0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Springer Nature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2025-04-18T11:38:00Z</dcterms:created>
  <dcterms:modified xsi:type="dcterms:W3CDTF">2025-04-18T11:38:00Z</dcterms:modified>
</cp:coreProperties>
</file>