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B215EB" w14:paraId="14993F07" w14:textId="77777777" w:rsidTr="00B215EB">
        <w:tc>
          <w:tcPr>
            <w:tcW w:w="8296" w:type="dxa"/>
            <w:gridSpan w:val="2"/>
            <w:tcBorders>
              <w:bottom w:val="single" w:sz="4" w:space="0" w:color="auto"/>
            </w:tcBorders>
          </w:tcPr>
          <w:p w14:paraId="63321D41" w14:textId="30DC6FD5" w:rsidR="00B215EB" w:rsidRDefault="00B215EB">
            <w:r w:rsidRPr="00B215EB">
              <w:rPr>
                <w:rFonts w:ascii="Times New Roman" w:hAnsi="Times New Roman" w:cs="Times New Roman" w:hint="eastAsia"/>
                <w:b/>
                <w:bCs/>
                <w:sz w:val="20"/>
                <w:szCs w:val="20"/>
              </w:rPr>
              <w:t>S</w:t>
            </w:r>
            <w:r w:rsidRPr="00B215EB">
              <w:rPr>
                <w:rFonts w:ascii="Times New Roman" w:hAnsi="Times New Roman" w:cs="Times New Roman"/>
                <w:b/>
                <w:bCs/>
                <w:sz w:val="20"/>
                <w:szCs w:val="20"/>
              </w:rPr>
              <w:t>upplementary file 1</w:t>
            </w:r>
            <w:r w:rsidRPr="00B215EB">
              <w:rPr>
                <w:rFonts w:ascii="Times New Roman" w:hAnsi="Times New Roman" w:cs="Times New Roman"/>
                <w:sz w:val="20"/>
                <w:szCs w:val="20"/>
              </w:rPr>
              <w:t xml:space="preserve"> The definitions of radiographic parameters</w:t>
            </w:r>
          </w:p>
        </w:tc>
      </w:tr>
      <w:tr w:rsidR="00AB1D1B" w14:paraId="4FC15098" w14:textId="77777777" w:rsidTr="00B215EB">
        <w:tc>
          <w:tcPr>
            <w:tcW w:w="4148" w:type="dxa"/>
            <w:tcBorders>
              <w:top w:val="single" w:sz="4" w:space="0" w:color="auto"/>
              <w:bottom w:val="single" w:sz="4" w:space="0" w:color="auto"/>
            </w:tcBorders>
          </w:tcPr>
          <w:p w14:paraId="56139F0C" w14:textId="09241921" w:rsidR="00AB1D1B" w:rsidRPr="00B215EB" w:rsidRDefault="00AB1D1B">
            <w:pPr>
              <w:rPr>
                <w:rFonts w:ascii="Times New Roman" w:hAnsi="Times New Roman" w:cs="Times New Roman"/>
                <w:sz w:val="20"/>
                <w:szCs w:val="20"/>
              </w:rPr>
            </w:pPr>
            <w:r w:rsidRPr="00B215EB">
              <w:rPr>
                <w:rFonts w:ascii="Times New Roman" w:hAnsi="Times New Roman" w:cs="Times New Roman" w:hint="eastAsia"/>
                <w:sz w:val="20"/>
                <w:szCs w:val="20"/>
              </w:rPr>
              <w:t>R</w:t>
            </w:r>
            <w:r w:rsidRPr="00B215EB">
              <w:rPr>
                <w:rFonts w:ascii="Times New Roman" w:hAnsi="Times New Roman" w:cs="Times New Roman"/>
                <w:sz w:val="20"/>
                <w:szCs w:val="20"/>
              </w:rPr>
              <w:t>adiographic parameters</w:t>
            </w:r>
          </w:p>
        </w:tc>
        <w:tc>
          <w:tcPr>
            <w:tcW w:w="4148" w:type="dxa"/>
            <w:tcBorders>
              <w:top w:val="single" w:sz="4" w:space="0" w:color="auto"/>
              <w:bottom w:val="single" w:sz="4" w:space="0" w:color="auto"/>
            </w:tcBorders>
          </w:tcPr>
          <w:p w14:paraId="49C96F58" w14:textId="7571480F" w:rsidR="00AB1D1B" w:rsidRPr="00B215EB" w:rsidRDefault="00AB1D1B">
            <w:pPr>
              <w:rPr>
                <w:rFonts w:ascii="Times New Roman" w:hAnsi="Times New Roman" w:cs="Times New Roman"/>
                <w:sz w:val="20"/>
                <w:szCs w:val="20"/>
              </w:rPr>
            </w:pPr>
            <w:r w:rsidRPr="00B215EB">
              <w:rPr>
                <w:rFonts w:ascii="Times New Roman" w:hAnsi="Times New Roman" w:cs="Times New Roman" w:hint="eastAsia"/>
                <w:sz w:val="20"/>
                <w:szCs w:val="20"/>
              </w:rPr>
              <w:t>D</w:t>
            </w:r>
            <w:r w:rsidRPr="00B215EB">
              <w:rPr>
                <w:rFonts w:ascii="Times New Roman" w:hAnsi="Times New Roman" w:cs="Times New Roman"/>
                <w:sz w:val="20"/>
                <w:szCs w:val="20"/>
              </w:rPr>
              <w:t>efin</w:t>
            </w:r>
            <w:r w:rsidR="00B215EB">
              <w:rPr>
                <w:rFonts w:ascii="Times New Roman" w:hAnsi="Times New Roman" w:cs="Times New Roman"/>
                <w:sz w:val="20"/>
                <w:szCs w:val="20"/>
              </w:rPr>
              <w:t>i</w:t>
            </w:r>
            <w:r w:rsidRPr="00B215EB">
              <w:rPr>
                <w:rFonts w:ascii="Times New Roman" w:hAnsi="Times New Roman" w:cs="Times New Roman"/>
                <w:sz w:val="20"/>
                <w:szCs w:val="20"/>
              </w:rPr>
              <w:t>tion</w:t>
            </w:r>
            <w:r w:rsidR="00B215EB">
              <w:rPr>
                <w:rFonts w:ascii="Times New Roman" w:hAnsi="Times New Roman" w:cs="Times New Roman"/>
                <w:sz w:val="20"/>
                <w:szCs w:val="20"/>
              </w:rPr>
              <w:t>s</w:t>
            </w:r>
          </w:p>
        </w:tc>
      </w:tr>
      <w:tr w:rsidR="00AB1D1B" w14:paraId="0E7BB298" w14:textId="77777777" w:rsidTr="00B215EB">
        <w:tc>
          <w:tcPr>
            <w:tcW w:w="4148" w:type="dxa"/>
            <w:tcBorders>
              <w:top w:val="single" w:sz="4" w:space="0" w:color="auto"/>
            </w:tcBorders>
          </w:tcPr>
          <w:p w14:paraId="463DB7F3" w14:textId="51BEA18A" w:rsidR="00AB1D1B" w:rsidRPr="00B215EB" w:rsidRDefault="00B215EB">
            <w:pPr>
              <w:rPr>
                <w:rFonts w:ascii="Times New Roman" w:hAnsi="Times New Roman" w:cs="Times New Roman"/>
                <w:sz w:val="20"/>
                <w:szCs w:val="20"/>
              </w:rPr>
            </w:pPr>
            <w:r>
              <w:rPr>
                <w:rFonts w:ascii="Times New Roman" w:hAnsi="Times New Roman" w:cs="Times New Roman"/>
                <w:sz w:val="20"/>
                <w:szCs w:val="20"/>
              </w:rPr>
              <w:t xml:space="preserve">Pelvic incidence, </w:t>
            </w:r>
            <w:r w:rsidR="00AB1D1B" w:rsidRPr="00B215EB">
              <w:rPr>
                <w:rFonts w:ascii="Times New Roman" w:hAnsi="Times New Roman" w:cs="Times New Roman" w:hint="eastAsia"/>
                <w:sz w:val="20"/>
                <w:szCs w:val="20"/>
              </w:rPr>
              <w:t>P</w:t>
            </w:r>
            <w:r w:rsidR="00AB1D1B" w:rsidRPr="00B215EB">
              <w:rPr>
                <w:rFonts w:ascii="Times New Roman" w:hAnsi="Times New Roman" w:cs="Times New Roman"/>
                <w:sz w:val="20"/>
                <w:szCs w:val="20"/>
              </w:rPr>
              <w:t>I</w:t>
            </w:r>
          </w:p>
        </w:tc>
        <w:tc>
          <w:tcPr>
            <w:tcW w:w="4148" w:type="dxa"/>
            <w:tcBorders>
              <w:top w:val="single" w:sz="4" w:space="0" w:color="auto"/>
            </w:tcBorders>
          </w:tcPr>
          <w:p w14:paraId="48C6D239" w14:textId="62E2BB5E" w:rsidR="00AB1D1B" w:rsidRPr="00B215EB" w:rsidRDefault="00AB1D1B">
            <w:pPr>
              <w:rPr>
                <w:rFonts w:ascii="Times New Roman" w:hAnsi="Times New Roman" w:cs="Times New Roman"/>
                <w:sz w:val="20"/>
                <w:szCs w:val="20"/>
              </w:rPr>
            </w:pPr>
            <w:r w:rsidRPr="00B215EB">
              <w:rPr>
                <w:rFonts w:ascii="Times New Roman" w:hAnsi="Times New Roman" w:cs="Times New Roman"/>
                <w:sz w:val="20"/>
                <w:szCs w:val="20"/>
              </w:rPr>
              <w:t>The angle between the line, which connects the midpoint of the superior endplate of the sacrum and the midpoint of the femoral head, and the vertical line of the superior endplate of the sacrum.</w:t>
            </w:r>
          </w:p>
        </w:tc>
      </w:tr>
      <w:tr w:rsidR="00AB1D1B" w14:paraId="5E71EF48" w14:textId="77777777" w:rsidTr="00B215EB">
        <w:tc>
          <w:tcPr>
            <w:tcW w:w="4148" w:type="dxa"/>
          </w:tcPr>
          <w:p w14:paraId="3A7F3B8C" w14:textId="1227E8E1" w:rsidR="00AB1D1B" w:rsidRPr="00B215EB" w:rsidRDefault="00B215EB">
            <w:pPr>
              <w:rPr>
                <w:rFonts w:ascii="Times New Roman" w:hAnsi="Times New Roman" w:cs="Times New Roman"/>
                <w:sz w:val="20"/>
                <w:szCs w:val="20"/>
              </w:rPr>
            </w:pPr>
            <w:r>
              <w:rPr>
                <w:rFonts w:ascii="Times New Roman" w:hAnsi="Times New Roman" w:cs="Times New Roman"/>
                <w:sz w:val="20"/>
                <w:szCs w:val="20"/>
              </w:rPr>
              <w:t xml:space="preserve">Pelvic tilt, </w:t>
            </w:r>
            <w:r w:rsidR="00AB1D1B">
              <w:rPr>
                <w:rFonts w:ascii="Times New Roman" w:hAnsi="Times New Roman" w:cs="Times New Roman"/>
                <w:sz w:val="20"/>
                <w:szCs w:val="20"/>
              </w:rPr>
              <w:t>PT</w:t>
            </w:r>
          </w:p>
        </w:tc>
        <w:tc>
          <w:tcPr>
            <w:tcW w:w="4148" w:type="dxa"/>
          </w:tcPr>
          <w:p w14:paraId="3E1C4AE4" w14:textId="6E602183" w:rsidR="00AB1D1B" w:rsidRPr="00B215EB" w:rsidRDefault="00AB1D1B">
            <w:pPr>
              <w:rPr>
                <w:rFonts w:ascii="Times New Roman" w:hAnsi="Times New Roman" w:cs="Times New Roman"/>
                <w:sz w:val="20"/>
                <w:szCs w:val="20"/>
              </w:rPr>
            </w:pPr>
            <w:r>
              <w:rPr>
                <w:rFonts w:ascii="Times New Roman" w:hAnsi="Times New Roman" w:cs="Times New Roman"/>
                <w:sz w:val="20"/>
                <w:szCs w:val="20"/>
              </w:rPr>
              <w:t>T</w:t>
            </w:r>
            <w:r w:rsidRPr="0077493F">
              <w:rPr>
                <w:rFonts w:ascii="Times New Roman" w:hAnsi="Times New Roman" w:cs="Times New Roman"/>
                <w:sz w:val="20"/>
                <w:szCs w:val="20"/>
              </w:rPr>
              <w:t xml:space="preserve">he angle between the line, which connects </w:t>
            </w:r>
            <w:bookmarkStart w:id="0" w:name="_Hlk60007128"/>
            <w:r w:rsidRPr="0077493F">
              <w:rPr>
                <w:rFonts w:ascii="Times New Roman" w:hAnsi="Times New Roman" w:cs="Times New Roman"/>
                <w:sz w:val="20"/>
                <w:szCs w:val="20"/>
              </w:rPr>
              <w:t>the midpoint of the superior endplate of the sacrum</w:t>
            </w:r>
            <w:bookmarkEnd w:id="0"/>
            <w:r w:rsidRPr="0077493F">
              <w:rPr>
                <w:rFonts w:ascii="Times New Roman" w:hAnsi="Times New Roman" w:cs="Times New Roman"/>
                <w:sz w:val="20"/>
                <w:szCs w:val="20"/>
              </w:rPr>
              <w:t xml:space="preserve"> and the midpoint of the femoral head, and the plumb line of the midpoint of the superior endplate of the sacrum</w:t>
            </w:r>
            <w:r>
              <w:rPr>
                <w:rFonts w:ascii="Times New Roman" w:hAnsi="Times New Roman" w:cs="Times New Roman"/>
                <w:sz w:val="20"/>
                <w:szCs w:val="20"/>
              </w:rPr>
              <w:t>.</w:t>
            </w:r>
          </w:p>
        </w:tc>
      </w:tr>
      <w:tr w:rsidR="00AB1D1B" w14:paraId="48D55C42" w14:textId="77777777" w:rsidTr="00B215EB">
        <w:tc>
          <w:tcPr>
            <w:tcW w:w="4148" w:type="dxa"/>
          </w:tcPr>
          <w:p w14:paraId="53F590EB" w14:textId="34879D7F" w:rsidR="00AB1D1B" w:rsidRPr="00B215EB" w:rsidRDefault="00B215EB" w:rsidP="00B215EB">
            <w:pPr>
              <w:rPr>
                <w:rFonts w:ascii="Times New Roman" w:hAnsi="Times New Roman" w:cs="Times New Roman"/>
                <w:sz w:val="20"/>
                <w:szCs w:val="20"/>
              </w:rPr>
            </w:pPr>
            <w:r>
              <w:rPr>
                <w:rFonts w:ascii="Times New Roman" w:hAnsi="Times New Roman" w:cs="Times New Roman"/>
                <w:sz w:val="20"/>
                <w:szCs w:val="20"/>
              </w:rPr>
              <w:t xml:space="preserve">Sacral slope, </w:t>
            </w:r>
            <w:r w:rsidR="00AB1D1B">
              <w:rPr>
                <w:rFonts w:ascii="Times New Roman" w:hAnsi="Times New Roman" w:cs="Times New Roman"/>
                <w:sz w:val="20"/>
                <w:szCs w:val="20"/>
              </w:rPr>
              <w:t>SS</w:t>
            </w:r>
          </w:p>
        </w:tc>
        <w:tc>
          <w:tcPr>
            <w:tcW w:w="4148" w:type="dxa"/>
          </w:tcPr>
          <w:p w14:paraId="0EC57991" w14:textId="70A04A41" w:rsidR="00AB1D1B" w:rsidRPr="00B215EB" w:rsidRDefault="00AB1D1B" w:rsidP="00B215EB">
            <w:pPr>
              <w:rPr>
                <w:rFonts w:ascii="Times New Roman" w:hAnsi="Times New Roman" w:cs="Times New Roman"/>
                <w:sz w:val="20"/>
                <w:szCs w:val="20"/>
              </w:rPr>
            </w:pPr>
            <w:r>
              <w:rPr>
                <w:rFonts w:ascii="Times New Roman" w:hAnsi="Times New Roman" w:cs="Times New Roman"/>
                <w:sz w:val="20"/>
                <w:szCs w:val="20"/>
              </w:rPr>
              <w:t>The Cobb</w:t>
            </w:r>
            <w:r w:rsidRPr="00E801E7">
              <w:rPr>
                <w:rFonts w:ascii="Times New Roman" w:hAnsi="Times New Roman" w:cs="Times New Roman"/>
                <w:sz w:val="20"/>
                <w:szCs w:val="20"/>
              </w:rPr>
              <w:t xml:space="preserve"> </w:t>
            </w:r>
            <w:r>
              <w:rPr>
                <w:rFonts w:ascii="Times New Roman" w:hAnsi="Times New Roman" w:cs="Times New Roman"/>
                <w:sz w:val="20"/>
                <w:szCs w:val="20"/>
              </w:rPr>
              <w:t>a</w:t>
            </w:r>
            <w:r w:rsidRPr="00E801E7">
              <w:rPr>
                <w:rFonts w:ascii="Times New Roman" w:hAnsi="Times New Roman" w:cs="Times New Roman"/>
                <w:sz w:val="20"/>
                <w:szCs w:val="20"/>
              </w:rPr>
              <w:t>ngle between the upper endplate of the sacrum and the horizontal line</w:t>
            </w:r>
            <w:r>
              <w:rPr>
                <w:rFonts w:ascii="Times New Roman" w:hAnsi="Times New Roman" w:cs="Times New Roman"/>
                <w:sz w:val="20"/>
                <w:szCs w:val="20"/>
              </w:rPr>
              <w:t>.</w:t>
            </w:r>
          </w:p>
        </w:tc>
      </w:tr>
      <w:tr w:rsidR="00AB1D1B" w14:paraId="5586D0B5" w14:textId="77777777" w:rsidTr="00B215EB">
        <w:tc>
          <w:tcPr>
            <w:tcW w:w="4148" w:type="dxa"/>
          </w:tcPr>
          <w:p w14:paraId="3C412CBD" w14:textId="5A06C82F" w:rsidR="00AB1D1B" w:rsidRPr="00B215EB" w:rsidRDefault="00B215EB">
            <w:pPr>
              <w:rPr>
                <w:rFonts w:ascii="Times New Roman" w:hAnsi="Times New Roman" w:cs="Times New Roman"/>
                <w:sz w:val="20"/>
                <w:szCs w:val="20"/>
              </w:rPr>
            </w:pPr>
            <w:r>
              <w:rPr>
                <w:rFonts w:ascii="Times New Roman" w:hAnsi="Times New Roman" w:cs="Times New Roman"/>
                <w:sz w:val="20"/>
                <w:szCs w:val="20"/>
              </w:rPr>
              <w:t xml:space="preserve">Thoracolumbar kyphosis, </w:t>
            </w:r>
            <w:r w:rsidR="00AB1D1B">
              <w:rPr>
                <w:rFonts w:ascii="Times New Roman" w:hAnsi="Times New Roman" w:cs="Times New Roman"/>
                <w:sz w:val="20"/>
                <w:szCs w:val="20"/>
              </w:rPr>
              <w:t>TLK</w:t>
            </w:r>
          </w:p>
        </w:tc>
        <w:tc>
          <w:tcPr>
            <w:tcW w:w="4148" w:type="dxa"/>
          </w:tcPr>
          <w:p w14:paraId="2B5E238E" w14:textId="31AB7A13" w:rsidR="00AB1D1B" w:rsidRPr="00B215EB" w:rsidRDefault="00AB1D1B">
            <w:pPr>
              <w:rPr>
                <w:rFonts w:ascii="Times New Roman" w:hAnsi="Times New Roman" w:cs="Times New Roman"/>
                <w:sz w:val="20"/>
                <w:szCs w:val="20"/>
              </w:rPr>
            </w:pPr>
            <w:bookmarkStart w:id="1" w:name="_Hlk60006943"/>
            <w:r>
              <w:rPr>
                <w:rFonts w:ascii="Times New Roman" w:hAnsi="Times New Roman" w:cs="Times New Roman"/>
                <w:sz w:val="20"/>
                <w:szCs w:val="20"/>
              </w:rPr>
              <w:t>T</w:t>
            </w:r>
            <w:r w:rsidRPr="00E801E7">
              <w:rPr>
                <w:rFonts w:ascii="Times New Roman" w:hAnsi="Times New Roman" w:cs="Times New Roman"/>
                <w:sz w:val="20"/>
                <w:szCs w:val="20"/>
              </w:rPr>
              <w:t xml:space="preserve">he </w:t>
            </w:r>
            <w:r>
              <w:rPr>
                <w:rFonts w:ascii="Times New Roman" w:hAnsi="Times New Roman" w:cs="Times New Roman"/>
                <w:sz w:val="20"/>
                <w:szCs w:val="20"/>
              </w:rPr>
              <w:t>Cobb</w:t>
            </w:r>
            <w:r>
              <w:rPr>
                <w:rFonts w:ascii="Times New Roman" w:hAnsi="Times New Roman" w:cs="Times New Roman" w:hint="eastAsia"/>
                <w:sz w:val="20"/>
                <w:szCs w:val="20"/>
              </w:rPr>
              <w:t xml:space="preserve"> </w:t>
            </w:r>
            <w:r>
              <w:rPr>
                <w:rFonts w:ascii="Times New Roman" w:hAnsi="Times New Roman" w:cs="Times New Roman"/>
                <w:sz w:val="20"/>
                <w:szCs w:val="20"/>
              </w:rPr>
              <w:t>a</w:t>
            </w:r>
            <w:r w:rsidRPr="00E801E7">
              <w:rPr>
                <w:rFonts w:ascii="Times New Roman" w:hAnsi="Times New Roman" w:cs="Times New Roman"/>
                <w:sz w:val="20"/>
                <w:szCs w:val="20"/>
              </w:rPr>
              <w:t>ngle between the upper endplate</w:t>
            </w:r>
            <w:r>
              <w:rPr>
                <w:rFonts w:ascii="Times New Roman" w:hAnsi="Times New Roman" w:cs="Times New Roman"/>
                <w:sz w:val="20"/>
                <w:szCs w:val="20"/>
              </w:rPr>
              <w:t xml:space="preserve"> of</w:t>
            </w:r>
            <w:r w:rsidRPr="00E801E7">
              <w:rPr>
                <w:rFonts w:ascii="Times New Roman" w:hAnsi="Times New Roman" w:cs="Times New Roman"/>
                <w:sz w:val="20"/>
                <w:szCs w:val="20"/>
              </w:rPr>
              <w:t xml:space="preserve"> T4 and the lower end plate </w:t>
            </w:r>
            <w:r>
              <w:rPr>
                <w:rFonts w:ascii="Times New Roman" w:hAnsi="Times New Roman" w:cs="Times New Roman"/>
                <w:sz w:val="20"/>
                <w:szCs w:val="20"/>
              </w:rPr>
              <w:t xml:space="preserve">of </w:t>
            </w:r>
            <w:r w:rsidRPr="00E801E7">
              <w:rPr>
                <w:rFonts w:ascii="Times New Roman" w:hAnsi="Times New Roman" w:cs="Times New Roman"/>
                <w:sz w:val="20"/>
                <w:szCs w:val="20"/>
              </w:rPr>
              <w:t>T12</w:t>
            </w:r>
            <w:bookmarkEnd w:id="1"/>
            <w:r>
              <w:rPr>
                <w:rFonts w:ascii="Times New Roman" w:hAnsi="Times New Roman" w:cs="Times New Roman"/>
                <w:sz w:val="20"/>
                <w:szCs w:val="20"/>
              </w:rPr>
              <w:t>.</w:t>
            </w:r>
          </w:p>
        </w:tc>
      </w:tr>
      <w:tr w:rsidR="00B215EB" w14:paraId="628E837A" w14:textId="77777777" w:rsidTr="00B215EB">
        <w:tc>
          <w:tcPr>
            <w:tcW w:w="4148" w:type="dxa"/>
          </w:tcPr>
          <w:p w14:paraId="38DE0791" w14:textId="01C3FC42" w:rsidR="00B215EB" w:rsidRDefault="00B215EB">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horacic kyphosis, TK</w:t>
            </w:r>
          </w:p>
        </w:tc>
        <w:tc>
          <w:tcPr>
            <w:tcW w:w="4148" w:type="dxa"/>
          </w:tcPr>
          <w:p w14:paraId="38D51B8B" w14:textId="232909CD" w:rsidR="00B215EB" w:rsidRDefault="00B215EB">
            <w:pPr>
              <w:rPr>
                <w:rFonts w:ascii="Times New Roman" w:hAnsi="Times New Roman" w:cs="Times New Roman"/>
                <w:sz w:val="20"/>
                <w:szCs w:val="20"/>
              </w:rPr>
            </w:pPr>
            <w:r>
              <w:rPr>
                <w:rFonts w:ascii="Times New Roman" w:hAnsi="Times New Roman" w:cs="Times New Roman"/>
                <w:sz w:val="20"/>
                <w:szCs w:val="20"/>
              </w:rPr>
              <w:t>T</w:t>
            </w:r>
            <w:r w:rsidRPr="00B215EB">
              <w:rPr>
                <w:rFonts w:ascii="Times New Roman" w:hAnsi="Times New Roman" w:cs="Times New Roman"/>
                <w:sz w:val="20"/>
                <w:szCs w:val="20"/>
              </w:rPr>
              <w:t>he Cobb angle between the upper endplate of T4 and the lower end plate of T12</w:t>
            </w:r>
          </w:p>
        </w:tc>
      </w:tr>
      <w:tr w:rsidR="00AB1D1B" w:rsidRPr="00AB1D1B" w14:paraId="050758D9" w14:textId="77777777" w:rsidTr="00B215EB">
        <w:tc>
          <w:tcPr>
            <w:tcW w:w="4148" w:type="dxa"/>
          </w:tcPr>
          <w:p w14:paraId="30018C97" w14:textId="10238FFB" w:rsidR="00AB1D1B" w:rsidRPr="00B215EB" w:rsidRDefault="00B215EB">
            <w:pPr>
              <w:rPr>
                <w:rFonts w:ascii="Times New Roman" w:hAnsi="Times New Roman" w:cs="Times New Roman"/>
                <w:sz w:val="20"/>
                <w:szCs w:val="20"/>
              </w:rPr>
            </w:pPr>
            <w:r>
              <w:rPr>
                <w:rFonts w:ascii="Times New Roman" w:hAnsi="Times New Roman" w:cs="Times New Roman"/>
                <w:sz w:val="20"/>
                <w:szCs w:val="20"/>
              </w:rPr>
              <w:t xml:space="preserve">Lumbar lordosis, </w:t>
            </w:r>
            <w:r w:rsidR="00AB1D1B">
              <w:rPr>
                <w:rFonts w:ascii="Times New Roman" w:hAnsi="Times New Roman" w:cs="Times New Roman"/>
                <w:sz w:val="20"/>
                <w:szCs w:val="20"/>
              </w:rPr>
              <w:t>LL</w:t>
            </w:r>
          </w:p>
        </w:tc>
        <w:tc>
          <w:tcPr>
            <w:tcW w:w="4148" w:type="dxa"/>
          </w:tcPr>
          <w:p w14:paraId="467B58B8" w14:textId="2BD4F889" w:rsidR="00AB1D1B" w:rsidRPr="00AB1D1B" w:rsidRDefault="00AB1D1B">
            <w:pPr>
              <w:rPr>
                <w:rFonts w:ascii="Times New Roman" w:hAnsi="Times New Roman" w:cs="Times New Roman"/>
                <w:sz w:val="20"/>
                <w:szCs w:val="20"/>
              </w:rPr>
            </w:pPr>
            <w:r>
              <w:rPr>
                <w:rFonts w:ascii="Times New Roman" w:hAnsi="Times New Roman" w:cs="Times New Roman"/>
                <w:sz w:val="20"/>
                <w:szCs w:val="20"/>
              </w:rPr>
              <w:t>T</w:t>
            </w:r>
            <w:r w:rsidRPr="00AB1D1B">
              <w:rPr>
                <w:rFonts w:ascii="Times New Roman" w:hAnsi="Times New Roman" w:cs="Times New Roman"/>
                <w:sz w:val="20"/>
                <w:szCs w:val="20"/>
              </w:rPr>
              <w:t>he Cobb angle between the upper endplate of L1 and the upper end plate of S1</w:t>
            </w:r>
            <w:r w:rsidR="007631B6">
              <w:rPr>
                <w:rFonts w:ascii="Times New Roman" w:hAnsi="Times New Roman" w:cs="Times New Roman"/>
                <w:sz w:val="20"/>
                <w:szCs w:val="20"/>
              </w:rPr>
              <w:t>.</w:t>
            </w:r>
          </w:p>
        </w:tc>
      </w:tr>
      <w:tr w:rsidR="00AB1D1B" w14:paraId="5D1E6AFB" w14:textId="77777777" w:rsidTr="00B215EB">
        <w:tc>
          <w:tcPr>
            <w:tcW w:w="4148" w:type="dxa"/>
          </w:tcPr>
          <w:p w14:paraId="05E833AF" w14:textId="2B83B886" w:rsidR="00AB1D1B" w:rsidRPr="00B215EB" w:rsidRDefault="007631B6">
            <w:pPr>
              <w:rPr>
                <w:rFonts w:ascii="Times New Roman" w:hAnsi="Times New Roman" w:cs="Times New Roman"/>
                <w:sz w:val="20"/>
                <w:szCs w:val="20"/>
              </w:rPr>
            </w:pPr>
            <w:r>
              <w:rPr>
                <w:rFonts w:ascii="Times New Roman" w:hAnsi="Times New Roman" w:cs="Times New Roman"/>
                <w:sz w:val="20"/>
                <w:szCs w:val="20"/>
              </w:rPr>
              <w:t>L4-S1 lordosis</w:t>
            </w:r>
          </w:p>
        </w:tc>
        <w:tc>
          <w:tcPr>
            <w:tcW w:w="4148" w:type="dxa"/>
          </w:tcPr>
          <w:p w14:paraId="3813728D" w14:textId="244F702B" w:rsidR="00AB1D1B" w:rsidRPr="00B215EB" w:rsidRDefault="007631B6">
            <w:pPr>
              <w:rPr>
                <w:rFonts w:ascii="Times New Roman" w:hAnsi="Times New Roman" w:cs="Times New Roman"/>
                <w:sz w:val="20"/>
                <w:szCs w:val="20"/>
              </w:rPr>
            </w:pPr>
            <w:r>
              <w:rPr>
                <w:rFonts w:ascii="Times New Roman" w:hAnsi="Times New Roman" w:cs="Times New Roman"/>
                <w:sz w:val="20"/>
                <w:szCs w:val="20"/>
              </w:rPr>
              <w:t>T</w:t>
            </w:r>
            <w:r w:rsidRPr="00E801E7">
              <w:rPr>
                <w:rFonts w:ascii="Times New Roman" w:hAnsi="Times New Roman" w:cs="Times New Roman"/>
                <w:sz w:val="20"/>
                <w:szCs w:val="20"/>
              </w:rPr>
              <w:t xml:space="preserve">he </w:t>
            </w:r>
            <w:r>
              <w:rPr>
                <w:rFonts w:ascii="Times New Roman" w:hAnsi="Times New Roman" w:cs="Times New Roman"/>
                <w:sz w:val="20"/>
                <w:szCs w:val="20"/>
              </w:rPr>
              <w:t>Cobb</w:t>
            </w:r>
            <w:r>
              <w:rPr>
                <w:rFonts w:ascii="Times New Roman" w:hAnsi="Times New Roman" w:cs="Times New Roman" w:hint="eastAsia"/>
                <w:sz w:val="20"/>
                <w:szCs w:val="20"/>
              </w:rPr>
              <w:t xml:space="preserve"> </w:t>
            </w:r>
            <w:r>
              <w:rPr>
                <w:rFonts w:ascii="Times New Roman" w:hAnsi="Times New Roman" w:cs="Times New Roman"/>
                <w:sz w:val="20"/>
                <w:szCs w:val="20"/>
              </w:rPr>
              <w:t>a</w:t>
            </w:r>
            <w:r w:rsidRPr="00E801E7">
              <w:rPr>
                <w:rFonts w:ascii="Times New Roman" w:hAnsi="Times New Roman" w:cs="Times New Roman"/>
                <w:sz w:val="20"/>
                <w:szCs w:val="20"/>
              </w:rPr>
              <w:t>ngle between the upper endplate</w:t>
            </w:r>
            <w:r>
              <w:rPr>
                <w:rFonts w:ascii="Times New Roman" w:hAnsi="Times New Roman" w:cs="Times New Roman"/>
                <w:sz w:val="20"/>
                <w:szCs w:val="20"/>
              </w:rPr>
              <w:t xml:space="preserve"> of</w:t>
            </w:r>
            <w:r w:rsidRPr="00E801E7">
              <w:rPr>
                <w:rFonts w:ascii="Times New Roman" w:hAnsi="Times New Roman" w:cs="Times New Roman"/>
                <w:sz w:val="20"/>
                <w:szCs w:val="20"/>
              </w:rPr>
              <w:t xml:space="preserve"> </w:t>
            </w:r>
            <w:r>
              <w:rPr>
                <w:rFonts w:ascii="Times New Roman" w:hAnsi="Times New Roman" w:cs="Times New Roman"/>
                <w:sz w:val="20"/>
                <w:szCs w:val="20"/>
              </w:rPr>
              <w:t>L4</w:t>
            </w:r>
            <w:r w:rsidRPr="00E801E7">
              <w:rPr>
                <w:rFonts w:ascii="Times New Roman" w:hAnsi="Times New Roman" w:cs="Times New Roman"/>
                <w:sz w:val="20"/>
                <w:szCs w:val="20"/>
              </w:rPr>
              <w:t xml:space="preserve"> and the </w:t>
            </w:r>
            <w:r>
              <w:rPr>
                <w:rFonts w:ascii="Times New Roman" w:hAnsi="Times New Roman" w:cs="Times New Roman"/>
                <w:sz w:val="20"/>
                <w:szCs w:val="20"/>
              </w:rPr>
              <w:t>upper</w:t>
            </w:r>
            <w:r w:rsidRPr="00E801E7">
              <w:rPr>
                <w:rFonts w:ascii="Times New Roman" w:hAnsi="Times New Roman" w:cs="Times New Roman"/>
                <w:sz w:val="20"/>
                <w:szCs w:val="20"/>
              </w:rPr>
              <w:t xml:space="preserve"> end plate </w:t>
            </w:r>
            <w:r>
              <w:rPr>
                <w:rFonts w:ascii="Times New Roman" w:hAnsi="Times New Roman" w:cs="Times New Roman"/>
                <w:sz w:val="20"/>
                <w:szCs w:val="20"/>
              </w:rPr>
              <w:t>of S1.</w:t>
            </w:r>
          </w:p>
        </w:tc>
      </w:tr>
      <w:tr w:rsidR="007631B6" w14:paraId="36CC2B92" w14:textId="77777777" w:rsidTr="00B215EB">
        <w:tc>
          <w:tcPr>
            <w:tcW w:w="4148" w:type="dxa"/>
          </w:tcPr>
          <w:p w14:paraId="6014F26B" w14:textId="059A7AC6" w:rsidR="007631B6" w:rsidRDefault="00B215EB">
            <w:pPr>
              <w:rPr>
                <w:rFonts w:ascii="Times New Roman" w:hAnsi="Times New Roman" w:cs="Times New Roman"/>
                <w:sz w:val="20"/>
                <w:szCs w:val="20"/>
              </w:rPr>
            </w:pPr>
            <w:r>
              <w:rPr>
                <w:rFonts w:ascii="Times New Roman" w:hAnsi="Times New Roman" w:cs="Times New Roman"/>
                <w:sz w:val="20"/>
                <w:szCs w:val="20"/>
              </w:rPr>
              <w:t xml:space="preserve">Global tilt, </w:t>
            </w:r>
            <w:r w:rsidR="007631B6">
              <w:rPr>
                <w:rFonts w:ascii="Times New Roman" w:hAnsi="Times New Roman" w:cs="Times New Roman"/>
                <w:sz w:val="20"/>
                <w:szCs w:val="20"/>
              </w:rPr>
              <w:t>GT</w:t>
            </w:r>
          </w:p>
        </w:tc>
        <w:tc>
          <w:tcPr>
            <w:tcW w:w="4148" w:type="dxa"/>
          </w:tcPr>
          <w:p w14:paraId="1EA4E404" w14:textId="168EF7A4" w:rsidR="007631B6" w:rsidRDefault="007631B6">
            <w:pPr>
              <w:rPr>
                <w:rFonts w:ascii="Times New Roman" w:hAnsi="Times New Roman" w:cs="Times New Roman"/>
                <w:sz w:val="20"/>
                <w:szCs w:val="20"/>
              </w:rPr>
            </w:pPr>
            <w:r>
              <w:rPr>
                <w:rFonts w:ascii="Times New Roman" w:hAnsi="Times New Roman" w:cs="Times New Roman"/>
                <w:sz w:val="20"/>
                <w:szCs w:val="20"/>
              </w:rPr>
              <w:t>T</w:t>
            </w:r>
            <w:r w:rsidRPr="007631B6">
              <w:rPr>
                <w:rFonts w:ascii="Times New Roman" w:hAnsi="Times New Roman" w:cs="Times New Roman"/>
                <w:sz w:val="20"/>
                <w:szCs w:val="20"/>
              </w:rPr>
              <w:t>he Cobb angle between the line</w:t>
            </w:r>
            <w:r w:rsidRPr="007631B6">
              <w:rPr>
                <w:rFonts w:ascii="Times New Roman" w:hAnsi="Times New Roman" w:cs="Times New Roman"/>
                <w:sz w:val="20"/>
                <w:szCs w:val="20"/>
              </w:rPr>
              <w:t>，</w:t>
            </w:r>
            <w:r w:rsidRPr="007631B6">
              <w:rPr>
                <w:rFonts w:ascii="Times New Roman" w:hAnsi="Times New Roman" w:cs="Times New Roman"/>
                <w:sz w:val="20"/>
                <w:szCs w:val="20"/>
              </w:rPr>
              <w:t>which connects the geometric center of C7 and the center of the upper endplate of the sacrum, and the line, which is between the upper endplate of the sacrum and the midpoint of the femoral head</w:t>
            </w:r>
            <w:r>
              <w:rPr>
                <w:rFonts w:ascii="Times New Roman" w:hAnsi="Times New Roman" w:cs="Times New Roman"/>
                <w:sz w:val="20"/>
                <w:szCs w:val="20"/>
              </w:rPr>
              <w:t>.</w:t>
            </w:r>
          </w:p>
        </w:tc>
      </w:tr>
      <w:tr w:rsidR="007631B6" w14:paraId="343A1505" w14:textId="77777777" w:rsidTr="00B215EB">
        <w:tc>
          <w:tcPr>
            <w:tcW w:w="4148" w:type="dxa"/>
          </w:tcPr>
          <w:p w14:paraId="1D7A5A91" w14:textId="59F422EE" w:rsidR="007631B6" w:rsidRDefault="00B215EB">
            <w:pPr>
              <w:rPr>
                <w:rFonts w:ascii="Times New Roman" w:hAnsi="Times New Roman" w:cs="Times New Roman"/>
                <w:sz w:val="20"/>
                <w:szCs w:val="20"/>
              </w:rPr>
            </w:pPr>
            <w:r>
              <w:rPr>
                <w:rFonts w:ascii="Times New Roman" w:hAnsi="Times New Roman" w:cs="Times New Roman"/>
                <w:sz w:val="20"/>
                <w:szCs w:val="20"/>
              </w:rPr>
              <w:t xml:space="preserve">Sagittal vertical axis, </w:t>
            </w:r>
            <w:r w:rsidR="007631B6" w:rsidRPr="001A363A">
              <w:rPr>
                <w:rFonts w:ascii="Times New Roman" w:hAnsi="Times New Roman" w:cs="Times New Roman"/>
                <w:sz w:val="20"/>
                <w:szCs w:val="20"/>
              </w:rPr>
              <w:t>SVA</w:t>
            </w:r>
          </w:p>
        </w:tc>
        <w:tc>
          <w:tcPr>
            <w:tcW w:w="4148" w:type="dxa"/>
          </w:tcPr>
          <w:p w14:paraId="79F12C36" w14:textId="657700D1" w:rsidR="007631B6" w:rsidRDefault="007631B6">
            <w:pPr>
              <w:rPr>
                <w:rFonts w:ascii="Times New Roman" w:hAnsi="Times New Roman" w:cs="Times New Roman"/>
                <w:sz w:val="20"/>
                <w:szCs w:val="20"/>
              </w:rPr>
            </w:pPr>
            <w:r>
              <w:rPr>
                <w:rFonts w:ascii="Times New Roman" w:hAnsi="Times New Roman" w:cs="Times New Roman"/>
                <w:sz w:val="20"/>
                <w:szCs w:val="20"/>
              </w:rPr>
              <w:t>T</w:t>
            </w:r>
            <w:r w:rsidRPr="007631B6">
              <w:rPr>
                <w:rFonts w:ascii="Times New Roman" w:hAnsi="Times New Roman" w:cs="Times New Roman"/>
                <w:sz w:val="20"/>
                <w:szCs w:val="20"/>
              </w:rPr>
              <w:t>he distance from the C7 plumb line to the posterior upper corner of the sacrum</w:t>
            </w:r>
            <w:r>
              <w:rPr>
                <w:rFonts w:ascii="Times New Roman" w:hAnsi="Times New Roman" w:cs="Times New Roman"/>
                <w:sz w:val="20"/>
                <w:szCs w:val="20"/>
              </w:rPr>
              <w:t>.</w:t>
            </w:r>
          </w:p>
        </w:tc>
      </w:tr>
      <w:tr w:rsidR="007631B6" w14:paraId="3A609D6B" w14:textId="77777777" w:rsidTr="00B215EB">
        <w:trPr>
          <w:trHeight w:val="568"/>
        </w:trPr>
        <w:tc>
          <w:tcPr>
            <w:tcW w:w="4148" w:type="dxa"/>
          </w:tcPr>
          <w:p w14:paraId="41CAF626" w14:textId="415B0387" w:rsidR="007631B6" w:rsidRPr="001A363A" w:rsidRDefault="007631B6">
            <w:pPr>
              <w:rPr>
                <w:rFonts w:ascii="Times New Roman" w:hAnsi="Times New Roman" w:cs="Times New Roman"/>
                <w:sz w:val="20"/>
                <w:szCs w:val="20"/>
              </w:rPr>
            </w:pPr>
            <w:r w:rsidRPr="001A363A">
              <w:rPr>
                <w:rFonts w:ascii="Times New Roman" w:hAnsi="Times New Roman" w:cs="Times New Roman"/>
                <w:sz w:val="20"/>
                <w:szCs w:val="20"/>
              </w:rPr>
              <w:t>NVL</w:t>
            </w:r>
          </w:p>
        </w:tc>
        <w:tc>
          <w:tcPr>
            <w:tcW w:w="4148" w:type="dxa"/>
          </w:tcPr>
          <w:p w14:paraId="2251E23A" w14:textId="3CC801BD" w:rsidR="007631B6" w:rsidRDefault="007631B6">
            <w:pPr>
              <w:rPr>
                <w:rFonts w:ascii="Times New Roman" w:hAnsi="Times New Roman" w:cs="Times New Roman"/>
                <w:sz w:val="20"/>
                <w:szCs w:val="20"/>
              </w:rPr>
            </w:pPr>
            <w:r>
              <w:rPr>
                <w:rFonts w:ascii="Times New Roman" w:hAnsi="Times New Roman" w:cs="Times New Roman"/>
                <w:sz w:val="20"/>
                <w:szCs w:val="20"/>
              </w:rPr>
              <w:t>T</w:t>
            </w:r>
            <w:r w:rsidRPr="001A363A">
              <w:rPr>
                <w:rFonts w:ascii="Times New Roman" w:hAnsi="Times New Roman" w:cs="Times New Roman"/>
                <w:sz w:val="20"/>
                <w:szCs w:val="20"/>
              </w:rPr>
              <w:t>he number of vertebrae included in the lordosis</w:t>
            </w:r>
            <w:r>
              <w:rPr>
                <w:rFonts w:ascii="Times New Roman" w:hAnsi="Times New Roman" w:cs="Times New Roman"/>
                <w:sz w:val="20"/>
                <w:szCs w:val="20"/>
              </w:rPr>
              <w:t>.</w:t>
            </w:r>
          </w:p>
        </w:tc>
      </w:tr>
      <w:tr w:rsidR="007631B6" w14:paraId="482681DE" w14:textId="77777777" w:rsidTr="00B215EB">
        <w:trPr>
          <w:trHeight w:val="577"/>
        </w:trPr>
        <w:tc>
          <w:tcPr>
            <w:tcW w:w="4148" w:type="dxa"/>
          </w:tcPr>
          <w:p w14:paraId="767F6D6F" w14:textId="6E582CB0" w:rsidR="007631B6" w:rsidRPr="001A363A" w:rsidRDefault="00B215EB">
            <w:pPr>
              <w:rPr>
                <w:rFonts w:ascii="Times New Roman" w:hAnsi="Times New Roman" w:cs="Times New Roman"/>
                <w:sz w:val="20"/>
                <w:szCs w:val="20"/>
              </w:rPr>
            </w:pPr>
            <w:r>
              <w:rPr>
                <w:rFonts w:ascii="Times New Roman" w:hAnsi="Times New Roman" w:cs="Times New Roman"/>
                <w:sz w:val="20"/>
                <w:szCs w:val="20"/>
              </w:rPr>
              <w:t>L</w:t>
            </w:r>
            <w:r w:rsidRPr="00B215EB">
              <w:rPr>
                <w:rFonts w:ascii="Times New Roman" w:hAnsi="Times New Roman" w:cs="Times New Roman"/>
                <w:sz w:val="20"/>
                <w:szCs w:val="20"/>
              </w:rPr>
              <w:t>umbar sagittal apex</w:t>
            </w:r>
            <w:r>
              <w:rPr>
                <w:rFonts w:ascii="Times New Roman" w:hAnsi="Times New Roman" w:cs="Times New Roman"/>
                <w:sz w:val="20"/>
                <w:szCs w:val="20"/>
              </w:rPr>
              <w:t>,</w:t>
            </w:r>
            <w:r w:rsidRPr="00B215EB">
              <w:rPr>
                <w:rFonts w:ascii="Times New Roman" w:hAnsi="Times New Roman" w:cs="Times New Roman"/>
                <w:sz w:val="20"/>
                <w:szCs w:val="20"/>
              </w:rPr>
              <w:t xml:space="preserve"> </w:t>
            </w:r>
            <w:r w:rsidR="007631B6">
              <w:rPr>
                <w:rFonts w:ascii="Times New Roman" w:hAnsi="Times New Roman" w:cs="Times New Roman"/>
                <w:sz w:val="20"/>
                <w:szCs w:val="20"/>
              </w:rPr>
              <w:t>LA</w:t>
            </w:r>
          </w:p>
        </w:tc>
        <w:tc>
          <w:tcPr>
            <w:tcW w:w="4148" w:type="dxa"/>
          </w:tcPr>
          <w:p w14:paraId="1196256D" w14:textId="53A26F2C" w:rsidR="007631B6" w:rsidRDefault="007631B6">
            <w:pPr>
              <w:rPr>
                <w:rFonts w:ascii="Times New Roman" w:hAnsi="Times New Roman" w:cs="Times New Roman"/>
                <w:sz w:val="20"/>
                <w:szCs w:val="20"/>
              </w:rPr>
            </w:pPr>
            <w:r>
              <w:rPr>
                <w:rFonts w:ascii="Times New Roman" w:hAnsi="Times New Roman" w:cs="Times New Roman"/>
                <w:sz w:val="20"/>
                <w:szCs w:val="20"/>
              </w:rPr>
              <w:t xml:space="preserve">The apex </w:t>
            </w:r>
            <w:r w:rsidRPr="001A363A">
              <w:rPr>
                <w:rFonts w:ascii="Times New Roman" w:hAnsi="Times New Roman" w:cs="Times New Roman"/>
                <w:sz w:val="20"/>
                <w:szCs w:val="20"/>
              </w:rPr>
              <w:t>divides upper and lower lumbar arches</w:t>
            </w:r>
            <w:r>
              <w:rPr>
                <w:rFonts w:ascii="Times New Roman" w:hAnsi="Times New Roman" w:cs="Times New Roman"/>
                <w:sz w:val="20"/>
                <w:szCs w:val="20"/>
              </w:rPr>
              <w:t>.</w:t>
            </w:r>
          </w:p>
        </w:tc>
      </w:tr>
      <w:tr w:rsidR="007631B6" w14:paraId="3C4078BA" w14:textId="77777777" w:rsidTr="00B215EB">
        <w:tc>
          <w:tcPr>
            <w:tcW w:w="4148" w:type="dxa"/>
            <w:tcBorders>
              <w:bottom w:val="single" w:sz="4" w:space="0" w:color="auto"/>
            </w:tcBorders>
          </w:tcPr>
          <w:p w14:paraId="6FDB8200" w14:textId="0D3C4F52" w:rsidR="007631B6" w:rsidRDefault="00B215EB">
            <w:pPr>
              <w:rPr>
                <w:rFonts w:ascii="Times New Roman" w:hAnsi="Times New Roman" w:cs="Times New Roman"/>
                <w:sz w:val="20"/>
                <w:szCs w:val="20"/>
              </w:rPr>
            </w:pPr>
            <w:r>
              <w:rPr>
                <w:rFonts w:ascii="Times New Roman" w:hAnsi="Times New Roman" w:cs="Times New Roman"/>
                <w:sz w:val="20"/>
                <w:szCs w:val="20"/>
              </w:rPr>
              <w:t>I</w:t>
            </w:r>
            <w:r w:rsidRPr="00B215EB">
              <w:rPr>
                <w:rFonts w:ascii="Times New Roman" w:hAnsi="Times New Roman" w:cs="Times New Roman"/>
                <w:sz w:val="20"/>
                <w:szCs w:val="20"/>
              </w:rPr>
              <w:t>nflexion point</w:t>
            </w:r>
            <w:r>
              <w:rPr>
                <w:rFonts w:ascii="Times New Roman" w:hAnsi="Times New Roman" w:cs="Times New Roman"/>
                <w:sz w:val="20"/>
                <w:szCs w:val="20"/>
              </w:rPr>
              <w:t>,</w:t>
            </w:r>
            <w:r w:rsidRPr="00B215EB">
              <w:rPr>
                <w:rFonts w:ascii="Times New Roman" w:hAnsi="Times New Roman" w:cs="Times New Roman"/>
                <w:sz w:val="20"/>
                <w:szCs w:val="20"/>
              </w:rPr>
              <w:t xml:space="preserve"> </w:t>
            </w:r>
            <w:r w:rsidR="007631B6" w:rsidRPr="007631B6">
              <w:rPr>
                <w:rFonts w:ascii="Times New Roman" w:hAnsi="Times New Roman" w:cs="Times New Roman"/>
                <w:sz w:val="20"/>
                <w:szCs w:val="20"/>
              </w:rPr>
              <w:t>IP</w:t>
            </w:r>
          </w:p>
        </w:tc>
        <w:tc>
          <w:tcPr>
            <w:tcW w:w="4148" w:type="dxa"/>
            <w:tcBorders>
              <w:bottom w:val="single" w:sz="4" w:space="0" w:color="auto"/>
            </w:tcBorders>
          </w:tcPr>
          <w:p w14:paraId="5317345B" w14:textId="5DBBAE77" w:rsidR="007631B6" w:rsidRDefault="007631B6">
            <w:pPr>
              <w:rPr>
                <w:rFonts w:ascii="Times New Roman" w:hAnsi="Times New Roman" w:cs="Times New Roman"/>
                <w:sz w:val="20"/>
                <w:szCs w:val="20"/>
              </w:rPr>
            </w:pPr>
            <w:r>
              <w:rPr>
                <w:rFonts w:ascii="Times New Roman" w:hAnsi="Times New Roman" w:cs="Times New Roman"/>
                <w:sz w:val="20"/>
                <w:szCs w:val="20"/>
              </w:rPr>
              <w:t>T</w:t>
            </w:r>
            <w:r w:rsidRPr="007631B6">
              <w:rPr>
                <w:rFonts w:ascii="Times New Roman" w:hAnsi="Times New Roman" w:cs="Times New Roman"/>
                <w:sz w:val="20"/>
                <w:szCs w:val="20"/>
              </w:rPr>
              <w:t>he cranial vertebra in the transition between lordosis and kyphosis</w:t>
            </w:r>
            <w:r w:rsidR="00B215EB">
              <w:rPr>
                <w:rFonts w:ascii="Times New Roman" w:hAnsi="Times New Roman" w:cs="Times New Roman"/>
                <w:sz w:val="20"/>
                <w:szCs w:val="20"/>
              </w:rPr>
              <w:t>.</w:t>
            </w:r>
          </w:p>
        </w:tc>
      </w:tr>
    </w:tbl>
    <w:p w14:paraId="2C0B6B21" w14:textId="77777777" w:rsidR="00414F1E" w:rsidRPr="007631B6" w:rsidRDefault="00414F1E"/>
    <w:sectPr w:rsidR="00414F1E" w:rsidRPr="007631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71102" w14:textId="77777777" w:rsidR="00907034" w:rsidRDefault="00907034" w:rsidP="00AB1D1B">
      <w:r>
        <w:separator/>
      </w:r>
    </w:p>
  </w:endnote>
  <w:endnote w:type="continuationSeparator" w:id="0">
    <w:p w14:paraId="2B6868CD" w14:textId="77777777" w:rsidR="00907034" w:rsidRDefault="00907034" w:rsidP="00AB1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563BE" w14:textId="77777777" w:rsidR="00907034" w:rsidRDefault="00907034" w:rsidP="00AB1D1B">
      <w:r>
        <w:separator/>
      </w:r>
    </w:p>
  </w:footnote>
  <w:footnote w:type="continuationSeparator" w:id="0">
    <w:p w14:paraId="72414EAC" w14:textId="77777777" w:rsidR="00907034" w:rsidRDefault="00907034" w:rsidP="00AB1D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7B5"/>
    <w:rsid w:val="001867B5"/>
    <w:rsid w:val="00252B50"/>
    <w:rsid w:val="00414F1E"/>
    <w:rsid w:val="007631B6"/>
    <w:rsid w:val="007C34EF"/>
    <w:rsid w:val="00907034"/>
    <w:rsid w:val="00AB1D1B"/>
    <w:rsid w:val="00B21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FAFE44"/>
  <w15:chartTrackingRefBased/>
  <w15:docId w15:val="{7F41966A-5B9D-4306-9E90-C33334C7D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1D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1D1B"/>
    <w:rPr>
      <w:sz w:val="18"/>
      <w:szCs w:val="18"/>
    </w:rPr>
  </w:style>
  <w:style w:type="paragraph" w:styleId="a5">
    <w:name w:val="footer"/>
    <w:basedOn w:val="a"/>
    <w:link w:val="a6"/>
    <w:uiPriority w:val="99"/>
    <w:unhideWhenUsed/>
    <w:rsid w:val="00AB1D1B"/>
    <w:pPr>
      <w:tabs>
        <w:tab w:val="center" w:pos="4153"/>
        <w:tab w:val="right" w:pos="8306"/>
      </w:tabs>
      <w:snapToGrid w:val="0"/>
      <w:jc w:val="left"/>
    </w:pPr>
    <w:rPr>
      <w:sz w:val="18"/>
      <w:szCs w:val="18"/>
    </w:rPr>
  </w:style>
  <w:style w:type="character" w:customStyle="1" w:styleId="a6">
    <w:name w:val="页脚 字符"/>
    <w:basedOn w:val="a0"/>
    <w:link w:val="a5"/>
    <w:uiPriority w:val="99"/>
    <w:rsid w:val="00AB1D1B"/>
    <w:rPr>
      <w:sz w:val="18"/>
      <w:szCs w:val="18"/>
    </w:rPr>
  </w:style>
  <w:style w:type="table" w:styleId="a7">
    <w:name w:val="Table Grid"/>
    <w:basedOn w:val="a1"/>
    <w:uiPriority w:val="39"/>
    <w:rsid w:val="00AB1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祥耀</dc:creator>
  <cp:keywords/>
  <dc:description/>
  <cp:lastModifiedBy>孙 祥耀</cp:lastModifiedBy>
  <cp:revision>3</cp:revision>
  <dcterms:created xsi:type="dcterms:W3CDTF">2021-02-06T08:43:00Z</dcterms:created>
  <dcterms:modified xsi:type="dcterms:W3CDTF">2021-05-07T02:29:00Z</dcterms:modified>
</cp:coreProperties>
</file>