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ED2E0" w14:textId="77777777" w:rsidR="006607E0" w:rsidRPr="00FF2FBB" w:rsidRDefault="006607E0" w:rsidP="006607E0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FF2FBB">
        <w:rPr>
          <w:rFonts w:ascii="Times New Roman" w:hAnsi="Times New Roman" w:cs="Times New Roman"/>
          <w:b/>
          <w:bCs/>
        </w:rPr>
        <w:t>Effect of Early Adjunctive Vasopressin Initiation for Septic Shock Patients: A Target Trial Emulation</w:t>
      </w:r>
    </w:p>
    <w:p w14:paraId="2BDCD669" w14:textId="77777777" w:rsidR="006607E0" w:rsidRPr="00FF2FBB" w:rsidRDefault="006607E0" w:rsidP="006607E0">
      <w:pPr>
        <w:spacing w:line="480" w:lineRule="auto"/>
        <w:jc w:val="center"/>
        <w:rPr>
          <w:rFonts w:ascii="Times New Roman" w:hAnsi="Times New Roman" w:cs="Times New Roman"/>
          <w:b/>
          <w:bCs/>
          <w:color w:val="C00000"/>
        </w:rPr>
      </w:pPr>
      <w:r w:rsidRPr="00FF2FBB">
        <w:rPr>
          <w:rFonts w:ascii="Times New Roman" w:hAnsi="Times New Roman" w:cs="Times New Roman"/>
          <w:b/>
          <w:bCs/>
          <w:color w:val="C00000"/>
        </w:rPr>
        <w:t>Supplemental Material</w:t>
      </w:r>
    </w:p>
    <w:p w14:paraId="3246676B" w14:textId="05FD2256" w:rsidR="004A22E0" w:rsidRPr="004A22E0" w:rsidRDefault="00E42C7F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noProof/>
          <w:kern w:val="2"/>
          <w:lang w:val="en-AU" w:eastAsia="en-GB"/>
          <w14:ligatures w14:val="standardContextual"/>
        </w:rPr>
      </w:pPr>
      <w:r w:rsidRPr="004A22E0">
        <w:rPr>
          <w:rFonts w:ascii="Times New Roman" w:hAnsi="Times New Roman" w:cs="Times New Roman"/>
          <w:b/>
          <w:bCs/>
          <w:color w:val="C00000"/>
        </w:rPr>
        <w:fldChar w:fldCharType="begin"/>
      </w:r>
      <w:r w:rsidRPr="004A22E0">
        <w:rPr>
          <w:rFonts w:ascii="Times New Roman" w:hAnsi="Times New Roman" w:cs="Times New Roman"/>
          <w:b/>
          <w:bCs/>
          <w:color w:val="C00000"/>
        </w:rPr>
        <w:instrText xml:space="preserve"> TOC \h \z \c "Table S" </w:instrText>
      </w:r>
      <w:r w:rsidRPr="004A22E0">
        <w:rPr>
          <w:rFonts w:ascii="Times New Roman" w:hAnsi="Times New Roman" w:cs="Times New Roman"/>
          <w:b/>
          <w:bCs/>
          <w:color w:val="C00000"/>
        </w:rPr>
        <w:fldChar w:fldCharType="separate"/>
      </w:r>
      <w:hyperlink w:anchor="_Toc190616124" w:history="1">
        <w:r w:rsidR="004A22E0"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>Table S1</w:t>
        </w:r>
        <w:r w:rsidR="004A22E0" w:rsidRPr="004A22E0">
          <w:rPr>
            <w:rStyle w:val="Hyperlink"/>
            <w:rFonts w:ascii="Times New Roman" w:hAnsi="Times New Roman" w:cs="Times New Roman"/>
            <w:noProof/>
          </w:rPr>
          <w:t xml:space="preserve">. </w:t>
        </w:r>
        <w:r w:rsidR="004A22E0" w:rsidRPr="004A22E0">
          <w:rPr>
            <w:rStyle w:val="Hyperlink"/>
            <w:rFonts w:ascii="Times New Roman" w:eastAsia="Times New Roman" w:hAnsi="Times New Roman" w:cs="Times New Roman"/>
            <w:noProof/>
          </w:rPr>
          <w:t>Summary of the protocol of a target trial estimating the effect of early vasopressin start</w:t>
        </w:r>
        <w:r w:rsidR="004A22E0" w:rsidRPr="004A22E0">
          <w:rPr>
            <w:rStyle w:val="Hyperlink"/>
            <w:rFonts w:ascii="Times New Roman" w:eastAsia="Times New Roman" w:hAnsi="Times New Roman" w:cs="Times New Roman"/>
            <w:noProof/>
            <w:vertAlign w:val="superscript"/>
          </w:rPr>
          <w:t>*</w:t>
        </w:r>
        <w:r w:rsidR="004A22E0" w:rsidRPr="004A22E0">
          <w:rPr>
            <w:rStyle w:val="Hyperlink"/>
            <w:rFonts w:ascii="Times New Roman" w:eastAsia="Times New Roman" w:hAnsi="Times New Roman" w:cs="Times New Roman"/>
            <w:noProof/>
          </w:rPr>
          <w:t xml:space="preserve"> versus an intervention that never allows for vasopressin start</w:t>
        </w:r>
        <w:r w:rsidR="004A22E0" w:rsidRPr="004A22E0">
          <w:rPr>
            <w:rFonts w:ascii="Times New Roman" w:hAnsi="Times New Roman" w:cs="Times New Roman"/>
            <w:noProof/>
            <w:webHidden/>
          </w:rPr>
          <w:tab/>
        </w:r>
        <w:r w:rsidR="004A22E0"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="004A22E0" w:rsidRPr="004A22E0">
          <w:rPr>
            <w:rFonts w:ascii="Times New Roman" w:hAnsi="Times New Roman" w:cs="Times New Roman"/>
            <w:noProof/>
            <w:webHidden/>
          </w:rPr>
          <w:instrText xml:space="preserve"> PAGEREF _Toc190616124 \h </w:instrText>
        </w:r>
        <w:r w:rsidR="004A22E0" w:rsidRPr="004A22E0">
          <w:rPr>
            <w:rFonts w:ascii="Times New Roman" w:hAnsi="Times New Roman" w:cs="Times New Roman"/>
            <w:noProof/>
            <w:webHidden/>
          </w:rPr>
        </w:r>
        <w:r w:rsidR="004A22E0"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="004A22E0" w:rsidRPr="004A22E0">
          <w:rPr>
            <w:rFonts w:ascii="Times New Roman" w:hAnsi="Times New Roman" w:cs="Times New Roman"/>
            <w:noProof/>
            <w:webHidden/>
          </w:rPr>
          <w:t>2</w:t>
        </w:r>
        <w:r w:rsidR="004A22E0"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1FA33B6" w14:textId="02ED3480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noProof/>
          <w:kern w:val="2"/>
          <w:lang w:val="en-AU" w:eastAsia="en-GB"/>
          <w14:ligatures w14:val="standardContextual"/>
        </w:rPr>
      </w:pPr>
      <w:hyperlink w:anchor="_Toc190616125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>Table S2</w:t>
        </w:r>
        <w:r w:rsidRPr="004A22E0">
          <w:rPr>
            <w:rStyle w:val="Hyperlink"/>
            <w:rFonts w:ascii="Times New Roman" w:hAnsi="Times New Roman" w:cs="Times New Roman"/>
            <w:i/>
            <w:iCs/>
            <w:noProof/>
          </w:rPr>
          <w:t xml:space="preserve">. </w:t>
        </w:r>
        <w:r w:rsidRPr="004A22E0">
          <w:rPr>
            <w:rStyle w:val="Hyperlink"/>
            <w:rFonts w:ascii="Times New Roman" w:eastAsia="Times New Roman" w:hAnsi="Times New Roman" w:cs="Times New Roman"/>
            <w:noProof/>
            <w:lang w:eastAsia="de-DE"/>
          </w:rPr>
          <w:t>Specification of the covariate models.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_Toc190616125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6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69E9DAB" w14:textId="7A655DE4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noProof/>
          <w:kern w:val="2"/>
          <w:lang w:val="en-AU" w:eastAsia="en-GB"/>
          <w14:ligatures w14:val="standardContextual"/>
        </w:rPr>
      </w:pPr>
      <w:hyperlink w:anchor="_Toc190616126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>Table S3.</w:t>
        </w:r>
        <w:r w:rsidRPr="004A22E0">
          <w:rPr>
            <w:rStyle w:val="Hyperlink"/>
            <w:rFonts w:ascii="Times New Roman" w:hAnsi="Times New Roman" w:cs="Times New Roman"/>
            <w:b/>
            <w:noProof/>
          </w:rPr>
          <w:t xml:space="preserve"> </w:t>
        </w:r>
        <w:r w:rsidRPr="004A22E0">
          <w:rPr>
            <w:rStyle w:val="Hyperlink"/>
            <w:rFonts w:ascii="Times New Roman" w:hAnsi="Times New Roman" w:cs="Times New Roman"/>
            <w:bCs/>
            <w:noProof/>
          </w:rPr>
          <w:t xml:space="preserve">Baseline characteristics and intervention of eligible cohort before </w:t>
        </w:r>
        <w:r w:rsidRPr="004A22E0">
          <w:rPr>
            <w:rStyle w:val="Hyperlink"/>
            <w:rFonts w:ascii="Times New Roman" w:hAnsi="Times New Roman" w:cs="Times New Roman"/>
            <w:bCs/>
            <w:noProof/>
          </w:rPr>
          <w:t>a</w:t>
        </w:r>
        <w:r w:rsidRPr="004A22E0">
          <w:rPr>
            <w:rStyle w:val="Hyperlink"/>
            <w:rFonts w:ascii="Times New Roman" w:hAnsi="Times New Roman" w:cs="Times New Roman"/>
            <w:bCs/>
            <w:noProof/>
          </w:rPr>
          <w:t>nd after imputation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_Toc190616126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7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20D2CC" w14:textId="0E1366B7" w:rsidR="004A22E0" w:rsidRPr="004A22E0" w:rsidRDefault="00E42C7F" w:rsidP="004A22E0">
      <w:pPr>
        <w:spacing w:line="480" w:lineRule="auto"/>
        <w:jc w:val="both"/>
        <w:rPr>
          <w:rFonts w:ascii="Times New Roman" w:hAnsi="Times New Roman" w:cs="Times New Roman"/>
          <w:noProof/>
        </w:rPr>
      </w:pPr>
      <w:r w:rsidRPr="004A22E0">
        <w:rPr>
          <w:rFonts w:ascii="Times New Roman" w:hAnsi="Times New Roman" w:cs="Times New Roman"/>
          <w:b/>
          <w:bCs/>
          <w:color w:val="C00000"/>
        </w:rPr>
        <w:fldChar w:fldCharType="end"/>
      </w:r>
      <w:r w:rsidRPr="004A22E0">
        <w:rPr>
          <w:rFonts w:ascii="Times New Roman" w:hAnsi="Times New Roman" w:cs="Times New Roman"/>
          <w:b/>
          <w:bCs/>
          <w:color w:val="C00000"/>
        </w:rPr>
        <w:fldChar w:fldCharType="begin"/>
      </w:r>
      <w:r w:rsidRPr="004A22E0">
        <w:rPr>
          <w:rFonts w:ascii="Times New Roman" w:hAnsi="Times New Roman" w:cs="Times New Roman"/>
          <w:b/>
          <w:bCs/>
          <w:color w:val="C00000"/>
        </w:rPr>
        <w:instrText xml:space="preserve"> TOC \h \z \c "Figure S" </w:instrText>
      </w:r>
      <w:r w:rsidRPr="004A22E0">
        <w:rPr>
          <w:rFonts w:ascii="Times New Roman" w:hAnsi="Times New Roman" w:cs="Times New Roman"/>
          <w:b/>
          <w:bCs/>
          <w:color w:val="C00000"/>
        </w:rPr>
        <w:fldChar w:fldCharType="separate"/>
      </w:r>
    </w:p>
    <w:p w14:paraId="28439D00" w14:textId="7BDC4918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noProof/>
          <w:kern w:val="2"/>
          <w:lang w:val="en-AU" w:eastAsia="en-GB"/>
          <w14:ligatures w14:val="standardContextual"/>
        </w:rPr>
      </w:pPr>
      <w:hyperlink w:anchor="_Toc190616114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>Figure S1.</w:t>
        </w:r>
        <w:r w:rsidRPr="004A22E0">
          <w:rPr>
            <w:rStyle w:val="Hyperlink"/>
            <w:rFonts w:ascii="Times New Roman" w:hAnsi="Times New Roman" w:cs="Times New Roman"/>
            <w:b/>
            <w:bCs/>
            <w:i/>
            <w:iCs/>
            <w:noProof/>
          </w:rPr>
          <w:t xml:space="preserve"> </w:t>
        </w:r>
        <w:r w:rsidRPr="004A22E0">
          <w:rPr>
            <w:rStyle w:val="Hyperlink"/>
            <w:rFonts w:ascii="Times New Roman" w:eastAsia="Times New Roman" w:hAnsi="Times New Roman" w:cs="Times New Roman"/>
            <w:noProof/>
            <w:lang w:eastAsia="de-DE"/>
          </w:rPr>
          <w:t>Schematic illustration of the conceptual framework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_Toc190616114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3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4EAC804" w14:textId="7F8912DC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noProof/>
          <w:kern w:val="2"/>
          <w:lang w:val="en-AU" w:eastAsia="en-GB"/>
          <w14:ligatures w14:val="standardContextual"/>
        </w:rPr>
      </w:pPr>
      <w:hyperlink w:anchor="_Toc190616115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>Figure S2.</w:t>
        </w:r>
        <w:r w:rsidRPr="004A22E0">
          <w:rPr>
            <w:rStyle w:val="Hyperlink"/>
            <w:rFonts w:ascii="Times New Roman" w:hAnsi="Times New Roman" w:cs="Times New Roman"/>
            <w:b/>
            <w:bCs/>
            <w:i/>
            <w:iCs/>
            <w:noProof/>
          </w:rPr>
          <w:t xml:space="preserve"> </w:t>
        </w:r>
        <w:r w:rsidRPr="004A22E0">
          <w:rPr>
            <w:rStyle w:val="Hyperlink"/>
            <w:rFonts w:ascii="Times New Roman" w:eastAsia="Times New Roman" w:hAnsi="Times New Roman" w:cs="Times New Roman"/>
            <w:noProof/>
            <w:lang w:eastAsia="de-DE"/>
          </w:rPr>
          <w:t>Schematic illustration of the three-step process for the computation algorithm for the parametric g-formula. The figure is an adaptation from the work of Taubman et al. and Urner et al. [Taubman 2009, Urner 2023]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_Toc190616115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4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E081213" w14:textId="03656D5A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noProof/>
          <w:kern w:val="2"/>
          <w:lang w:val="en-AU" w:eastAsia="en-GB"/>
          <w14:ligatures w14:val="standardContextual"/>
        </w:rPr>
      </w:pPr>
      <w:hyperlink w:anchor="_Toc190616116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>Figure S3.</w:t>
        </w:r>
        <w:r w:rsidRPr="004A22E0">
          <w:rPr>
            <w:rStyle w:val="Hyperlink"/>
            <w:rFonts w:ascii="Times New Roman" w:hAnsi="Times New Roman" w:cs="Times New Roman"/>
            <w:b/>
            <w:bCs/>
            <w:i/>
            <w:iCs/>
            <w:noProof/>
          </w:rPr>
          <w:t xml:space="preserve"> </w:t>
        </w:r>
        <w:r w:rsidRPr="004A22E0">
          <w:rPr>
            <w:rStyle w:val="Hyperlink"/>
            <w:rFonts w:ascii="Times New Roman" w:hAnsi="Times New Roman" w:cs="Times New Roman"/>
            <w:noProof/>
          </w:rPr>
          <w:t>Schematic illustration of how the ICU course was simulated for two key clinical situations: a) a hypothetical patient under their an intervention that never allows for vasopressin start and a treatment strategy that allows to start vasopressin in the first 6h. The</w:t>
        </w:r>
        <w:r w:rsidRPr="004A22E0">
          <w:rPr>
            <w:rStyle w:val="Hyperlink"/>
            <w:rFonts w:ascii="Times New Roman" w:eastAsia="Times New Roman" w:hAnsi="Times New Roman" w:cs="Times New Roman"/>
            <w:noProof/>
            <w:lang w:eastAsia="de-DE"/>
          </w:rPr>
          <w:t xml:space="preserve"> figure is an adaptation from the work of Urner et al. [Urner 2023]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_Toc190616116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5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AA4DD4" w14:textId="04CF9ABB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b/>
          <w:bCs/>
          <w:noProof/>
          <w:kern w:val="2"/>
          <w:lang w:val="en-AU" w:eastAsia="en-GB"/>
          <w14:ligatures w14:val="standardContextual"/>
        </w:rPr>
      </w:pPr>
      <w:hyperlink w:anchor="_Toc190616117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 xml:space="preserve">Figure S4. </w:t>
        </w:r>
        <w:r w:rsidRPr="004A22E0">
          <w:rPr>
            <w:rStyle w:val="Hyperlink"/>
            <w:rFonts w:ascii="Times New Roman" w:hAnsi="Times New Roman" w:cs="Times New Roman"/>
            <w:noProof/>
          </w:rPr>
          <w:t>Imputed dataset versus no imputed dataset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_Toc190616117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8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E787949" w14:textId="46DD31D3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b/>
          <w:bCs/>
          <w:noProof/>
          <w:kern w:val="2"/>
          <w:lang w:val="en-AU" w:eastAsia="en-GB"/>
          <w14:ligatures w14:val="standardContextual"/>
        </w:rPr>
      </w:pPr>
      <w:hyperlink w:anchor="_Toc190616118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 xml:space="preserve">Figure S5. </w:t>
        </w:r>
        <w:r w:rsidRPr="004A22E0">
          <w:rPr>
            <w:rStyle w:val="Hyperlink"/>
            <w:rFonts w:ascii="Times New Roman" w:hAnsi="Times New Roman" w:cs="Times New Roman"/>
            <w:noProof/>
          </w:rPr>
          <w:t>Flow diagram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_Toc190616118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9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ED1B300" w14:textId="0BAB4A58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b/>
          <w:bCs/>
          <w:noProof/>
          <w:kern w:val="2"/>
          <w:lang w:val="en-AU" w:eastAsia="en-GB"/>
          <w14:ligatures w14:val="standardContextual"/>
        </w:rPr>
      </w:pPr>
      <w:hyperlink w:anchor="_Toc190616119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 xml:space="preserve">Figure S6. </w:t>
        </w:r>
        <w:r w:rsidRPr="004A22E0">
          <w:rPr>
            <w:rStyle w:val="Hyperlink"/>
            <w:rFonts w:ascii="Times New Roman" w:hAnsi="Times New Roman" w:cs="Times New Roman"/>
            <w:noProof/>
          </w:rPr>
          <w:t>Parametric versus nonparametric estimates o</w:t>
        </w:r>
        <w:r w:rsidRPr="004A22E0">
          <w:rPr>
            <w:rStyle w:val="Hyperlink"/>
            <w:rFonts w:ascii="Times New Roman" w:hAnsi="Times New Roman" w:cs="Times New Roman"/>
            <w:noProof/>
          </w:rPr>
          <w:t>f</w:t>
        </w:r>
        <w:r w:rsidRPr="004A22E0">
          <w:rPr>
            <w:rStyle w:val="Hyperlink"/>
            <w:rFonts w:ascii="Times New Roman" w:hAnsi="Times New Roman" w:cs="Times New Roman"/>
            <w:noProof/>
          </w:rPr>
          <w:t xml:space="preserve"> covariate means under usual care over time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_Toc190616119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10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DCCB36F" w14:textId="679B9DFC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b/>
          <w:bCs/>
          <w:noProof/>
          <w:kern w:val="2"/>
          <w:lang w:val="en-AU" w:eastAsia="en-GB"/>
          <w14:ligatures w14:val="standardContextual"/>
        </w:rPr>
      </w:pPr>
      <w:hyperlink w:anchor="_Toc190616120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 xml:space="preserve">Figure S7. </w:t>
        </w:r>
        <w:r w:rsidRPr="004A22E0">
          <w:rPr>
            <w:rStyle w:val="Hyperlink"/>
            <w:rFonts w:ascii="Times New Roman" w:hAnsi="Times New Roman" w:cs="Times New Roman"/>
            <w:noProof/>
          </w:rPr>
          <w:t>30-day ICU mortality risk difference according to the timing of vasopressin introduction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_Toc190616120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12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10C7826" w14:textId="53F21D9E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b/>
          <w:bCs/>
          <w:noProof/>
          <w:kern w:val="2"/>
          <w:lang w:val="en-AU" w:eastAsia="en-GB"/>
          <w14:ligatures w14:val="standardContextual"/>
        </w:rPr>
      </w:pPr>
      <w:hyperlink w:anchor="_Toc190616121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 xml:space="preserve">Figure S8. </w:t>
        </w:r>
        <w:r w:rsidRPr="004A22E0">
          <w:rPr>
            <w:rStyle w:val="Hyperlink"/>
            <w:rFonts w:ascii="Times New Roman" w:hAnsi="Times New Roman" w:cs="Times New Roman"/>
            <w:noProof/>
          </w:rPr>
          <w:t>Norepinephrine equivalent dose course according to the timing of vasopressin start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_Toc190616121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13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6A26F0" w14:textId="0B3D0EBC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b/>
          <w:bCs/>
          <w:noProof/>
          <w:kern w:val="2"/>
          <w:lang w:val="en-AU" w:eastAsia="en-GB"/>
          <w14:ligatures w14:val="standardContextual"/>
        </w:rPr>
      </w:pPr>
      <w:hyperlink w:anchor="_Toc190616122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 xml:space="preserve">Figure S9. </w:t>
        </w:r>
        <w:r w:rsidRPr="004A22E0">
          <w:rPr>
            <w:rStyle w:val="Hyperlink"/>
            <w:rFonts w:ascii="Times New Roman" w:hAnsi="Times New Roman" w:cs="Times New Roman"/>
            <w:noProof/>
          </w:rPr>
          <w:t>30-day ICU mortality relative risk according to norepinephrine equivalent dose threshold for vasopressin introduction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_Toc190616122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14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64BCED" w14:textId="78A2A30D" w:rsidR="004A22E0" w:rsidRPr="004A22E0" w:rsidRDefault="004A22E0" w:rsidP="004A22E0">
      <w:pPr>
        <w:pStyle w:val="TableofFigures"/>
        <w:tabs>
          <w:tab w:val="right" w:leader="dot" w:pos="9350"/>
        </w:tabs>
        <w:jc w:val="both"/>
        <w:rPr>
          <w:rFonts w:ascii="Times New Roman" w:eastAsiaTheme="minorEastAsia" w:hAnsi="Times New Roman" w:cs="Times New Roman"/>
          <w:b/>
          <w:bCs/>
          <w:noProof/>
          <w:kern w:val="2"/>
          <w:lang w:val="en-AU" w:eastAsia="en-GB"/>
          <w14:ligatures w14:val="standardContextual"/>
        </w:rPr>
      </w:pPr>
      <w:hyperlink w:anchor="_Toc190616123" w:history="1">
        <w:r w:rsidRPr="004A22E0">
          <w:rPr>
            <w:rStyle w:val="Hyperlink"/>
            <w:rFonts w:ascii="Times New Roman" w:hAnsi="Times New Roman" w:cs="Times New Roman"/>
            <w:b/>
            <w:bCs/>
            <w:noProof/>
          </w:rPr>
          <w:t xml:space="preserve">Figure S10. </w:t>
        </w:r>
        <w:r w:rsidRPr="004A22E0">
          <w:rPr>
            <w:rStyle w:val="Hyperlink"/>
            <w:rFonts w:ascii="Times New Roman" w:hAnsi="Times New Roman" w:cs="Times New Roman"/>
            <w:noProof/>
          </w:rPr>
          <w:t>Norepinephrine equivalent dose course according to noradrenaline equivalent dose threshold for vasopressin introduction</w:t>
        </w:r>
        <w:r w:rsidRPr="004A22E0">
          <w:rPr>
            <w:rFonts w:ascii="Times New Roman" w:hAnsi="Times New Roman" w:cs="Times New Roman"/>
            <w:noProof/>
            <w:webHidden/>
          </w:rPr>
          <w:tab/>
        </w:r>
        <w:r w:rsidRPr="004A22E0">
          <w:rPr>
            <w:rFonts w:ascii="Times New Roman" w:hAnsi="Times New Roman" w:cs="Times New Roman"/>
            <w:noProof/>
            <w:webHidden/>
          </w:rPr>
          <w:fldChar w:fldCharType="begin"/>
        </w:r>
        <w:r w:rsidRPr="004A22E0">
          <w:rPr>
            <w:rFonts w:ascii="Times New Roman" w:hAnsi="Times New Roman" w:cs="Times New Roman"/>
            <w:noProof/>
            <w:webHidden/>
          </w:rPr>
          <w:instrText xml:space="preserve"> PAGEREF _Toc190616123 \h </w:instrText>
        </w:r>
        <w:r w:rsidRPr="004A22E0">
          <w:rPr>
            <w:rFonts w:ascii="Times New Roman" w:hAnsi="Times New Roman" w:cs="Times New Roman"/>
            <w:noProof/>
            <w:webHidden/>
          </w:rPr>
        </w:r>
        <w:r w:rsidRPr="004A22E0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A22E0">
          <w:rPr>
            <w:rFonts w:ascii="Times New Roman" w:hAnsi="Times New Roman" w:cs="Times New Roman"/>
            <w:noProof/>
            <w:webHidden/>
          </w:rPr>
          <w:t>15</w:t>
        </w:r>
        <w:r w:rsidRPr="004A22E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768FD88" w14:textId="77777777" w:rsidR="00C34A01" w:rsidRPr="00FF2FBB" w:rsidRDefault="00E42C7F" w:rsidP="004A22E0">
      <w:pPr>
        <w:spacing w:line="480" w:lineRule="auto"/>
        <w:jc w:val="both"/>
        <w:rPr>
          <w:rFonts w:ascii="Times New Roman" w:hAnsi="Times New Roman" w:cs="Times New Roman"/>
          <w:b/>
          <w:bCs/>
          <w:color w:val="C00000"/>
        </w:rPr>
      </w:pPr>
      <w:r w:rsidRPr="004A22E0">
        <w:rPr>
          <w:rFonts w:ascii="Times New Roman" w:hAnsi="Times New Roman" w:cs="Times New Roman"/>
          <w:b/>
          <w:bCs/>
          <w:color w:val="C00000"/>
        </w:rPr>
        <w:lastRenderedPageBreak/>
        <w:fldChar w:fldCharType="end"/>
      </w:r>
    </w:p>
    <w:tbl>
      <w:tblPr>
        <w:tblStyle w:val="ListTable2-Accent1"/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00" w:firstRow="0" w:lastRow="0" w:firstColumn="0" w:lastColumn="0" w:noHBand="0" w:noVBand="1"/>
      </w:tblPr>
      <w:tblGrid>
        <w:gridCol w:w="2524"/>
        <w:gridCol w:w="4343"/>
        <w:gridCol w:w="2481"/>
      </w:tblGrid>
      <w:tr w:rsidR="00F24CC8" w:rsidRPr="00FF2FBB" w14:paraId="4C41F523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1D32511" w14:textId="24F7B70D" w:rsidR="00F24CC8" w:rsidRPr="00FF2FBB" w:rsidRDefault="00F24CC8" w:rsidP="00D64269">
            <w:pPr>
              <w:pStyle w:val="Caption"/>
              <w:spacing w:after="0"/>
              <w:rPr>
                <w:rFonts w:ascii="Times New Roman" w:eastAsiaTheme="majorEastAsia" w:hAnsi="Times New Roman" w:cs="Times New Roman"/>
                <w:b/>
                <w:bCs/>
                <w:i w:val="0"/>
                <w:iCs/>
                <w:color w:val="000000" w:themeColor="text1"/>
                <w:sz w:val="16"/>
                <w:szCs w:val="16"/>
              </w:rPr>
            </w:pPr>
            <w:bookmarkStart w:id="0" w:name="_Toc180852652"/>
            <w:bookmarkStart w:id="1" w:name="patients"/>
            <w:bookmarkStart w:id="2" w:name="table-1.-baseline-characteristics"/>
            <w:bookmarkStart w:id="3" w:name="_Toc190616124"/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</w:rPr>
              <w:t>Table S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</w:rPr>
              <w:instrText xml:space="preserve"> SEQ Table_S \* ARABIC </w:instrTex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b/>
                <w:bCs/>
                <w:i w:val="0"/>
                <w:noProof/>
                <w:color w:val="C00000"/>
                <w:sz w:val="16"/>
                <w:szCs w:val="16"/>
              </w:rPr>
              <w:t>1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i w:val="0"/>
                <w:color w:val="C00000"/>
                <w:sz w:val="16"/>
                <w:szCs w:val="16"/>
              </w:rPr>
              <w:t xml:space="preserve">. </w:t>
            </w:r>
            <w:r w:rsidRPr="00FF2FBB"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16"/>
                <w:szCs w:val="16"/>
              </w:rPr>
              <w:t xml:space="preserve">Summary of the protocol of a target trial estimating the effect of </w:t>
            </w:r>
            <w:bookmarkEnd w:id="0"/>
            <w:r w:rsidRPr="00FF2FBB"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16"/>
                <w:szCs w:val="16"/>
              </w:rPr>
              <w:t>early vasopressin start</w:t>
            </w:r>
            <w:r w:rsidRPr="00FF2FBB"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16"/>
                <w:szCs w:val="16"/>
                <w:vertAlign w:val="superscript"/>
              </w:rPr>
              <w:t>*</w:t>
            </w:r>
            <w:r w:rsidRPr="00FF2FBB"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16"/>
                <w:szCs w:val="16"/>
              </w:rPr>
              <w:t xml:space="preserve"> versus </w:t>
            </w:r>
            <w:r w:rsidR="00C63522" w:rsidRPr="00C63522"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16"/>
                <w:szCs w:val="16"/>
              </w:rPr>
              <w:t>an intervention that never allows for vasopressin start</w:t>
            </w:r>
            <w:bookmarkEnd w:id="3"/>
          </w:p>
        </w:tc>
      </w:tr>
      <w:tr w:rsidR="00F24CC8" w:rsidRPr="00FF2FBB" w14:paraId="0DF5F795" w14:textId="77777777" w:rsidTr="00F24CC8">
        <w:trPr>
          <w:trHeight w:val="13"/>
        </w:trPr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14:paraId="19661237" w14:textId="77777777" w:rsidR="00F24CC8" w:rsidRPr="00FF2FBB" w:rsidRDefault="00F24CC8" w:rsidP="00D642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  <w:t>Component</w:t>
            </w:r>
          </w:p>
        </w:tc>
        <w:tc>
          <w:tcPr>
            <w:tcW w:w="2323" w:type="pct"/>
            <w:tcBorders>
              <w:top w:val="single" w:sz="4" w:space="0" w:color="auto"/>
              <w:bottom w:val="single" w:sz="4" w:space="0" w:color="auto"/>
            </w:tcBorders>
          </w:tcPr>
          <w:p w14:paraId="7BD57AEE" w14:textId="77777777" w:rsidR="00F24CC8" w:rsidRPr="00FF2FBB" w:rsidRDefault="00F24CC8" w:rsidP="00D642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  <w:t>Hypothetical randomized trial</w:t>
            </w:r>
          </w:p>
        </w:tc>
        <w:tc>
          <w:tcPr>
            <w:tcW w:w="1327" w:type="pct"/>
            <w:tcBorders>
              <w:top w:val="single" w:sz="4" w:space="0" w:color="auto"/>
              <w:bottom w:val="single" w:sz="4" w:space="0" w:color="auto"/>
            </w:tcBorders>
          </w:tcPr>
          <w:p w14:paraId="47D9EA15" w14:textId="77777777" w:rsidR="00F24CC8" w:rsidRPr="00FF2FBB" w:rsidRDefault="00F24CC8" w:rsidP="00D642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  <w:t>Emulation</w:t>
            </w:r>
          </w:p>
        </w:tc>
      </w:tr>
      <w:tr w:rsidR="00F24CC8" w:rsidRPr="00FF2FBB" w14:paraId="40D3BCF6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tcW w:w="1350" w:type="pct"/>
            <w:tcBorders>
              <w:top w:val="single" w:sz="4" w:space="0" w:color="auto"/>
            </w:tcBorders>
          </w:tcPr>
          <w:p w14:paraId="3027BB57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Inclusion criteria</w:t>
            </w:r>
          </w:p>
        </w:tc>
        <w:tc>
          <w:tcPr>
            <w:tcW w:w="2323" w:type="pct"/>
            <w:tcBorders>
              <w:top w:val="single" w:sz="4" w:space="0" w:color="auto"/>
            </w:tcBorders>
          </w:tcPr>
          <w:p w14:paraId="7F4AB286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- All adult patients admitted to ICU with a septic shock within 6h of admission</w:t>
            </w:r>
          </w:p>
        </w:tc>
        <w:tc>
          <w:tcPr>
            <w:tcW w:w="1327" w:type="pct"/>
            <w:tcBorders>
              <w:top w:val="single" w:sz="4" w:space="0" w:color="auto"/>
            </w:tcBorders>
          </w:tcPr>
          <w:p w14:paraId="6FAFA82D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Same as hypothetical trial</w:t>
            </w:r>
          </w:p>
        </w:tc>
      </w:tr>
      <w:tr w:rsidR="00F24CC8" w:rsidRPr="00FF2FBB" w14:paraId="196361E7" w14:textId="77777777" w:rsidTr="00F24CC8">
        <w:trPr>
          <w:trHeight w:val="105"/>
        </w:trPr>
        <w:tc>
          <w:tcPr>
            <w:tcW w:w="1350" w:type="pct"/>
          </w:tcPr>
          <w:p w14:paraId="1604F187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Exclusion criteria</w:t>
            </w:r>
          </w:p>
        </w:tc>
        <w:tc>
          <w:tcPr>
            <w:tcW w:w="2323" w:type="pct"/>
          </w:tcPr>
          <w:p w14:paraId="56B27872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- Received vasopressin within the first hour of ICU admission</w:t>
            </w:r>
          </w:p>
          <w:p w14:paraId="17C3944B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- Transferred from another ICU</w:t>
            </w:r>
          </w:p>
          <w:p w14:paraId="451CC3C8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- Admission for palliative care or organ donation </w:t>
            </w:r>
          </w:p>
          <w:p w14:paraId="7B8FB4E2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- Fulfill septic shock criteria ≥ 6 hours after ICU admission</w:t>
            </w:r>
          </w:p>
          <w:p w14:paraId="531B2B26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1327" w:type="pct"/>
          </w:tcPr>
          <w:p w14:paraId="545343F8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Same as hypothetical trial</w:t>
            </w:r>
          </w:p>
        </w:tc>
      </w:tr>
      <w:tr w:rsidR="00F24CC8" w:rsidRPr="00FF2FBB" w14:paraId="79D5F222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tcW w:w="1350" w:type="pct"/>
          </w:tcPr>
          <w:p w14:paraId="14AFA879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Treatment strategies</w:t>
            </w:r>
          </w:p>
        </w:tc>
        <w:tc>
          <w:tcPr>
            <w:tcW w:w="2323" w:type="pct"/>
          </w:tcPr>
          <w:p w14:paraId="31DEDD5C" w14:textId="77777777" w:rsidR="00F24CC8" w:rsidRPr="00FF2FBB" w:rsidRDefault="00F24CC8" w:rsidP="00F24CC8">
            <w:pPr>
              <w:numPr>
                <w:ilvl w:val="0"/>
                <w:numId w:val="7"/>
              </w:numPr>
              <w:spacing w:line="240" w:lineRule="auto"/>
              <w:ind w:left="417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Vasopressin </w:t>
            </w:r>
            <w:proofErr w:type="gram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start</w:t>
            </w:r>
            <w:proofErr w:type="gramEnd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 within 6h of ICU admission</w:t>
            </w:r>
          </w:p>
        </w:tc>
        <w:tc>
          <w:tcPr>
            <w:tcW w:w="1327" w:type="pct"/>
          </w:tcPr>
          <w:p w14:paraId="4DDEDD20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Same as hypothetical trial</w:t>
            </w:r>
          </w:p>
        </w:tc>
      </w:tr>
      <w:tr w:rsidR="00F24CC8" w:rsidRPr="00FF2FBB" w14:paraId="6E4A3BCA" w14:textId="77777777" w:rsidTr="00F24CC8">
        <w:trPr>
          <w:trHeight w:val="860"/>
        </w:trPr>
        <w:tc>
          <w:tcPr>
            <w:tcW w:w="1350" w:type="pct"/>
          </w:tcPr>
          <w:p w14:paraId="1FB6F691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Treatment assignment</w:t>
            </w:r>
          </w:p>
        </w:tc>
        <w:tc>
          <w:tcPr>
            <w:tcW w:w="2323" w:type="pct"/>
          </w:tcPr>
          <w:p w14:paraId="491DE806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Patients are randomly assigned to start </w:t>
            </w:r>
            <w:r w:rsidR="00A00AC2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vasopressin within 6h of ICU admission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 or never to start.</w:t>
            </w:r>
          </w:p>
          <w:p w14:paraId="1B5B15BC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Stratification performed based on age, sex, APACHE III score, mechanical ventilation. Treatment allocation is concealed.</w:t>
            </w:r>
          </w:p>
        </w:tc>
        <w:tc>
          <w:tcPr>
            <w:tcW w:w="1327" w:type="pct"/>
          </w:tcPr>
          <w:p w14:paraId="105D81D3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We assume that patients would be randomly assigned with stratification for the following baseline variables: age, sex, APACHE III score, mechanical ventilation.</w:t>
            </w:r>
          </w:p>
        </w:tc>
      </w:tr>
      <w:tr w:rsidR="00F24CC8" w:rsidRPr="00FF2FBB" w14:paraId="79D0A505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tcW w:w="1350" w:type="pct"/>
          </w:tcPr>
          <w:p w14:paraId="30E4A0CE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Follow-up</w:t>
            </w:r>
          </w:p>
        </w:tc>
        <w:tc>
          <w:tcPr>
            <w:tcW w:w="2323" w:type="pct"/>
          </w:tcPr>
          <w:p w14:paraId="4DF9D261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The follow-up starts at the time of assignment to drug strategy and ends at either</w:t>
            </w:r>
          </w:p>
          <w:p w14:paraId="0408C163" w14:textId="77777777" w:rsidR="00F24CC8" w:rsidRPr="00FF2FBB" w:rsidRDefault="00F24CC8" w:rsidP="00F24CC8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Death</w:t>
            </w:r>
          </w:p>
          <w:p w14:paraId="5EEFA6E3" w14:textId="77777777" w:rsidR="00F24CC8" w:rsidRPr="00FF2FBB" w:rsidRDefault="00F24CC8" w:rsidP="00F24CC8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30 days of ICU stay</w:t>
            </w:r>
          </w:p>
          <w:p w14:paraId="2AE24DF3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whichever comes first</w:t>
            </w:r>
          </w:p>
        </w:tc>
        <w:tc>
          <w:tcPr>
            <w:tcW w:w="1327" w:type="pct"/>
          </w:tcPr>
          <w:p w14:paraId="46D523F1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Same as hypothetical trial</w:t>
            </w:r>
          </w:p>
        </w:tc>
      </w:tr>
      <w:tr w:rsidR="00F24CC8" w:rsidRPr="00FF2FBB" w14:paraId="1A1A2B1B" w14:textId="77777777" w:rsidTr="00F24CC8">
        <w:trPr>
          <w:trHeight w:val="55"/>
        </w:trPr>
        <w:tc>
          <w:tcPr>
            <w:tcW w:w="1350" w:type="pct"/>
          </w:tcPr>
          <w:p w14:paraId="5457B42A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Primary outcome</w:t>
            </w:r>
          </w:p>
        </w:tc>
        <w:tc>
          <w:tcPr>
            <w:tcW w:w="2323" w:type="pct"/>
          </w:tcPr>
          <w:p w14:paraId="43A79922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30-day ICU mortality</w:t>
            </w:r>
          </w:p>
        </w:tc>
        <w:tc>
          <w:tcPr>
            <w:tcW w:w="1327" w:type="pct"/>
          </w:tcPr>
          <w:p w14:paraId="0FAA7A15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Same as hypothetical trial</w:t>
            </w:r>
          </w:p>
        </w:tc>
      </w:tr>
      <w:tr w:rsidR="00F24CC8" w:rsidRPr="00FF2FBB" w14:paraId="6FEC3C9C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tcW w:w="1350" w:type="pct"/>
          </w:tcPr>
          <w:p w14:paraId="78F47C7A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Causal contrast</w:t>
            </w:r>
          </w:p>
        </w:tc>
        <w:tc>
          <w:tcPr>
            <w:tcW w:w="2323" w:type="pct"/>
          </w:tcPr>
          <w:p w14:paraId="56585412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Per protocol effect</w:t>
            </w:r>
          </w:p>
        </w:tc>
        <w:tc>
          <w:tcPr>
            <w:tcW w:w="1327" w:type="pct"/>
          </w:tcPr>
          <w:p w14:paraId="159E2B35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Observational analogue of the per protocol effect</w:t>
            </w:r>
          </w:p>
        </w:tc>
      </w:tr>
      <w:tr w:rsidR="00F24CC8" w:rsidRPr="00FF2FBB" w14:paraId="2647794B" w14:textId="77777777" w:rsidTr="00F24CC8">
        <w:trPr>
          <w:trHeight w:val="240"/>
        </w:trPr>
        <w:tc>
          <w:tcPr>
            <w:tcW w:w="1350" w:type="pct"/>
            <w:tcBorders>
              <w:bottom w:val="single" w:sz="4" w:space="0" w:color="auto"/>
            </w:tcBorders>
          </w:tcPr>
          <w:p w14:paraId="54DE1AE4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Statistical analysis</w:t>
            </w:r>
          </w:p>
        </w:tc>
        <w:tc>
          <w:tcPr>
            <w:tcW w:w="2323" w:type="pct"/>
            <w:tcBorders>
              <w:bottom w:val="single" w:sz="4" w:space="0" w:color="auto"/>
            </w:tcBorders>
          </w:tcPr>
          <w:p w14:paraId="67BA7E28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In the per-protocol analysis, patients are censored when they deviate from their assigned strategy. The per-protocol effect is estimated after adjustment for baseline variables and for time-varying variables associated with adherence to a drug strategy.</w:t>
            </w: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7886C2DB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Same as hypothetical trial.</w:t>
            </w:r>
          </w:p>
          <w:p w14:paraId="64EE5533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The per-protocol effect under full adherence is estimated using the parametric g-formula</w:t>
            </w:r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[Young 2011]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 The value of each density function for all possible covariate histories is estimated under parametric modeling assumptions. The approximated sum over all histories is subsequently calculated via Monte Carlo simulation</w:t>
            </w:r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[Hernan 2018]. </w:t>
            </w:r>
          </w:p>
        </w:tc>
      </w:tr>
      <w:tr w:rsidR="00F24CC8" w:rsidRPr="00FF2FBB" w14:paraId="781B121C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04FE13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de-DE"/>
              </w:rPr>
              <w:t xml:space="preserve">* 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Early vasopressin start is a start within 6 hours of ICU admission. </w:t>
            </w:r>
          </w:p>
          <w:p w14:paraId="1D93F1DA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Abbreviations:</w:t>
            </w:r>
            <w:r w:rsidRPr="00FF2FB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ICU, intensive care unit; APACHE: 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Acute Physiology </w:t>
            </w:r>
            <w:proofErr w:type="gramStart"/>
            <w:r w:rsidRPr="00FF2FBB"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proofErr w:type="gramEnd"/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Chronic Health Evaluation</w:t>
            </w:r>
          </w:p>
          <w:p w14:paraId="4FB1EE98" w14:textId="77777777" w:rsidR="00F24CC8" w:rsidRPr="00FF2FBB" w:rsidRDefault="00F24CC8" w:rsidP="00D642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Adapted from M. Hernán and J. Robins on how to emulate a target trial using observational data</w:t>
            </w:r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[Hernan 2016]</w:t>
            </w:r>
          </w:p>
        </w:tc>
      </w:tr>
    </w:tbl>
    <w:p w14:paraId="4192B4A8" w14:textId="77777777" w:rsidR="00885814" w:rsidRPr="00FF2FBB" w:rsidRDefault="00885814">
      <w:pPr>
        <w:keepNext/>
        <w:spacing w:after="60"/>
        <w:rPr>
          <w:rFonts w:ascii="Times New Roman" w:hAnsi="Times New Roman" w:cs="Times New Roman"/>
        </w:rPr>
      </w:pPr>
    </w:p>
    <w:p w14:paraId="34296DDE" w14:textId="77777777" w:rsidR="00C34A01" w:rsidRPr="00FF2FBB" w:rsidRDefault="00C34A01">
      <w:pPr>
        <w:keepNext/>
        <w:spacing w:after="60"/>
        <w:rPr>
          <w:rFonts w:ascii="Times New Roman" w:hAnsi="Times New Roman" w:cs="Times New Roman"/>
        </w:rPr>
      </w:pPr>
    </w:p>
    <w:p w14:paraId="3468B983" w14:textId="77777777" w:rsidR="00A5120C" w:rsidRPr="00FF2FBB" w:rsidRDefault="00A5120C">
      <w:pPr>
        <w:keepNext/>
        <w:spacing w:after="60"/>
        <w:rPr>
          <w:rFonts w:ascii="Times New Roman" w:hAnsi="Times New Roman" w:cs="Times New Roman"/>
        </w:rPr>
      </w:pPr>
    </w:p>
    <w:tbl>
      <w:tblPr>
        <w:tblStyle w:val="ListTable2-Accent1"/>
        <w:tblW w:w="9299" w:type="dxa"/>
        <w:tblLook w:val="0400" w:firstRow="0" w:lastRow="0" w:firstColumn="0" w:lastColumn="0" w:noHBand="0" w:noVBand="1"/>
      </w:tblPr>
      <w:tblGrid>
        <w:gridCol w:w="9299"/>
      </w:tblGrid>
      <w:tr w:rsidR="00F24CC8" w:rsidRPr="00FF2FBB" w14:paraId="44341211" w14:textId="77777777" w:rsidTr="00A5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A497" w14:textId="5027DEF1" w:rsidR="00F24CC8" w:rsidRPr="00FF2FBB" w:rsidRDefault="00F24CC8" w:rsidP="00D64269">
            <w:pPr>
              <w:spacing w:line="259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bookmarkStart w:id="4" w:name="_Toc180852699"/>
            <w:bookmarkStart w:id="5" w:name="_Toc190616114"/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Figure S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b/>
                <w:bCs/>
                <w:noProof/>
                <w:color w:val="C00000"/>
                <w:sz w:val="16"/>
                <w:szCs w:val="16"/>
              </w:rPr>
              <w:t>1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.</w:t>
            </w:r>
            <w:r w:rsidRPr="00FF2FBB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Schematic illustration of the conceptual framework</w:t>
            </w:r>
            <w:bookmarkEnd w:id="4"/>
            <w:bookmarkEnd w:id="5"/>
          </w:p>
        </w:tc>
      </w:tr>
      <w:tr w:rsidR="00F24CC8" w:rsidRPr="00FF2FBB" w14:paraId="24BC1DB7" w14:textId="77777777" w:rsidTr="00A5120C">
        <w:trPr>
          <w:trHeight w:val="4507"/>
        </w:trPr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EE85" w14:textId="77777777" w:rsidR="00F24CC8" w:rsidRPr="00FF2FBB" w:rsidRDefault="0074742C" w:rsidP="00D64269">
            <w:pPr>
              <w:spacing w:line="259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AEA17AD" wp14:editId="4C9BC364">
                  <wp:extent cx="5767754" cy="2819791"/>
                  <wp:effectExtent l="0" t="0" r="0" b="0"/>
                  <wp:docPr id="15577340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34048" name="Picture 155773404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207" cy="282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CC8" w:rsidRPr="00FF2FBB" w14:paraId="4A43C79F" w14:textId="77777777" w:rsidTr="00A5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AE33" w14:textId="77777777" w:rsidR="00F24CC8" w:rsidRPr="00FF2FBB" w:rsidRDefault="00F24CC8" w:rsidP="00D64269">
            <w:pPr>
              <w:spacing w:line="259" w:lineRule="auto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de-DE"/>
              </w:rPr>
              <w:t xml:space="preserve">Adapted from Urner et al, Limiting Dynamic Driving Pressure in Patients Requiring Mechanical Ventilation, Crit Care, 2023 </w:t>
            </w:r>
            <w:r w:rsidR="0044397E" w:rsidRPr="00FF2FBB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de-DE"/>
              </w:rPr>
              <w:t>[Urner 2023]</w:t>
            </w:r>
          </w:p>
        </w:tc>
      </w:tr>
    </w:tbl>
    <w:p w14:paraId="254E0A96" w14:textId="77777777" w:rsidR="00F24CC8" w:rsidRPr="00FF2FBB" w:rsidRDefault="00F24CC8">
      <w:pPr>
        <w:pStyle w:val="Heading1"/>
        <w:rPr>
          <w:rFonts w:ascii="Times New Roman" w:hAnsi="Times New Roman" w:cs="Times New Roman"/>
        </w:rPr>
      </w:pPr>
      <w:bookmarkStart w:id="6" w:name="_Toc182773117"/>
      <w:bookmarkStart w:id="7" w:name="dose-effect"/>
      <w:bookmarkEnd w:id="1"/>
      <w:bookmarkEnd w:id="2"/>
    </w:p>
    <w:p w14:paraId="3DF8DE94" w14:textId="77777777" w:rsidR="00F24CC8" w:rsidRPr="00FF2FBB" w:rsidRDefault="00F24CC8" w:rsidP="00F24CC8">
      <w:pPr>
        <w:pStyle w:val="BodyText"/>
        <w:rPr>
          <w:rFonts w:ascii="Times New Roman" w:hAnsi="Times New Roman" w:cs="Times New Roman"/>
        </w:rPr>
      </w:pPr>
    </w:p>
    <w:p w14:paraId="0F7FB58D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31649746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7B0C22FB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1BA6ED20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6DE3945A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4EBF3595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18777CC2" w14:textId="77777777" w:rsidR="00A0509B" w:rsidRPr="00FF2FBB" w:rsidRDefault="00A0509B" w:rsidP="00F24CC8">
      <w:pPr>
        <w:pStyle w:val="BodyText"/>
        <w:rPr>
          <w:rFonts w:ascii="Times New Roman" w:hAnsi="Times New Roman" w:cs="Times New Roman"/>
        </w:rPr>
      </w:pPr>
    </w:p>
    <w:p w14:paraId="3AF9D9F8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tbl>
      <w:tblPr>
        <w:tblStyle w:val="ListTable2-Accent1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9350"/>
      </w:tblGrid>
      <w:tr w:rsidR="00F24CC8" w:rsidRPr="00FF2FBB" w14:paraId="1475CBC2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tcW w:w="9242" w:type="dxa"/>
          </w:tcPr>
          <w:p w14:paraId="1E2BE17A" w14:textId="0410A74B" w:rsidR="00F24CC8" w:rsidRPr="00FF2FBB" w:rsidRDefault="00F24CC8" w:rsidP="00C34A0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bookmarkStart w:id="8" w:name="_Toc180852700"/>
            <w:bookmarkStart w:id="9" w:name="_Toc190616115"/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lastRenderedPageBreak/>
              <w:t>Figure S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b/>
                <w:bCs/>
                <w:noProof/>
                <w:color w:val="C00000"/>
                <w:sz w:val="16"/>
                <w:szCs w:val="16"/>
              </w:rPr>
              <w:t>2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.</w:t>
            </w:r>
            <w:r w:rsidRPr="00FF2FBB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Schematic illustration of the three-step process for the computation algorithm for the parametric g-formula. The figure is an adaptation from the work of Taubman et al. and </w:t>
            </w: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Urner</w:t>
            </w:r>
            <w:proofErr w:type="spellEnd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et al. </w:t>
            </w:r>
            <w:bookmarkEnd w:id="8"/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[Taubman 2009, </w:t>
            </w:r>
            <w:proofErr w:type="spellStart"/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Urner</w:t>
            </w:r>
            <w:proofErr w:type="spellEnd"/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2023]</w:t>
            </w:r>
            <w:bookmarkEnd w:id="9"/>
          </w:p>
        </w:tc>
      </w:tr>
      <w:tr w:rsidR="00F24CC8" w:rsidRPr="00FF2FBB" w14:paraId="277BE763" w14:textId="77777777" w:rsidTr="00F24CC8">
        <w:trPr>
          <w:trHeight w:val="8072"/>
        </w:trPr>
        <w:tc>
          <w:tcPr>
            <w:tcW w:w="9242" w:type="dxa"/>
          </w:tcPr>
          <w:p w14:paraId="06167B11" w14:textId="77777777" w:rsidR="00F24CC8" w:rsidRPr="00FF2FBB" w:rsidRDefault="004F40A0" w:rsidP="00D64269">
            <w:pPr>
              <w:rPr>
                <w:rFonts w:ascii="Times New Roman" w:hAnsi="Times New Roman" w:cs="Times New Roman"/>
              </w:rPr>
            </w:pPr>
            <w:r w:rsidRPr="00FF2FB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A37382" wp14:editId="005B18C4">
                  <wp:extent cx="5943600" cy="4926330"/>
                  <wp:effectExtent l="0" t="0" r="0" b="1270"/>
                  <wp:docPr id="6217601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760116" name="Picture 62176011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2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87AE2" w14:textId="77777777" w:rsidR="00F24CC8" w:rsidRPr="00FF2FBB" w:rsidRDefault="00F24CC8" w:rsidP="00F24CC8">
      <w:pPr>
        <w:pStyle w:val="BodyText"/>
        <w:rPr>
          <w:rFonts w:ascii="Times New Roman" w:hAnsi="Times New Roman" w:cs="Times New Roman"/>
        </w:rPr>
      </w:pPr>
    </w:p>
    <w:p w14:paraId="5E3F1999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35C5F932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06F5BB40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1C1D2FB0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26BB3793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774FC490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tbl>
      <w:tblPr>
        <w:tblStyle w:val="ListTable2-Accent1"/>
        <w:tblW w:w="9281" w:type="dxa"/>
        <w:tblLook w:val="0400" w:firstRow="0" w:lastRow="0" w:firstColumn="0" w:lastColumn="0" w:noHBand="0" w:noVBand="1"/>
      </w:tblPr>
      <w:tblGrid>
        <w:gridCol w:w="9350"/>
      </w:tblGrid>
      <w:tr w:rsidR="00F24CC8" w:rsidRPr="00FF2FBB" w14:paraId="62798A1A" w14:textId="77777777" w:rsidTr="00F24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B110" w14:textId="67275B3A" w:rsidR="00F24CC8" w:rsidRPr="00FF2FBB" w:rsidRDefault="00F24CC8" w:rsidP="00C34A01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0" w:name="_Toc180852701"/>
            <w:bookmarkStart w:id="11" w:name="_Toc190616116"/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lastRenderedPageBreak/>
              <w:t>Figure S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b/>
                <w:bCs/>
                <w:noProof/>
                <w:color w:val="C00000"/>
                <w:sz w:val="16"/>
                <w:szCs w:val="16"/>
              </w:rPr>
              <w:t>3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.</w:t>
            </w:r>
            <w:r w:rsidRPr="00FF2FBB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Schematic illustration </w:t>
            </w:r>
            <w:r w:rsidR="00633784"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of 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how the ICU course was simulated for two key clinical situations: a) a hypothetical patient under </w:t>
            </w:r>
            <w:proofErr w:type="gramStart"/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their </w:t>
            </w:r>
            <w:r w:rsidR="00C63522" w:rsidRPr="00C63522">
              <w:rPr>
                <w:rFonts w:ascii="Times New Roman" w:hAnsi="Times New Roman" w:cs="Times New Roman"/>
                <w:sz w:val="16"/>
                <w:szCs w:val="16"/>
              </w:rPr>
              <w:t>an</w:t>
            </w:r>
            <w:proofErr w:type="gramEnd"/>
            <w:r w:rsidR="00C63522" w:rsidRPr="00C63522">
              <w:rPr>
                <w:rFonts w:ascii="Times New Roman" w:hAnsi="Times New Roman" w:cs="Times New Roman"/>
                <w:sz w:val="16"/>
                <w:szCs w:val="16"/>
              </w:rPr>
              <w:t xml:space="preserve"> intervention that never allows for vasopressin start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and a treatment strategy </w:t>
            </w:r>
            <w:r w:rsidR="00C63522">
              <w:rPr>
                <w:rFonts w:ascii="Times New Roman" w:hAnsi="Times New Roman" w:cs="Times New Roman"/>
                <w:sz w:val="16"/>
                <w:szCs w:val="16"/>
              </w:rPr>
              <w:t xml:space="preserve">that </w:t>
            </w:r>
            <w:r w:rsidR="00C63522" w:rsidRPr="00C63522">
              <w:rPr>
                <w:rFonts w:ascii="Times New Roman" w:hAnsi="Times New Roman" w:cs="Times New Roman"/>
                <w:sz w:val="16"/>
                <w:szCs w:val="16"/>
              </w:rPr>
              <w:t>allows to start vasopressin in the first 6h</w:t>
            </w:r>
            <w:r w:rsidR="00633784" w:rsidRPr="00FF2FBB">
              <w:rPr>
                <w:rFonts w:ascii="Times New Roman" w:hAnsi="Times New Roman" w:cs="Times New Roman"/>
                <w:sz w:val="16"/>
                <w:szCs w:val="16"/>
              </w:rPr>
              <w:t>. The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figure is an adaptation from the work of </w:t>
            </w: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Urner</w:t>
            </w:r>
            <w:proofErr w:type="spellEnd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et al.</w:t>
            </w:r>
            <w:bookmarkEnd w:id="10"/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[</w:t>
            </w:r>
            <w:proofErr w:type="spellStart"/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Urner</w:t>
            </w:r>
            <w:proofErr w:type="spellEnd"/>
            <w:r w:rsidR="0044397E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 2023]</w:t>
            </w:r>
            <w:bookmarkEnd w:id="11"/>
          </w:p>
        </w:tc>
      </w:tr>
      <w:tr w:rsidR="00F24CC8" w:rsidRPr="00FF2FBB" w14:paraId="725A36B6" w14:textId="77777777" w:rsidTr="0094499E">
        <w:trPr>
          <w:trHeight w:val="6610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F8BC" w14:textId="77777777" w:rsidR="00F24CC8" w:rsidRPr="00FF2FBB" w:rsidRDefault="004F40A0" w:rsidP="00D64269">
            <w:pPr>
              <w:spacing w:before="240" w:after="240"/>
              <w:rPr>
                <w:rFonts w:ascii="Times New Roman" w:hAnsi="Times New Roman" w:cs="Times New Roman"/>
                <w:sz w:val="16"/>
                <w:szCs w:val="16"/>
              </w:rPr>
            </w:pPr>
            <w:r w:rsidRPr="00FF2FBB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920D92A" wp14:editId="4CDBB168">
                  <wp:extent cx="5943600" cy="3987165"/>
                  <wp:effectExtent l="0" t="0" r="0" b="635"/>
                  <wp:docPr id="19746335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633592" name="Picture 197463359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CC8" w:rsidRPr="00FF2FBB" w14:paraId="1C2D9971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tcW w:w="9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F1CC0C" w14:textId="77777777" w:rsidR="00F24CC8" w:rsidRPr="00FF2FBB" w:rsidRDefault="00F24CC8" w:rsidP="00D642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>Based on the covariate history (solid orange lines), regression models were used in Step 2 of the parametric g-formula to simulate covariates for the following day (dashed orange lines). If the simulated value for the intervention variable (</w:t>
            </w:r>
            <w:r w:rsidR="00BC4E12" w:rsidRPr="00FF2FBB">
              <w:rPr>
                <w:rFonts w:ascii="Times New Roman" w:hAnsi="Times New Roman" w:cs="Times New Roman"/>
                <w:sz w:val="16"/>
                <w:szCs w:val="16"/>
              </w:rPr>
              <w:t>Vasopressin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>) was “</w:t>
            </w:r>
            <w:r w:rsidR="00BC4E12" w:rsidRPr="00FF2FBB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  <w:r w:rsidR="00BC4E12"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during the first 6 hours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C81F8C" w:rsidRPr="00FF2FBB">
              <w:rPr>
                <w:rFonts w:ascii="Times New Roman" w:hAnsi="Times New Roman" w:cs="Times New Roman"/>
                <w:sz w:val="16"/>
                <w:szCs w:val="16"/>
              </w:rPr>
              <w:t>e.g.,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BC4E12" w:rsidRPr="00FF2FBB">
              <w:rPr>
                <w:rFonts w:ascii="Times New Roman" w:hAnsi="Times New Roman" w:cs="Times New Roman"/>
                <w:sz w:val="16"/>
                <w:szCs w:val="16"/>
              </w:rPr>
              <w:t>Vasopressin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given), an intervention was performed (</w:t>
            </w:r>
            <w:r w:rsidR="00BC4E12" w:rsidRPr="00FF2FBB">
              <w:rPr>
                <w:rFonts w:ascii="Times New Roman" w:hAnsi="Times New Roman" w:cs="Times New Roman"/>
                <w:sz w:val="16"/>
                <w:szCs w:val="16"/>
              </w:rPr>
              <w:t>Vasopressin start within 6 hours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>) or no</w:t>
            </w:r>
            <w:r w:rsidR="00BC4E12"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vasopressin start during the follow-up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BC4E12" w:rsidRPr="00FF2FBB">
              <w:rPr>
                <w:rFonts w:ascii="Times New Roman" w:hAnsi="Times New Roman" w:cs="Times New Roman"/>
                <w:sz w:val="16"/>
                <w:szCs w:val="16"/>
              </w:rPr>
              <w:t>Never treated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). </w:t>
            </w:r>
          </w:p>
        </w:tc>
      </w:tr>
    </w:tbl>
    <w:p w14:paraId="1C64368E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4B8DA965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14A8704B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1CE8B69A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26B2051E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167B1B34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0BCF626D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tbl>
      <w:tblPr>
        <w:tblStyle w:val="ListTable2-Accent1"/>
        <w:tblW w:w="0" w:type="auto"/>
        <w:tblLook w:val="0400" w:firstRow="0" w:lastRow="0" w:firstColumn="0" w:lastColumn="0" w:noHBand="0" w:noVBand="1"/>
      </w:tblPr>
      <w:tblGrid>
        <w:gridCol w:w="3961"/>
        <w:gridCol w:w="2270"/>
        <w:gridCol w:w="3119"/>
      </w:tblGrid>
      <w:tr w:rsidR="0094499E" w:rsidRPr="00FF2FBB" w14:paraId="4222ECF4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9C7B" w14:textId="35A8FF83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</w:pPr>
            <w:bookmarkStart w:id="12" w:name="_Toc180852653"/>
            <w:bookmarkStart w:id="13" w:name="_Toc190616125"/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lastRenderedPageBreak/>
              <w:t>Table S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instrText xml:space="preserve"> SEQ Table_S \* ARABIC </w:instrTex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b/>
                <w:bCs/>
                <w:noProof/>
                <w:color w:val="C00000"/>
                <w:sz w:val="16"/>
                <w:szCs w:val="16"/>
              </w:rPr>
              <w:t>2</w:t>
            </w:r>
            <w:r w:rsidRPr="00FF2FB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.</w:t>
            </w:r>
            <w:r w:rsidRPr="00FF2FBB">
              <w:rPr>
                <w:rFonts w:ascii="Times New Roman" w:hAnsi="Times New Roman" w:cs="Times New Roman"/>
                <w:i/>
                <w:iCs/>
                <w:color w:val="C00000"/>
              </w:rPr>
              <w:t xml:space="preserve"> 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Specification of the covariate models.</w:t>
            </w:r>
            <w:bookmarkEnd w:id="12"/>
            <w:bookmarkEnd w:id="13"/>
          </w:p>
        </w:tc>
      </w:tr>
      <w:tr w:rsidR="0094499E" w:rsidRPr="00FF2FBB" w14:paraId="758AE1D3" w14:textId="77777777" w:rsidTr="0094499E"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E9376A" w14:textId="77777777" w:rsidR="0094499E" w:rsidRPr="00FF2FBB" w:rsidRDefault="0094499E" w:rsidP="0094499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  <w:t>Time-varying covariates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14:paraId="1DFFB121" w14:textId="77777777" w:rsidR="0094499E" w:rsidRPr="00FF2FBB" w:rsidRDefault="0094499E" w:rsidP="0094499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  <w:t>Distribution assumption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0DBC" w14:textId="77777777" w:rsidR="0094499E" w:rsidRPr="00FF2FBB" w:rsidRDefault="0094499E" w:rsidP="0094499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de-DE"/>
              </w:rPr>
              <w:t>Parameters of the covariate model</w:t>
            </w:r>
          </w:p>
        </w:tc>
      </w:tr>
      <w:tr w:rsidR="0094499E" w:rsidRPr="00FF2FBB" w14:paraId="427C582F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</w:tcBorders>
          </w:tcPr>
          <w:p w14:paraId="6C065782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Vasopressin</w:t>
            </w:r>
          </w:p>
        </w:tc>
        <w:tc>
          <w:tcPr>
            <w:tcW w:w="2270" w:type="dxa"/>
            <w:tcBorders>
              <w:top w:val="single" w:sz="4" w:space="0" w:color="auto"/>
            </w:tcBorders>
          </w:tcPr>
          <w:p w14:paraId="4A57F9CE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Binary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2C173D1D" w14:textId="77777777" w:rsidR="0094499E" w:rsidRPr="00FF2FBB" w:rsidRDefault="0094499E" w:rsidP="0094499E">
            <w:pPr>
              <w:numPr>
                <w:ilvl w:val="0"/>
                <w:numId w:val="9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Vasopressin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 (cumulative average)</w:t>
            </w:r>
          </w:p>
          <w:p w14:paraId="12903CE2" w14:textId="77777777" w:rsidR="0094499E" w:rsidRPr="00FF2FBB" w:rsidRDefault="0094499E" w:rsidP="0094499E">
            <w:pPr>
              <w:numPr>
                <w:ilvl w:val="0"/>
                <w:numId w:val="9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Noradrenaline equivalent dose (current value and lag 1)</w:t>
            </w:r>
          </w:p>
        </w:tc>
      </w:tr>
      <w:tr w:rsidR="0094499E" w:rsidRPr="00FF2FBB" w14:paraId="110C75D6" w14:textId="77777777" w:rsidTr="0094499E">
        <w:tc>
          <w:tcPr>
            <w:tcW w:w="3961" w:type="dxa"/>
            <w:tcBorders>
              <w:left w:val="single" w:sz="4" w:space="0" w:color="auto"/>
            </w:tcBorders>
          </w:tcPr>
          <w:p w14:paraId="374FD1C0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Inotrope</w:t>
            </w:r>
          </w:p>
        </w:tc>
        <w:tc>
          <w:tcPr>
            <w:tcW w:w="2270" w:type="dxa"/>
          </w:tcPr>
          <w:p w14:paraId="0C2E81F4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Binary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6F3C20E4" w14:textId="77777777" w:rsidR="0094499E" w:rsidRPr="00FF2FBB" w:rsidRDefault="0094499E" w:rsidP="0094499E">
            <w:pPr>
              <w:numPr>
                <w:ilvl w:val="0"/>
                <w:numId w:val="10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Inotrope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 (lag 1)</w:t>
            </w:r>
          </w:p>
          <w:p w14:paraId="70C6ADF5" w14:textId="77777777" w:rsidR="0094499E" w:rsidRPr="00FF2FBB" w:rsidRDefault="0094499E" w:rsidP="0094499E">
            <w:pPr>
              <w:numPr>
                <w:ilvl w:val="0"/>
                <w:numId w:val="10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Noradrenaline equivalent dose (current value and lag 1)</w:t>
            </w:r>
          </w:p>
        </w:tc>
      </w:tr>
      <w:tr w:rsidR="0094499E" w:rsidRPr="00FF2FBB" w14:paraId="2CE5A3DA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61" w:type="dxa"/>
            <w:tcBorders>
              <w:left w:val="single" w:sz="4" w:space="0" w:color="auto"/>
            </w:tcBorders>
          </w:tcPr>
          <w:p w14:paraId="26114086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Arterial lactate</w:t>
            </w:r>
          </w:p>
        </w:tc>
        <w:tc>
          <w:tcPr>
            <w:tcW w:w="2270" w:type="dxa"/>
          </w:tcPr>
          <w:p w14:paraId="7EE52DD7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Normal bounded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391C9727" w14:textId="77777777" w:rsidR="0094499E" w:rsidRPr="00FF2FBB" w:rsidRDefault="0094499E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Arterial lactate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 (lag 1)</w:t>
            </w:r>
          </w:p>
          <w:p w14:paraId="18DF8B5C" w14:textId="77777777" w:rsidR="0094499E" w:rsidRPr="00FF2FBB" w:rsidRDefault="0094499E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mSOFA</w:t>
            </w:r>
            <w:proofErr w:type="spellEnd"/>
          </w:p>
          <w:p w14:paraId="52F21A3E" w14:textId="77777777" w:rsidR="0094499E" w:rsidRPr="00FF2FBB" w:rsidRDefault="0094499E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Noradrenaline equivalent dose (current value and lag 1)</w:t>
            </w:r>
          </w:p>
        </w:tc>
      </w:tr>
      <w:tr w:rsidR="00E578D1" w:rsidRPr="004A22E0" w14:paraId="027AF58C" w14:textId="77777777" w:rsidTr="0094499E">
        <w:tc>
          <w:tcPr>
            <w:tcW w:w="3961" w:type="dxa"/>
            <w:tcBorders>
              <w:left w:val="single" w:sz="4" w:space="0" w:color="auto"/>
            </w:tcBorders>
          </w:tcPr>
          <w:p w14:paraId="00CBA82F" w14:textId="77777777" w:rsidR="00E578D1" w:rsidRPr="00FF2FBB" w:rsidRDefault="00E578D1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Noradrenaline equivalent dose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de-DE"/>
              </w:rPr>
              <w:t>*</w:t>
            </w:r>
          </w:p>
        </w:tc>
        <w:tc>
          <w:tcPr>
            <w:tcW w:w="2270" w:type="dxa"/>
          </w:tcPr>
          <w:p w14:paraId="1FFFB937" w14:textId="77777777" w:rsidR="00E578D1" w:rsidRPr="00FF2FBB" w:rsidRDefault="00E578D1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Normal bounded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307137EB" w14:textId="77777777" w:rsidR="00E578D1" w:rsidRPr="00FF2FBB" w:rsidRDefault="00E578D1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fr-FR" w:eastAsia="de-DE"/>
              </w:rPr>
            </w:pP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val="fr-FR" w:eastAsia="de-DE"/>
              </w:rPr>
              <w:t>Noradrenaline</w:t>
            </w:r>
            <w:proofErr w:type="spellEnd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val="fr-FR" w:eastAsia="de-DE"/>
              </w:rPr>
              <w:t xml:space="preserve"> </w:t>
            </w: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val="fr-FR" w:eastAsia="de-DE"/>
              </w:rPr>
              <w:t>equivalent</w:t>
            </w:r>
            <w:proofErr w:type="spellEnd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val="fr-FR" w:eastAsia="de-DE"/>
              </w:rPr>
              <w:t xml:space="preserve"> dose cumulative </w:t>
            </w: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val="fr-FR" w:eastAsia="de-DE"/>
              </w:rPr>
              <w:t>average</w:t>
            </w:r>
            <w:proofErr w:type="spellEnd"/>
          </w:p>
        </w:tc>
      </w:tr>
      <w:tr w:rsidR="0094499E" w:rsidRPr="00FF2FBB" w14:paraId="0369A35E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61" w:type="dxa"/>
            <w:tcBorders>
              <w:left w:val="single" w:sz="4" w:space="0" w:color="auto"/>
              <w:bottom w:val="single" w:sz="4" w:space="0" w:color="auto"/>
            </w:tcBorders>
          </w:tcPr>
          <w:p w14:paraId="422ABC69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mSOFA</w:t>
            </w:r>
            <w:proofErr w:type="spellEnd"/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7C8AE158" w14:textId="77777777" w:rsidR="0094499E" w:rsidRPr="00FF2FBB" w:rsidRDefault="0094499E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Normal bounded</w:t>
            </w: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14:paraId="76F3FA48" w14:textId="77777777" w:rsidR="0094499E" w:rsidRPr="00FF2FBB" w:rsidRDefault="0094499E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mSOFA</w:t>
            </w:r>
            <w:proofErr w:type="spellEnd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 Cumulative average (lag 1) </w:t>
            </w:r>
          </w:p>
          <w:p w14:paraId="08D58C07" w14:textId="77777777" w:rsidR="0094499E" w:rsidRPr="00FF2FBB" w:rsidRDefault="0094499E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APACHE III score</w:t>
            </w:r>
          </w:p>
        </w:tc>
      </w:tr>
      <w:tr w:rsidR="00FF2FBB" w:rsidRPr="00FF2FBB" w14:paraId="2C9A9C52" w14:textId="77777777" w:rsidTr="0094499E">
        <w:tc>
          <w:tcPr>
            <w:tcW w:w="3961" w:type="dxa"/>
            <w:tcBorders>
              <w:left w:val="single" w:sz="4" w:space="0" w:color="auto"/>
              <w:bottom w:val="single" w:sz="4" w:space="0" w:color="auto"/>
            </w:tcBorders>
          </w:tcPr>
          <w:p w14:paraId="06ACF0D1" w14:textId="77777777" w:rsidR="00FF2FBB" w:rsidRPr="00FF2FBB" w:rsidRDefault="00FF2FBB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30-day ICU mortality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339F4716" w14:textId="77777777" w:rsidR="00FF2FBB" w:rsidRPr="00FF2FBB" w:rsidRDefault="00FF2FBB" w:rsidP="00D64269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Binary</w:t>
            </w: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14:paraId="0076E393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APACHE III score</w:t>
            </w:r>
          </w:p>
          <w:p w14:paraId="6C0523F0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Invasive mechanical ventilation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de-CH"/>
              </w:rPr>
              <w:t>*</w:t>
            </w:r>
          </w:p>
          <w:p w14:paraId="1C40AE78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Renal replacement therapy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de-CH"/>
              </w:rPr>
              <w:t>*</w:t>
            </w:r>
          </w:p>
          <w:p w14:paraId="7871EF68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Age</w:t>
            </w:r>
          </w:p>
          <w:p w14:paraId="45FA635D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Sex</w:t>
            </w:r>
          </w:p>
          <w:p w14:paraId="31C2C6EB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Noradrenaline equivalent dose (current value and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cumulative average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)</w:t>
            </w:r>
          </w:p>
          <w:p w14:paraId="185600F0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Inotrope use (current value)</w:t>
            </w:r>
          </w:p>
          <w:p w14:paraId="366EA951" w14:textId="77777777" w:rsid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Arterial lactate (current value)</w:t>
            </w:r>
          </w:p>
          <w:p w14:paraId="4E624FC2" w14:textId="77777777" w:rsidR="00FF2FBB" w:rsidRPr="00FF2FBB" w:rsidRDefault="00FF2FBB" w:rsidP="0094499E">
            <w:pPr>
              <w:numPr>
                <w:ilvl w:val="0"/>
                <w:numId w:val="11"/>
              </w:numPr>
              <w:spacing w:line="276" w:lineRule="auto"/>
              <w:ind w:left="184" w:hanging="1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>mSOFA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CH"/>
              </w:rPr>
              <w:t xml:space="preserve"> (current value)</w:t>
            </w:r>
          </w:p>
        </w:tc>
      </w:tr>
      <w:tr w:rsidR="0094499E" w:rsidRPr="00FF2FBB" w14:paraId="62285011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6BBD45" w14:textId="77777777" w:rsidR="0094499E" w:rsidRPr="00FF2FBB" w:rsidRDefault="0094499E" w:rsidP="00D64269">
            <w:pPr>
              <w:spacing w:line="259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Abbreviations: </w:t>
            </w:r>
            <w:proofErr w:type="spellStart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mSOFA</w:t>
            </w:r>
            <w:proofErr w:type="spellEnd"/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, modified s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equential organ failure assessment (total SOFA score without the cardiovascular component); APACHE, Acute Physiology </w:t>
            </w:r>
            <w:r w:rsidR="0069231F" w:rsidRPr="00FF2FBB"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r w:rsidRPr="00FF2FBB">
              <w:rPr>
                <w:rFonts w:ascii="Times New Roman" w:hAnsi="Times New Roman" w:cs="Times New Roman"/>
                <w:sz w:val="16"/>
                <w:szCs w:val="16"/>
              </w:rPr>
              <w:t xml:space="preserve"> Chronic Health Evaluation.</w:t>
            </w:r>
          </w:p>
          <w:p w14:paraId="3A48E4D8" w14:textId="77777777" w:rsidR="0094499E" w:rsidRDefault="0094499E" w:rsidP="00D64269">
            <w:pPr>
              <w:spacing w:line="259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All covariate models included time as a parameter with </w:t>
            </w:r>
            <w:r w:rsidR="0069231F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a 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flexible function form. Lag 1 and values represent the first lag of the covariate relative to </w:t>
            </w:r>
            <w:r w:rsidR="0069231F"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 xml:space="preserve">the </w:t>
            </w: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current time.</w:t>
            </w:r>
          </w:p>
          <w:p w14:paraId="19801813" w14:textId="77777777" w:rsidR="00FF2FBB" w:rsidRPr="00FF2FBB" w:rsidRDefault="00FF2FBB" w:rsidP="00D64269">
            <w:pPr>
              <w:spacing w:line="259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F2FBB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de-DE"/>
              </w:rPr>
              <w:t>*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Within 6 hours of ICU admission</w:t>
            </w:r>
          </w:p>
        </w:tc>
      </w:tr>
    </w:tbl>
    <w:p w14:paraId="3F947ABC" w14:textId="77777777" w:rsidR="007F3158" w:rsidRPr="00FF2FBB" w:rsidRDefault="007F3158" w:rsidP="00F24CC8">
      <w:pPr>
        <w:pStyle w:val="BodyText"/>
        <w:rPr>
          <w:rFonts w:ascii="Times New Roman" w:hAnsi="Times New Roman" w:cs="Times New Roman"/>
        </w:rPr>
      </w:pPr>
    </w:p>
    <w:p w14:paraId="3E3560FA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3AAC2935" w14:textId="77777777" w:rsidR="004A22E0" w:rsidRDefault="004A22E0" w:rsidP="004A22E0">
      <w:pPr>
        <w:rPr>
          <w:rFonts w:ascii="Times New Roman" w:hAnsi="Times New Roman" w:cs="Times New Roman"/>
          <w:b/>
          <w:bCs/>
        </w:rPr>
      </w:pPr>
    </w:p>
    <w:p w14:paraId="4A39FA01" w14:textId="77777777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75FC3C8B" w14:textId="77777777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1CB0B439" w14:textId="77777777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630ABAF0" w14:textId="77777777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34AF7A1D" w14:textId="77777777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6E06CF66" w14:textId="77777777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008A36BC" w14:textId="77777777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6CD179AA" w14:textId="164F700C" w:rsidR="004A22E0" w:rsidRDefault="004A22E0" w:rsidP="004A22E0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lastRenderedPageBreak/>
        <w:t xml:space="preserve">Baseline missing variables were minimal and imputed using multiple imputation. Missing time-varying variable were then imputed by carrying the last observation forward. Table S3 displays the rate of missing baseline variables. Figure S10 shows the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mean time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</w:rPr>
        <w:t xml:space="preserve"> course of imputed and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non imputed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</w:rPr>
        <w:t xml:space="preserve"> datasets. </w:t>
      </w:r>
    </w:p>
    <w:tbl>
      <w:tblPr>
        <w:tblStyle w:val="ListTable2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00" w:firstRow="0" w:lastRow="0" w:firstColumn="0" w:lastColumn="0" w:noHBand="0" w:noVBand="1"/>
      </w:tblPr>
      <w:tblGrid>
        <w:gridCol w:w="4791"/>
        <w:gridCol w:w="2158"/>
        <w:gridCol w:w="1238"/>
        <w:gridCol w:w="1163"/>
      </w:tblGrid>
      <w:tr w:rsidR="004A22E0" w:rsidRPr="00C96625" w14:paraId="0A70563E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564FF" w14:textId="53908499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14" w:name="_Toc184761418"/>
            <w:bookmarkStart w:id="15" w:name="_Toc190616126"/>
            <w:r w:rsidRPr="00C9662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Table S</w:t>
            </w:r>
            <w:r w:rsidRPr="00C9662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begin"/>
            </w:r>
            <w:r w:rsidRPr="00C9662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instrText xml:space="preserve"> SEQ Table_S \* ARABIC </w:instrText>
            </w:r>
            <w:r w:rsidRPr="00C9662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color w:val="C00000"/>
                <w:sz w:val="16"/>
                <w:szCs w:val="16"/>
              </w:rPr>
              <w:t>3</w:t>
            </w:r>
            <w:r w:rsidRPr="00C9662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fldChar w:fldCharType="end"/>
            </w:r>
            <w:r w:rsidRPr="00C96625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.</w:t>
            </w:r>
            <w:r w:rsidRPr="00C96625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 </w:t>
            </w:r>
            <w:r w:rsidRPr="00C96625">
              <w:rPr>
                <w:rFonts w:ascii="Times New Roman" w:hAnsi="Times New Roman" w:cs="Times New Roman"/>
                <w:bCs/>
                <w:sz w:val="16"/>
                <w:szCs w:val="16"/>
              </w:rPr>
              <w:t>Baseline characteristics and intervention of eligible cohort</w:t>
            </w:r>
            <w:bookmarkEnd w:id="14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before and after imputation</w:t>
            </w:r>
            <w:bookmarkEnd w:id="15"/>
          </w:p>
        </w:tc>
      </w:tr>
      <w:tr w:rsidR="004A22E0" w:rsidRPr="00C96625" w14:paraId="1A3900BB" w14:textId="77777777" w:rsidTr="002D231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94691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b/>
                <w:sz w:val="16"/>
                <w:szCs w:val="16"/>
              </w:rPr>
              <w:t>Variable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4EB7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Number of </w:t>
            </w:r>
            <w:proofErr w:type="spellStart"/>
            <w:r w:rsidRPr="00C96625">
              <w:rPr>
                <w:rFonts w:ascii="Times New Roman" w:hAnsi="Times New Roman" w:cs="Times New Roman"/>
                <w:b/>
                <w:sz w:val="16"/>
                <w:szCs w:val="16"/>
              </w:rPr>
              <w:t>non missing</w:t>
            </w:r>
            <w:proofErr w:type="spellEnd"/>
            <w:r w:rsidRPr="00C966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data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8FB74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b/>
                <w:sz w:val="16"/>
                <w:szCs w:val="16"/>
              </w:rPr>
              <w:t>Before imputation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39432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b/>
                <w:sz w:val="16"/>
                <w:szCs w:val="16"/>
              </w:rPr>
              <w:t>After imputation</w:t>
            </w:r>
          </w:p>
        </w:tc>
      </w:tr>
      <w:tr w:rsidR="004A22E0" w:rsidRPr="00C96625" w14:paraId="6D127BFC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7DDD31D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Age (years), Mean ± SD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3F8B675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677C85D0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62 ± 16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2F26583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62 ± 16</w:t>
            </w:r>
          </w:p>
        </w:tc>
      </w:tr>
      <w:tr w:rsidR="004A22E0" w:rsidRPr="00C96625" w14:paraId="5FCCE61A" w14:textId="77777777" w:rsidTr="002D2319">
        <w:tc>
          <w:tcPr>
            <w:tcW w:w="0" w:type="auto"/>
            <w:vAlign w:val="center"/>
          </w:tcPr>
          <w:p w14:paraId="792B5C1E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Sex female, n (%)</w:t>
            </w:r>
          </w:p>
        </w:tc>
        <w:tc>
          <w:tcPr>
            <w:tcW w:w="0" w:type="auto"/>
            <w:vAlign w:val="center"/>
          </w:tcPr>
          <w:p w14:paraId="0F79E88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52DB5A9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1,216 (40)</w:t>
            </w:r>
          </w:p>
        </w:tc>
        <w:tc>
          <w:tcPr>
            <w:tcW w:w="1161" w:type="dxa"/>
            <w:vAlign w:val="center"/>
          </w:tcPr>
          <w:p w14:paraId="442F25E0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1,230 (40)</w:t>
            </w:r>
          </w:p>
        </w:tc>
      </w:tr>
      <w:tr w:rsidR="004A22E0" w:rsidRPr="00C96625" w14:paraId="78D8B792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52A46A95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Body mass index (kg.m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-2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), Mean ± SD</w:t>
            </w:r>
          </w:p>
        </w:tc>
        <w:tc>
          <w:tcPr>
            <w:tcW w:w="0" w:type="auto"/>
            <w:vAlign w:val="center"/>
          </w:tcPr>
          <w:p w14:paraId="0899A8A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3,102</w:t>
            </w:r>
          </w:p>
        </w:tc>
        <w:tc>
          <w:tcPr>
            <w:tcW w:w="1236" w:type="dxa"/>
            <w:vAlign w:val="center"/>
          </w:tcPr>
          <w:p w14:paraId="09E6DB7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30 ± 9</w:t>
            </w:r>
          </w:p>
        </w:tc>
        <w:tc>
          <w:tcPr>
            <w:tcW w:w="1161" w:type="dxa"/>
            <w:vAlign w:val="center"/>
          </w:tcPr>
          <w:p w14:paraId="787D454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30 ± 9</w:t>
            </w:r>
          </w:p>
        </w:tc>
      </w:tr>
      <w:tr w:rsidR="004A22E0" w:rsidRPr="00C96625" w14:paraId="68200768" w14:textId="77777777" w:rsidTr="002D2319">
        <w:tc>
          <w:tcPr>
            <w:tcW w:w="0" w:type="auto"/>
            <w:vAlign w:val="center"/>
          </w:tcPr>
          <w:p w14:paraId="2D074E02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Chronic respiratory disease, n (%)</w:t>
            </w:r>
          </w:p>
        </w:tc>
        <w:tc>
          <w:tcPr>
            <w:tcW w:w="0" w:type="auto"/>
            <w:vAlign w:val="center"/>
          </w:tcPr>
          <w:p w14:paraId="0C4860D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4FB8083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143 (4.7)</w:t>
            </w:r>
          </w:p>
        </w:tc>
        <w:tc>
          <w:tcPr>
            <w:tcW w:w="1161" w:type="dxa"/>
            <w:vAlign w:val="center"/>
          </w:tcPr>
          <w:p w14:paraId="621F5C2D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146 (4.7)</w:t>
            </w:r>
          </w:p>
        </w:tc>
      </w:tr>
      <w:tr w:rsidR="004A22E0" w:rsidRPr="00C96625" w14:paraId="77E0526A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2FC9118D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Chronic cardiovascular disease, n (%)</w:t>
            </w:r>
          </w:p>
        </w:tc>
        <w:tc>
          <w:tcPr>
            <w:tcW w:w="0" w:type="auto"/>
            <w:vAlign w:val="center"/>
          </w:tcPr>
          <w:p w14:paraId="4FB30FDC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23744942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95 (3.1)</w:t>
            </w:r>
          </w:p>
        </w:tc>
        <w:tc>
          <w:tcPr>
            <w:tcW w:w="1161" w:type="dxa"/>
            <w:vAlign w:val="center"/>
          </w:tcPr>
          <w:p w14:paraId="3F2B36C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98 (3.2)</w:t>
            </w:r>
          </w:p>
        </w:tc>
      </w:tr>
      <w:tr w:rsidR="004A22E0" w:rsidRPr="00C96625" w14:paraId="4624EFAE" w14:textId="77777777" w:rsidTr="002D2319">
        <w:tc>
          <w:tcPr>
            <w:tcW w:w="0" w:type="auto"/>
            <w:vAlign w:val="center"/>
          </w:tcPr>
          <w:p w14:paraId="73C6B792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Chronic liver disease, n (%)</w:t>
            </w:r>
          </w:p>
        </w:tc>
        <w:tc>
          <w:tcPr>
            <w:tcW w:w="0" w:type="auto"/>
            <w:vAlign w:val="center"/>
          </w:tcPr>
          <w:p w14:paraId="297D610A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4A007FF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175 (5.7)</w:t>
            </w:r>
          </w:p>
        </w:tc>
        <w:tc>
          <w:tcPr>
            <w:tcW w:w="1161" w:type="dxa"/>
            <w:vAlign w:val="center"/>
          </w:tcPr>
          <w:p w14:paraId="103B186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177 (5.7)</w:t>
            </w:r>
          </w:p>
        </w:tc>
      </w:tr>
      <w:tr w:rsidR="004A22E0" w:rsidRPr="00C96625" w14:paraId="418D377A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120BB723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Diabetes, n (%)</w:t>
            </w:r>
          </w:p>
        </w:tc>
        <w:tc>
          <w:tcPr>
            <w:tcW w:w="0" w:type="auto"/>
            <w:vAlign w:val="center"/>
          </w:tcPr>
          <w:p w14:paraId="667D73C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75CFB71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109 (3.6)</w:t>
            </w:r>
          </w:p>
        </w:tc>
        <w:tc>
          <w:tcPr>
            <w:tcW w:w="1161" w:type="dxa"/>
            <w:vAlign w:val="center"/>
          </w:tcPr>
          <w:p w14:paraId="3CAFDBBA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112 (3.6)</w:t>
            </w:r>
          </w:p>
        </w:tc>
      </w:tr>
      <w:tr w:rsidR="004A22E0" w:rsidRPr="00C96625" w14:paraId="446C095B" w14:textId="77777777" w:rsidTr="002D2319">
        <w:tc>
          <w:tcPr>
            <w:tcW w:w="0" w:type="auto"/>
            <w:vAlign w:val="center"/>
          </w:tcPr>
          <w:p w14:paraId="6196130B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Chronic immunosuppression, n (%)</w:t>
            </w:r>
          </w:p>
        </w:tc>
        <w:tc>
          <w:tcPr>
            <w:tcW w:w="0" w:type="auto"/>
            <w:vAlign w:val="center"/>
          </w:tcPr>
          <w:p w14:paraId="55657106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2FADDFD4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534 (17)</w:t>
            </w:r>
          </w:p>
        </w:tc>
        <w:tc>
          <w:tcPr>
            <w:tcW w:w="1161" w:type="dxa"/>
            <w:vAlign w:val="center"/>
          </w:tcPr>
          <w:p w14:paraId="3C708A0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543 (17)</w:t>
            </w:r>
          </w:p>
        </w:tc>
      </w:tr>
      <w:tr w:rsidR="004A22E0" w:rsidRPr="00C96625" w14:paraId="4D551584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7FAFC797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Hemopathy, n (%)</w:t>
            </w:r>
          </w:p>
        </w:tc>
        <w:tc>
          <w:tcPr>
            <w:tcW w:w="0" w:type="auto"/>
            <w:vAlign w:val="center"/>
          </w:tcPr>
          <w:p w14:paraId="1588DC6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3E7C082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217 (7.1)</w:t>
            </w:r>
          </w:p>
        </w:tc>
        <w:tc>
          <w:tcPr>
            <w:tcW w:w="1161" w:type="dxa"/>
            <w:vAlign w:val="center"/>
          </w:tcPr>
          <w:p w14:paraId="3751848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221 (7.1)</w:t>
            </w:r>
          </w:p>
        </w:tc>
      </w:tr>
      <w:tr w:rsidR="004A22E0" w:rsidRPr="00C96625" w14:paraId="7EB3547F" w14:textId="77777777" w:rsidTr="002D2319">
        <w:tc>
          <w:tcPr>
            <w:tcW w:w="0" w:type="auto"/>
            <w:vAlign w:val="center"/>
          </w:tcPr>
          <w:p w14:paraId="54273BD3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Metastatic cancer, n (%)</w:t>
            </w:r>
          </w:p>
        </w:tc>
        <w:tc>
          <w:tcPr>
            <w:tcW w:w="0" w:type="auto"/>
            <w:vAlign w:val="center"/>
          </w:tcPr>
          <w:p w14:paraId="002EE37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21D8656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98 (3.2)</w:t>
            </w:r>
          </w:p>
        </w:tc>
        <w:tc>
          <w:tcPr>
            <w:tcW w:w="1161" w:type="dxa"/>
            <w:vAlign w:val="center"/>
          </w:tcPr>
          <w:p w14:paraId="05B7FEB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100 (3.2)</w:t>
            </w:r>
          </w:p>
        </w:tc>
      </w:tr>
      <w:tr w:rsidR="004A22E0" w:rsidRPr="00C96625" w14:paraId="0810AFE7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40BD77CF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APACHE III score, Mean ± SD</w:t>
            </w:r>
          </w:p>
        </w:tc>
        <w:tc>
          <w:tcPr>
            <w:tcW w:w="0" w:type="auto"/>
            <w:vAlign w:val="center"/>
          </w:tcPr>
          <w:p w14:paraId="3FAA1ACA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7BD28202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83 ± 29</w:t>
            </w:r>
          </w:p>
        </w:tc>
        <w:tc>
          <w:tcPr>
            <w:tcW w:w="1161" w:type="dxa"/>
            <w:vAlign w:val="center"/>
          </w:tcPr>
          <w:p w14:paraId="55D283A2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83 ± 29</w:t>
            </w:r>
          </w:p>
        </w:tc>
      </w:tr>
      <w:tr w:rsidR="004A22E0" w:rsidRPr="00C96625" w14:paraId="00F149E6" w14:textId="77777777" w:rsidTr="002D2319">
        <w:tc>
          <w:tcPr>
            <w:tcW w:w="0" w:type="auto"/>
            <w:vAlign w:val="center"/>
          </w:tcPr>
          <w:p w14:paraId="0338E06D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APACHE III risk of death, Mean ± SD</w:t>
            </w:r>
          </w:p>
        </w:tc>
        <w:tc>
          <w:tcPr>
            <w:tcW w:w="0" w:type="auto"/>
            <w:vAlign w:val="center"/>
          </w:tcPr>
          <w:p w14:paraId="38066F3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3,052</w:t>
            </w:r>
          </w:p>
        </w:tc>
        <w:tc>
          <w:tcPr>
            <w:tcW w:w="1236" w:type="dxa"/>
            <w:vAlign w:val="center"/>
          </w:tcPr>
          <w:p w14:paraId="69E584F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0.40 ± 0.27</w:t>
            </w:r>
          </w:p>
        </w:tc>
        <w:tc>
          <w:tcPr>
            <w:tcW w:w="1161" w:type="dxa"/>
            <w:vAlign w:val="center"/>
          </w:tcPr>
          <w:p w14:paraId="252B15D5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40 ± 27</w:t>
            </w:r>
          </w:p>
        </w:tc>
      </w:tr>
      <w:tr w:rsidR="004A22E0" w:rsidRPr="00C96625" w14:paraId="370F357C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43ACB4E7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SOFA score, Mean ± SD</w:t>
            </w:r>
          </w:p>
        </w:tc>
        <w:tc>
          <w:tcPr>
            <w:tcW w:w="0" w:type="auto"/>
            <w:vAlign w:val="center"/>
          </w:tcPr>
          <w:p w14:paraId="53A4CC2C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2,060</w:t>
            </w:r>
          </w:p>
        </w:tc>
        <w:tc>
          <w:tcPr>
            <w:tcW w:w="1236" w:type="dxa"/>
            <w:vAlign w:val="center"/>
          </w:tcPr>
          <w:p w14:paraId="74399982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7.3 ± 3.1</w:t>
            </w:r>
          </w:p>
        </w:tc>
        <w:tc>
          <w:tcPr>
            <w:tcW w:w="1161" w:type="dxa"/>
            <w:vAlign w:val="center"/>
          </w:tcPr>
          <w:p w14:paraId="60C31526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7.0 ± 3.1</w:t>
            </w:r>
          </w:p>
        </w:tc>
      </w:tr>
      <w:tr w:rsidR="004A22E0" w:rsidRPr="00C96625" w14:paraId="177A4CB9" w14:textId="77777777" w:rsidTr="002D2319">
        <w:tc>
          <w:tcPr>
            <w:tcW w:w="0" w:type="auto"/>
            <w:vAlign w:val="center"/>
          </w:tcPr>
          <w:p w14:paraId="5D83B85A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Maximum noradrenaline dose (µg.kg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.min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) at 6h, Median (Q1 - Q3)</w:t>
            </w:r>
          </w:p>
        </w:tc>
        <w:tc>
          <w:tcPr>
            <w:tcW w:w="0" w:type="auto"/>
            <w:vAlign w:val="center"/>
          </w:tcPr>
          <w:p w14:paraId="21443A86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5185FAC0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0.15 (0.06 - 0.28)</w:t>
            </w:r>
          </w:p>
        </w:tc>
        <w:tc>
          <w:tcPr>
            <w:tcW w:w="1161" w:type="dxa"/>
            <w:vAlign w:val="center"/>
          </w:tcPr>
          <w:p w14:paraId="1BF169F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0.15 (0.06 - 0.28)</w:t>
            </w:r>
          </w:p>
        </w:tc>
      </w:tr>
      <w:tr w:rsidR="004A22E0" w:rsidRPr="00C96625" w14:paraId="5FE0403C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49DE0696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Invasive ventilation at 6h, n (%)</w:t>
            </w:r>
          </w:p>
        </w:tc>
        <w:tc>
          <w:tcPr>
            <w:tcW w:w="0" w:type="auto"/>
            <w:vAlign w:val="center"/>
          </w:tcPr>
          <w:p w14:paraId="65AF76DD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176FFC5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1,864 (60)</w:t>
            </w:r>
          </w:p>
        </w:tc>
        <w:tc>
          <w:tcPr>
            <w:tcW w:w="1161" w:type="dxa"/>
            <w:vAlign w:val="center"/>
          </w:tcPr>
          <w:p w14:paraId="3E30595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1,864 (60)</w:t>
            </w:r>
          </w:p>
        </w:tc>
      </w:tr>
      <w:tr w:rsidR="004A22E0" w:rsidRPr="00C96625" w14:paraId="026B1CD1" w14:textId="77777777" w:rsidTr="002D2319">
        <w:tc>
          <w:tcPr>
            <w:tcW w:w="0" w:type="auto"/>
            <w:vAlign w:val="center"/>
          </w:tcPr>
          <w:p w14:paraId="390D31A3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CRRT at 6h, n (%)</w:t>
            </w:r>
          </w:p>
        </w:tc>
        <w:tc>
          <w:tcPr>
            <w:tcW w:w="0" w:type="auto"/>
            <w:vAlign w:val="center"/>
          </w:tcPr>
          <w:p w14:paraId="4A360D0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169DFAEB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109 (3.5)</w:t>
            </w:r>
          </w:p>
        </w:tc>
        <w:tc>
          <w:tcPr>
            <w:tcW w:w="1161" w:type="dxa"/>
            <w:vAlign w:val="center"/>
          </w:tcPr>
          <w:p w14:paraId="45AFC025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109 (3.5)</w:t>
            </w:r>
          </w:p>
        </w:tc>
      </w:tr>
      <w:tr w:rsidR="004A22E0" w:rsidRPr="00C96625" w14:paraId="322BCCAB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623D3B71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Peak lactate at 6h, </w:t>
            </w:r>
            <w:proofErr w:type="gramStart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mmol.L</w:t>
            </w:r>
            <w:proofErr w:type="gramEnd"/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, Mean ± SD</w:t>
            </w:r>
          </w:p>
        </w:tc>
        <w:tc>
          <w:tcPr>
            <w:tcW w:w="0" w:type="auto"/>
            <w:vAlign w:val="center"/>
          </w:tcPr>
          <w:p w14:paraId="621E3CC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3D0DE619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4.50 ± 3.23</w:t>
            </w:r>
          </w:p>
        </w:tc>
        <w:tc>
          <w:tcPr>
            <w:tcW w:w="1161" w:type="dxa"/>
            <w:vAlign w:val="center"/>
          </w:tcPr>
          <w:p w14:paraId="59411E14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4.5 ± 3.2</w:t>
            </w:r>
          </w:p>
        </w:tc>
      </w:tr>
      <w:tr w:rsidR="004A22E0" w:rsidRPr="00C96625" w14:paraId="5FDB0311" w14:textId="77777777" w:rsidTr="002D2319">
        <w:tc>
          <w:tcPr>
            <w:tcW w:w="0" w:type="auto"/>
            <w:vAlign w:val="center"/>
          </w:tcPr>
          <w:p w14:paraId="55578912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Nadir pH at 6h, Mean ± SD</w:t>
            </w:r>
          </w:p>
        </w:tc>
        <w:tc>
          <w:tcPr>
            <w:tcW w:w="0" w:type="auto"/>
            <w:vAlign w:val="center"/>
          </w:tcPr>
          <w:p w14:paraId="1A326649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1A8AC3D5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7.23 ± 0.14</w:t>
            </w:r>
          </w:p>
        </w:tc>
        <w:tc>
          <w:tcPr>
            <w:tcW w:w="1161" w:type="dxa"/>
            <w:vAlign w:val="center"/>
          </w:tcPr>
          <w:p w14:paraId="5887768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7.23 ± 0.14</w:t>
            </w:r>
          </w:p>
        </w:tc>
      </w:tr>
      <w:tr w:rsidR="004A22E0" w:rsidRPr="00C96625" w14:paraId="6197A5E9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70117DD6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Peak serum creatinine at 6h, </w:t>
            </w:r>
            <w:proofErr w:type="gramStart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µmol.L</w:t>
            </w:r>
            <w:proofErr w:type="gramEnd"/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, Median (Q1 - Q3)</w:t>
            </w:r>
          </w:p>
        </w:tc>
        <w:tc>
          <w:tcPr>
            <w:tcW w:w="0" w:type="auto"/>
            <w:vAlign w:val="center"/>
          </w:tcPr>
          <w:p w14:paraId="6A1572B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2,803</w:t>
            </w:r>
          </w:p>
        </w:tc>
        <w:tc>
          <w:tcPr>
            <w:tcW w:w="1236" w:type="dxa"/>
            <w:vAlign w:val="center"/>
          </w:tcPr>
          <w:p w14:paraId="53DE35E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143 (95 - 222)</w:t>
            </w:r>
          </w:p>
        </w:tc>
        <w:tc>
          <w:tcPr>
            <w:tcW w:w="1161" w:type="dxa"/>
            <w:vAlign w:val="center"/>
          </w:tcPr>
          <w:p w14:paraId="0EC61EC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142 (94 - 222)</w:t>
            </w:r>
          </w:p>
        </w:tc>
      </w:tr>
      <w:tr w:rsidR="004A22E0" w:rsidRPr="00C96625" w14:paraId="249035C9" w14:textId="77777777" w:rsidTr="002D2319">
        <w:tc>
          <w:tcPr>
            <w:tcW w:w="0" w:type="auto"/>
            <w:vAlign w:val="center"/>
          </w:tcPr>
          <w:p w14:paraId="11C4D1E2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Peak white cell </w:t>
            </w:r>
            <w:proofErr w:type="gramStart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  <w:proofErr w:type="gramEnd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 at 6h, 10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9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.L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, Mean ± SD</w:t>
            </w:r>
          </w:p>
        </w:tc>
        <w:tc>
          <w:tcPr>
            <w:tcW w:w="0" w:type="auto"/>
            <w:vAlign w:val="center"/>
          </w:tcPr>
          <w:p w14:paraId="46B496B4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2,761</w:t>
            </w:r>
          </w:p>
        </w:tc>
        <w:tc>
          <w:tcPr>
            <w:tcW w:w="1236" w:type="dxa"/>
            <w:vAlign w:val="center"/>
          </w:tcPr>
          <w:p w14:paraId="19065BCC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18 ± 14</w:t>
            </w:r>
          </w:p>
        </w:tc>
        <w:tc>
          <w:tcPr>
            <w:tcW w:w="1161" w:type="dxa"/>
            <w:vAlign w:val="center"/>
          </w:tcPr>
          <w:p w14:paraId="23FC63DF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17 ± 14</w:t>
            </w:r>
          </w:p>
        </w:tc>
      </w:tr>
      <w:tr w:rsidR="004A22E0" w:rsidRPr="00C96625" w14:paraId="42A84A67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4B6C1658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Invasive ventilation at 24h, n (%)</w:t>
            </w:r>
          </w:p>
        </w:tc>
        <w:tc>
          <w:tcPr>
            <w:tcW w:w="0" w:type="auto"/>
            <w:vAlign w:val="center"/>
          </w:tcPr>
          <w:p w14:paraId="0CA1FBE6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3D49566F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1,920 (62)</w:t>
            </w:r>
          </w:p>
        </w:tc>
        <w:tc>
          <w:tcPr>
            <w:tcW w:w="1161" w:type="dxa"/>
            <w:vAlign w:val="center"/>
          </w:tcPr>
          <w:p w14:paraId="4185BCC9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1,920 (62)</w:t>
            </w:r>
          </w:p>
        </w:tc>
      </w:tr>
      <w:tr w:rsidR="004A22E0" w:rsidRPr="00C96625" w14:paraId="3CCC9BC1" w14:textId="77777777" w:rsidTr="002D2319">
        <w:tc>
          <w:tcPr>
            <w:tcW w:w="0" w:type="auto"/>
            <w:vAlign w:val="center"/>
          </w:tcPr>
          <w:p w14:paraId="4D3B3406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CRRT at 24h, n (%)</w:t>
            </w:r>
          </w:p>
        </w:tc>
        <w:tc>
          <w:tcPr>
            <w:tcW w:w="0" w:type="auto"/>
            <w:vAlign w:val="center"/>
          </w:tcPr>
          <w:p w14:paraId="7347A584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1EA5A2E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317 (10)</w:t>
            </w:r>
          </w:p>
        </w:tc>
        <w:tc>
          <w:tcPr>
            <w:tcW w:w="1161" w:type="dxa"/>
            <w:vAlign w:val="center"/>
          </w:tcPr>
          <w:p w14:paraId="53674B9D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317 (10)</w:t>
            </w:r>
          </w:p>
        </w:tc>
      </w:tr>
      <w:tr w:rsidR="004A22E0" w:rsidRPr="00C96625" w14:paraId="687C1786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10800D2A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Maximum noradrenaline dose (µg.kg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.min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) at 24h, Median (Q1 - Q3)</w:t>
            </w:r>
          </w:p>
        </w:tc>
        <w:tc>
          <w:tcPr>
            <w:tcW w:w="0" w:type="auto"/>
            <w:vAlign w:val="center"/>
          </w:tcPr>
          <w:p w14:paraId="1B85B3C4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734E1FD2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0.17 (0.07 - 0.32)</w:t>
            </w:r>
          </w:p>
        </w:tc>
        <w:tc>
          <w:tcPr>
            <w:tcW w:w="1161" w:type="dxa"/>
            <w:vAlign w:val="center"/>
          </w:tcPr>
          <w:p w14:paraId="1727AF4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0.17 (0.07 - 0.32)</w:t>
            </w:r>
          </w:p>
        </w:tc>
      </w:tr>
      <w:tr w:rsidR="004A22E0" w:rsidRPr="00C96625" w14:paraId="1790C844" w14:textId="77777777" w:rsidTr="002D2319">
        <w:tc>
          <w:tcPr>
            <w:tcW w:w="0" w:type="auto"/>
            <w:vAlign w:val="center"/>
          </w:tcPr>
          <w:p w14:paraId="7B9F5C9F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Peak lactate at 24h, </w:t>
            </w:r>
            <w:proofErr w:type="gramStart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mmol.L</w:t>
            </w:r>
            <w:proofErr w:type="gramEnd"/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, Mean ± SD</w:t>
            </w:r>
          </w:p>
        </w:tc>
        <w:tc>
          <w:tcPr>
            <w:tcW w:w="0" w:type="auto"/>
            <w:vAlign w:val="center"/>
          </w:tcPr>
          <w:p w14:paraId="2BB1440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4A8AF17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5.0 ± 3.6</w:t>
            </w:r>
          </w:p>
        </w:tc>
        <w:tc>
          <w:tcPr>
            <w:tcW w:w="1161" w:type="dxa"/>
            <w:vAlign w:val="center"/>
          </w:tcPr>
          <w:p w14:paraId="4F5F56C6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5.0 ± 3.6</w:t>
            </w:r>
          </w:p>
        </w:tc>
      </w:tr>
      <w:tr w:rsidR="004A22E0" w:rsidRPr="00C96625" w14:paraId="0B038CC6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285FA67B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Nadir pH at 24h, Mean ± SD</w:t>
            </w:r>
          </w:p>
        </w:tc>
        <w:tc>
          <w:tcPr>
            <w:tcW w:w="0" w:type="auto"/>
            <w:vAlign w:val="center"/>
          </w:tcPr>
          <w:p w14:paraId="788284FC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4234C29D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7.23 ± 0.14</w:t>
            </w:r>
          </w:p>
        </w:tc>
        <w:tc>
          <w:tcPr>
            <w:tcW w:w="1161" w:type="dxa"/>
            <w:vAlign w:val="center"/>
          </w:tcPr>
          <w:p w14:paraId="7D1ADFAB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7.23 ± 0.14</w:t>
            </w:r>
          </w:p>
        </w:tc>
      </w:tr>
      <w:tr w:rsidR="004A22E0" w:rsidRPr="00C96625" w14:paraId="30DB51E1" w14:textId="77777777" w:rsidTr="002D2319">
        <w:tc>
          <w:tcPr>
            <w:tcW w:w="0" w:type="auto"/>
            <w:vAlign w:val="center"/>
          </w:tcPr>
          <w:p w14:paraId="223C3FC1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Peak serum creatinine at 24h, </w:t>
            </w:r>
            <w:proofErr w:type="gramStart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µmol.L</w:t>
            </w:r>
            <w:proofErr w:type="gramEnd"/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, Mean ± SD</w:t>
            </w:r>
          </w:p>
        </w:tc>
        <w:tc>
          <w:tcPr>
            <w:tcW w:w="0" w:type="auto"/>
            <w:vAlign w:val="center"/>
          </w:tcPr>
          <w:p w14:paraId="7C668EF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3,066</w:t>
            </w:r>
          </w:p>
        </w:tc>
        <w:tc>
          <w:tcPr>
            <w:tcW w:w="1236" w:type="dxa"/>
            <w:vAlign w:val="center"/>
          </w:tcPr>
          <w:p w14:paraId="0586F73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194 ± 156</w:t>
            </w:r>
          </w:p>
        </w:tc>
        <w:tc>
          <w:tcPr>
            <w:tcW w:w="1161" w:type="dxa"/>
            <w:vAlign w:val="center"/>
          </w:tcPr>
          <w:p w14:paraId="25C5D07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194 ± 156</w:t>
            </w:r>
          </w:p>
        </w:tc>
      </w:tr>
      <w:tr w:rsidR="004A22E0" w:rsidRPr="00C96625" w14:paraId="07262A30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68E0E6BF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Peak white cell </w:t>
            </w:r>
            <w:proofErr w:type="gramStart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count</w:t>
            </w:r>
            <w:proofErr w:type="gramEnd"/>
            <w:r w:rsidRPr="00C96625">
              <w:rPr>
                <w:rFonts w:ascii="Times New Roman" w:hAnsi="Times New Roman" w:cs="Times New Roman"/>
                <w:sz w:val="16"/>
                <w:szCs w:val="16"/>
              </w:rPr>
              <w:t xml:space="preserve"> at 24h, 109.L</w:t>
            </w:r>
            <w:r w:rsidRPr="00C96625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, Mean ± SD</w:t>
            </w:r>
          </w:p>
        </w:tc>
        <w:tc>
          <w:tcPr>
            <w:tcW w:w="0" w:type="auto"/>
            <w:vAlign w:val="center"/>
          </w:tcPr>
          <w:p w14:paraId="17012E9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3,058</w:t>
            </w:r>
          </w:p>
        </w:tc>
        <w:tc>
          <w:tcPr>
            <w:tcW w:w="1236" w:type="dxa"/>
            <w:vAlign w:val="center"/>
          </w:tcPr>
          <w:p w14:paraId="236429D9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19 ± 14</w:t>
            </w:r>
          </w:p>
        </w:tc>
        <w:tc>
          <w:tcPr>
            <w:tcW w:w="1161" w:type="dxa"/>
            <w:vAlign w:val="center"/>
          </w:tcPr>
          <w:p w14:paraId="54A6340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19 ± 14</w:t>
            </w:r>
          </w:p>
        </w:tc>
      </w:tr>
      <w:tr w:rsidR="004A22E0" w:rsidRPr="00C96625" w14:paraId="437683C3" w14:textId="77777777" w:rsidTr="002D2319">
        <w:tc>
          <w:tcPr>
            <w:tcW w:w="0" w:type="auto"/>
            <w:vAlign w:val="center"/>
          </w:tcPr>
          <w:p w14:paraId="5E2D37C5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Hydrocortisone, n (%)</w:t>
            </w:r>
          </w:p>
        </w:tc>
        <w:tc>
          <w:tcPr>
            <w:tcW w:w="0" w:type="auto"/>
            <w:vAlign w:val="center"/>
          </w:tcPr>
          <w:p w14:paraId="07C17396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3,102</w:t>
            </w:r>
          </w:p>
        </w:tc>
        <w:tc>
          <w:tcPr>
            <w:tcW w:w="1236" w:type="dxa"/>
            <w:vAlign w:val="center"/>
          </w:tcPr>
          <w:p w14:paraId="237BEE00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1,544 (50)</w:t>
            </w:r>
          </w:p>
        </w:tc>
        <w:tc>
          <w:tcPr>
            <w:tcW w:w="1161" w:type="dxa"/>
            <w:vAlign w:val="center"/>
          </w:tcPr>
          <w:p w14:paraId="64664BCA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1,545 (50)</w:t>
            </w:r>
          </w:p>
        </w:tc>
      </w:tr>
      <w:tr w:rsidR="004A22E0" w:rsidRPr="00C96625" w14:paraId="7301FBE6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34A9A196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Noradrenaline, n (%)</w:t>
            </w:r>
          </w:p>
        </w:tc>
        <w:tc>
          <w:tcPr>
            <w:tcW w:w="0" w:type="auto"/>
            <w:vAlign w:val="center"/>
          </w:tcPr>
          <w:p w14:paraId="6AA8D7D9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6A6D904C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3,013 (97)</w:t>
            </w:r>
          </w:p>
        </w:tc>
        <w:tc>
          <w:tcPr>
            <w:tcW w:w="1161" w:type="dxa"/>
            <w:vAlign w:val="center"/>
          </w:tcPr>
          <w:p w14:paraId="0845A61B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3,013 (97)</w:t>
            </w:r>
          </w:p>
        </w:tc>
      </w:tr>
      <w:tr w:rsidR="004A22E0" w:rsidRPr="00C96625" w14:paraId="4BF53B4B" w14:textId="77777777" w:rsidTr="002D2319">
        <w:tc>
          <w:tcPr>
            <w:tcW w:w="0" w:type="auto"/>
            <w:vAlign w:val="center"/>
          </w:tcPr>
          <w:p w14:paraId="2E299932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Adrenaline, n (%)</w:t>
            </w:r>
          </w:p>
        </w:tc>
        <w:tc>
          <w:tcPr>
            <w:tcW w:w="0" w:type="auto"/>
            <w:vAlign w:val="center"/>
          </w:tcPr>
          <w:p w14:paraId="0CE6E98F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119AD6FD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676 (22)</w:t>
            </w:r>
          </w:p>
        </w:tc>
        <w:tc>
          <w:tcPr>
            <w:tcW w:w="1161" w:type="dxa"/>
            <w:vAlign w:val="center"/>
          </w:tcPr>
          <w:p w14:paraId="7C3658AF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676 (22)</w:t>
            </w:r>
          </w:p>
        </w:tc>
      </w:tr>
      <w:tr w:rsidR="004A22E0" w:rsidRPr="00C96625" w14:paraId="06E65F5B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19F0808B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Vasopressin, n (%)</w:t>
            </w:r>
          </w:p>
        </w:tc>
        <w:tc>
          <w:tcPr>
            <w:tcW w:w="0" w:type="auto"/>
            <w:vAlign w:val="center"/>
          </w:tcPr>
          <w:p w14:paraId="3A80153C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5EBB763D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1,209 (39)</w:t>
            </w:r>
          </w:p>
        </w:tc>
        <w:tc>
          <w:tcPr>
            <w:tcW w:w="1161" w:type="dxa"/>
            <w:vAlign w:val="center"/>
          </w:tcPr>
          <w:p w14:paraId="58B3DB06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1,209 (39)</w:t>
            </w:r>
          </w:p>
        </w:tc>
      </w:tr>
      <w:tr w:rsidR="004A22E0" w:rsidRPr="00C96625" w14:paraId="0415C23E" w14:textId="77777777" w:rsidTr="002D2319">
        <w:tc>
          <w:tcPr>
            <w:tcW w:w="0" w:type="auto"/>
            <w:vAlign w:val="center"/>
          </w:tcPr>
          <w:p w14:paraId="4EE4E84B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Dopamine, n (%)</w:t>
            </w:r>
          </w:p>
        </w:tc>
        <w:tc>
          <w:tcPr>
            <w:tcW w:w="0" w:type="auto"/>
            <w:vAlign w:val="center"/>
          </w:tcPr>
          <w:p w14:paraId="3EB074F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1283FAE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76 (2.4)</w:t>
            </w:r>
          </w:p>
        </w:tc>
        <w:tc>
          <w:tcPr>
            <w:tcW w:w="1161" w:type="dxa"/>
            <w:vAlign w:val="center"/>
          </w:tcPr>
          <w:p w14:paraId="6C3D3B38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76 (2.4)</w:t>
            </w:r>
          </w:p>
        </w:tc>
      </w:tr>
      <w:tr w:rsidR="004A22E0" w:rsidRPr="00C96625" w14:paraId="2DCD3E3A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51C97168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Metaraminol, n (%)</w:t>
            </w:r>
          </w:p>
        </w:tc>
        <w:tc>
          <w:tcPr>
            <w:tcW w:w="0" w:type="auto"/>
            <w:vAlign w:val="center"/>
          </w:tcPr>
          <w:p w14:paraId="3810750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6A675E7E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767 (25)</w:t>
            </w:r>
          </w:p>
        </w:tc>
        <w:tc>
          <w:tcPr>
            <w:tcW w:w="1161" w:type="dxa"/>
            <w:vAlign w:val="center"/>
          </w:tcPr>
          <w:p w14:paraId="1AA101C2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767 (25)</w:t>
            </w:r>
          </w:p>
        </w:tc>
      </w:tr>
      <w:tr w:rsidR="004A22E0" w:rsidRPr="00C96625" w14:paraId="112FA2EB" w14:textId="77777777" w:rsidTr="002D2319">
        <w:tc>
          <w:tcPr>
            <w:tcW w:w="0" w:type="auto"/>
            <w:vAlign w:val="center"/>
          </w:tcPr>
          <w:p w14:paraId="35D90D3D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Dobutamine, n (%)</w:t>
            </w:r>
          </w:p>
        </w:tc>
        <w:tc>
          <w:tcPr>
            <w:tcW w:w="0" w:type="auto"/>
            <w:vAlign w:val="center"/>
          </w:tcPr>
          <w:p w14:paraId="62DDB2A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vAlign w:val="center"/>
          </w:tcPr>
          <w:p w14:paraId="6E1B942C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256 (8.2)</w:t>
            </w:r>
          </w:p>
        </w:tc>
        <w:tc>
          <w:tcPr>
            <w:tcW w:w="1161" w:type="dxa"/>
            <w:vAlign w:val="center"/>
          </w:tcPr>
          <w:p w14:paraId="33103E37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256 (8.2)</w:t>
            </w:r>
          </w:p>
        </w:tc>
      </w:tr>
      <w:tr w:rsidR="004A22E0" w:rsidRPr="00C96625" w14:paraId="7E8377F2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B89CA2A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Milrinone, n (%)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1DA153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3,105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2BC2AE91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89 (2.9)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66AFBA1A" w14:textId="77777777" w:rsidR="004A22E0" w:rsidRPr="00C96625" w:rsidRDefault="004A22E0" w:rsidP="002D2319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</w:rPr>
              <w:t>89 (2.9)</w:t>
            </w:r>
          </w:p>
        </w:tc>
      </w:tr>
      <w:tr w:rsidR="004A22E0" w:rsidRPr="00C96625" w14:paraId="773B82A6" w14:textId="77777777" w:rsidTr="002D2319">
        <w:tc>
          <w:tcPr>
            <w:tcW w:w="93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D6C76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sz w:val="16"/>
                <w:szCs w:val="16"/>
                <w:lang w:val="en-AU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  <w:lang w:val="en-AU"/>
              </w:rPr>
              <w:t xml:space="preserve">Continuous values are presented as </w:t>
            </w:r>
            <w:proofErr w:type="spellStart"/>
            <w:r w:rsidRPr="00C96625">
              <w:rPr>
                <w:rFonts w:ascii="Times New Roman" w:hAnsi="Times New Roman" w:cs="Times New Roman"/>
                <w:sz w:val="16"/>
                <w:szCs w:val="16"/>
                <w:lang w:val="en-AU"/>
              </w:rPr>
              <w:t>mean±SD</w:t>
            </w:r>
            <w:proofErr w:type="spellEnd"/>
            <w:r w:rsidRPr="00C96625">
              <w:rPr>
                <w:rFonts w:ascii="Times New Roman" w:hAnsi="Times New Roman" w:cs="Times New Roman"/>
                <w:sz w:val="16"/>
                <w:szCs w:val="16"/>
                <w:lang w:val="en-AU"/>
              </w:rPr>
              <w:t xml:space="preserve"> or median (Q1 - Q3), categorical variables are presented as n (%)</w:t>
            </w:r>
          </w:p>
          <w:p w14:paraId="7656B3C5" w14:textId="77777777" w:rsidR="004A22E0" w:rsidRPr="00C96625" w:rsidRDefault="004A22E0" w:rsidP="002D2319">
            <w:pPr>
              <w:keepNext/>
              <w:spacing w:line="240" w:lineRule="auto"/>
              <w:rPr>
                <w:rFonts w:ascii="Times New Roman" w:hAnsi="Times New Roman" w:cs="Times New Roman"/>
                <w:i/>
                <w:sz w:val="16"/>
                <w:szCs w:val="16"/>
                <w:vertAlign w:val="superscript"/>
              </w:rPr>
            </w:pPr>
            <w:r w:rsidRPr="00C96625">
              <w:rPr>
                <w:rFonts w:ascii="Times New Roman" w:hAnsi="Times New Roman" w:cs="Times New Roman"/>
                <w:sz w:val="16"/>
                <w:szCs w:val="16"/>
                <w:lang w:val="en-AU"/>
              </w:rPr>
              <w:t xml:space="preserve">Abbreviations: ICU, Intensive care unit; APACHE, Acute Physiology </w:t>
            </w:r>
            <w:proofErr w:type="gramStart"/>
            <w:r w:rsidRPr="00C96625">
              <w:rPr>
                <w:rFonts w:ascii="Times New Roman" w:hAnsi="Times New Roman" w:cs="Times New Roman"/>
                <w:sz w:val="16"/>
                <w:szCs w:val="16"/>
                <w:lang w:val="en-AU"/>
              </w:rPr>
              <w:t>And</w:t>
            </w:r>
            <w:proofErr w:type="gramEnd"/>
            <w:r w:rsidRPr="00C96625">
              <w:rPr>
                <w:rFonts w:ascii="Times New Roman" w:hAnsi="Times New Roman" w:cs="Times New Roman"/>
                <w:sz w:val="16"/>
                <w:szCs w:val="16"/>
                <w:lang w:val="en-AU"/>
              </w:rPr>
              <w:t xml:space="preserve"> Chronic Health Evaluation, SOFA, Sequential organ failure assessment; CRRT, Continuous renal replacement therapy</w:t>
            </w:r>
          </w:p>
        </w:tc>
      </w:tr>
    </w:tbl>
    <w:p w14:paraId="411024B3" w14:textId="77777777" w:rsidR="004A22E0" w:rsidRDefault="004A22E0" w:rsidP="004A22E0">
      <w:pPr>
        <w:rPr>
          <w:rFonts w:ascii="Times New Roman" w:hAnsi="Times New Roman" w:cs="Times New Roman"/>
        </w:rPr>
      </w:pPr>
    </w:p>
    <w:tbl>
      <w:tblPr>
        <w:tblStyle w:val="ListTable2-Accent1"/>
        <w:tblW w:w="9387" w:type="dxa"/>
        <w:tblLook w:val="0400" w:firstRow="0" w:lastRow="0" w:firstColumn="0" w:lastColumn="0" w:noHBand="0" w:noVBand="1"/>
      </w:tblPr>
      <w:tblGrid>
        <w:gridCol w:w="9576"/>
      </w:tblGrid>
      <w:tr w:rsidR="004A22E0" w:rsidRPr="00FF2FBB" w14:paraId="357477F2" w14:textId="77777777" w:rsidTr="002D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tcW w:w="9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AD63" w14:textId="4B546FA4" w:rsidR="004A22E0" w:rsidRPr="00FF2FBB" w:rsidRDefault="004A22E0" w:rsidP="002D2319">
            <w:pPr>
              <w:pStyle w:val="Heading2"/>
              <w:spacing w:before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6" w:name="_Toc190616117"/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lastRenderedPageBreak/>
              <w:t>Figure S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C00000"/>
                <w:sz w:val="16"/>
                <w:szCs w:val="16"/>
              </w:rPr>
              <w:t>4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Imputed dataset versus no imputed dataset</w:t>
            </w:r>
            <w:bookmarkEnd w:id="16"/>
          </w:p>
        </w:tc>
      </w:tr>
      <w:tr w:rsidR="004A22E0" w:rsidRPr="00FF2FBB" w14:paraId="0322FB39" w14:textId="77777777" w:rsidTr="002D2319">
        <w:trPr>
          <w:trHeight w:val="7592"/>
        </w:trPr>
        <w:tc>
          <w:tcPr>
            <w:tcW w:w="9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559B" w14:textId="77777777" w:rsidR="004A22E0" w:rsidRPr="00FF2FBB" w:rsidRDefault="004A22E0" w:rsidP="002D2319">
            <w:pPr>
              <w:pStyle w:val="FirstParagraph"/>
              <w:spacing w:before="0"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947A0A" wp14:editId="6F1A8F25">
                  <wp:extent cx="5943600" cy="5943600"/>
                  <wp:effectExtent l="0" t="0" r="0" b="0"/>
                  <wp:docPr id="1333195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95074" name="Picture 133319507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C5A00" w14:textId="77777777" w:rsidR="004A22E0" w:rsidRPr="00FF2FBB" w:rsidRDefault="004A22E0" w:rsidP="004A22E0">
      <w:pPr>
        <w:rPr>
          <w:rFonts w:ascii="Times New Roman" w:hAnsi="Times New Roman" w:cs="Times New Roman"/>
        </w:rPr>
      </w:pPr>
    </w:p>
    <w:p w14:paraId="24E596DC" w14:textId="77777777" w:rsidR="004A22E0" w:rsidRPr="00FF2FBB" w:rsidRDefault="004A22E0" w:rsidP="004A22E0">
      <w:pPr>
        <w:rPr>
          <w:rFonts w:ascii="Times New Roman" w:hAnsi="Times New Roman" w:cs="Times New Roman"/>
        </w:rPr>
      </w:pPr>
    </w:p>
    <w:p w14:paraId="16D92CB3" w14:textId="77777777" w:rsidR="004A22E0" w:rsidRPr="00FF2FBB" w:rsidRDefault="004A22E0" w:rsidP="004A22E0">
      <w:pPr>
        <w:rPr>
          <w:rFonts w:ascii="Times New Roman" w:hAnsi="Times New Roman" w:cs="Times New Roman"/>
        </w:rPr>
      </w:pPr>
    </w:p>
    <w:p w14:paraId="20D63921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555A6674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08194437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4C5A9DD0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4B65185E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0064A5E5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303CEA34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2BF1A695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7090743F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70C89815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5A7F5FEE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p w14:paraId="63900281" w14:textId="77777777" w:rsidR="00A5120C" w:rsidRPr="00FF2FBB" w:rsidRDefault="00A5120C" w:rsidP="00F24CC8">
      <w:pPr>
        <w:pStyle w:val="BodyText"/>
        <w:rPr>
          <w:rFonts w:ascii="Times New Roman" w:hAnsi="Times New Roman" w:cs="Times New Roman"/>
        </w:rPr>
      </w:pPr>
    </w:p>
    <w:tbl>
      <w:tblPr>
        <w:tblStyle w:val="ListTable6Colourful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9283"/>
      </w:tblGrid>
      <w:tr w:rsidR="0074742C" w:rsidRPr="00FF2FBB" w14:paraId="3926A854" w14:textId="77777777" w:rsidTr="00FB3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42" w:type="dxa"/>
          </w:tcPr>
          <w:p w14:paraId="26BCEEEC" w14:textId="2D2509A7" w:rsidR="0074742C" w:rsidRPr="00FF2FBB" w:rsidRDefault="0074742C" w:rsidP="00FB380E">
            <w:pPr>
              <w:pStyle w:val="Caption"/>
              <w:spacing w:after="0" w:line="240" w:lineRule="auto"/>
              <w:rPr>
                <w:rFonts w:ascii="Times New Roman" w:hAnsi="Times New Roman" w:cs="Times New Roman"/>
                <w:b/>
                <w:bCs/>
                <w:i w:val="0"/>
                <w:iCs/>
                <w:color w:val="000000" w:themeColor="text1"/>
                <w:sz w:val="16"/>
                <w:szCs w:val="16"/>
                <w:lang w:val="en-US"/>
              </w:rPr>
            </w:pPr>
            <w:bookmarkStart w:id="17" w:name="_Toc190616118"/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  <w:lang w:val="en-US"/>
              </w:rPr>
              <w:t>Figure S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  <w:lang w:val="en-US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b/>
                <w:bCs/>
                <w:i w:val="0"/>
                <w:noProof/>
                <w:color w:val="C00000"/>
                <w:sz w:val="16"/>
                <w:szCs w:val="16"/>
                <w:lang w:val="en-US"/>
              </w:rPr>
              <w:t>5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  <w:lang w:val="en-US"/>
              </w:rPr>
              <w:t>.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FF2FBB">
              <w:rPr>
                <w:rFonts w:ascii="Times New Roman" w:hAnsi="Times New Roman" w:cs="Times New Roman"/>
                <w:i w:val="0"/>
                <w:color w:val="000000" w:themeColor="text1"/>
                <w:sz w:val="16"/>
                <w:szCs w:val="16"/>
                <w:lang w:val="en-US"/>
              </w:rPr>
              <w:t>Flow diagram</w:t>
            </w:r>
            <w:bookmarkEnd w:id="17"/>
          </w:p>
        </w:tc>
      </w:tr>
      <w:tr w:rsidR="0074742C" w:rsidRPr="00FF2FBB" w14:paraId="7BC467F1" w14:textId="77777777" w:rsidTr="00FB380E">
        <w:tc>
          <w:tcPr>
            <w:tcW w:w="9242" w:type="dxa"/>
            <w:tcBorders>
              <w:bottom w:val="single" w:sz="4" w:space="0" w:color="auto"/>
            </w:tcBorders>
          </w:tcPr>
          <w:p w14:paraId="1B147B21" w14:textId="77777777" w:rsidR="0074742C" w:rsidRPr="00FF2FBB" w:rsidRDefault="0074742C" w:rsidP="00FB380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2FBB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D62514F" wp14:editId="46896EFB">
                  <wp:extent cx="5758004" cy="4656232"/>
                  <wp:effectExtent l="0" t="0" r="0" b="5080"/>
                  <wp:docPr id="16294209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420910" name="Picture 16294209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661" cy="466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2C" w:rsidRPr="00FF2FBB" w14:paraId="4CA344E1" w14:textId="77777777" w:rsidTr="00FB3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tcW w:w="9242" w:type="dxa"/>
            <w:tcBorders>
              <w:left w:val="nil"/>
              <w:right w:val="nil"/>
            </w:tcBorders>
            <w:shd w:val="clear" w:color="auto" w:fill="auto"/>
          </w:tcPr>
          <w:p w14:paraId="38D48947" w14:textId="77777777" w:rsidR="0074742C" w:rsidRPr="00FF2FBB" w:rsidRDefault="0074742C" w:rsidP="00FB380E">
            <w:pPr>
              <w:pStyle w:val="FirstParagraph"/>
              <w:spacing w:before="0"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F2F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ICU, Intensive Care Unit</w:t>
            </w:r>
          </w:p>
        </w:tc>
      </w:tr>
    </w:tbl>
    <w:p w14:paraId="2E964EA5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5753E0CA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47E37ED9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7D862006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1D87742D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7080AEB2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13BAE664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p w14:paraId="04254A3F" w14:textId="77777777" w:rsidR="00C34A01" w:rsidRPr="00FF2FBB" w:rsidRDefault="00C34A01" w:rsidP="00F24CC8">
      <w:pPr>
        <w:pStyle w:val="BodyText"/>
        <w:rPr>
          <w:rFonts w:ascii="Times New Roman" w:hAnsi="Times New Roman" w:cs="Times New Roman"/>
        </w:rPr>
      </w:pPr>
    </w:p>
    <w:tbl>
      <w:tblPr>
        <w:tblStyle w:val="ListTable6Colourful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9242"/>
      </w:tblGrid>
      <w:tr w:rsidR="0094499E" w:rsidRPr="00FF2FBB" w14:paraId="3A0DD377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42" w:type="dxa"/>
          </w:tcPr>
          <w:p w14:paraId="259E040B" w14:textId="4AE4BFFC" w:rsidR="0094499E" w:rsidRPr="00FF2FBB" w:rsidRDefault="0094499E" w:rsidP="0094499E">
            <w:pPr>
              <w:pStyle w:val="Caption"/>
              <w:spacing w:after="0" w:line="240" w:lineRule="auto"/>
              <w:rPr>
                <w:rFonts w:ascii="Times New Roman" w:hAnsi="Times New Roman" w:cs="Times New Roman"/>
                <w:b/>
                <w:bCs/>
                <w:i w:val="0"/>
                <w:iCs/>
                <w:color w:val="000000" w:themeColor="text1"/>
                <w:sz w:val="16"/>
                <w:szCs w:val="16"/>
                <w:lang w:val="en-US"/>
              </w:rPr>
            </w:pPr>
            <w:bookmarkStart w:id="18" w:name="_Toc180852706"/>
            <w:bookmarkStart w:id="19" w:name="_Toc190616119"/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  <w:lang w:val="en-US"/>
              </w:rPr>
              <w:t>Figure S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  <w:lang w:val="en-US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b/>
                <w:bCs/>
                <w:i w:val="0"/>
                <w:noProof/>
                <w:color w:val="C00000"/>
                <w:sz w:val="16"/>
                <w:szCs w:val="16"/>
                <w:lang w:val="en-US"/>
              </w:rPr>
              <w:t>6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iCs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color w:val="C00000"/>
                <w:sz w:val="16"/>
                <w:szCs w:val="16"/>
                <w:lang w:val="en-US"/>
              </w:rPr>
              <w:t>.</w:t>
            </w:r>
            <w:r w:rsidRPr="00FF2FBB">
              <w:rPr>
                <w:rFonts w:ascii="Times New Roman" w:hAnsi="Times New Roman" w:cs="Times New Roman"/>
                <w:b/>
                <w:bCs/>
                <w:i w:val="0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FF2FBB">
              <w:rPr>
                <w:rFonts w:ascii="Times New Roman" w:hAnsi="Times New Roman" w:cs="Times New Roman"/>
                <w:i w:val="0"/>
                <w:color w:val="000000" w:themeColor="text1"/>
                <w:sz w:val="16"/>
                <w:szCs w:val="16"/>
                <w:lang w:val="en-US"/>
              </w:rPr>
              <w:t>Parametric versus nonparametric estimates of covariate means under usual care over time</w:t>
            </w:r>
            <w:bookmarkEnd w:id="18"/>
            <w:bookmarkEnd w:id="19"/>
          </w:p>
        </w:tc>
      </w:tr>
      <w:tr w:rsidR="0094499E" w:rsidRPr="00FF2FBB" w14:paraId="3BA54D22" w14:textId="77777777" w:rsidTr="0094499E">
        <w:tc>
          <w:tcPr>
            <w:tcW w:w="9242" w:type="dxa"/>
            <w:tcBorders>
              <w:bottom w:val="single" w:sz="4" w:space="0" w:color="auto"/>
            </w:tcBorders>
          </w:tcPr>
          <w:p w14:paraId="3F766248" w14:textId="77777777" w:rsidR="0094499E" w:rsidRPr="00FF2FBB" w:rsidRDefault="0094499E" w:rsidP="00D642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2FBB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F6450FE" wp14:editId="0DCE0D19">
                  <wp:extent cx="5611280" cy="4676274"/>
                  <wp:effectExtent l="0" t="0" r="2540" b="0"/>
                  <wp:docPr id="1716573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573868" name="Picture 17165738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045" cy="468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9E" w:rsidRPr="00FF2FBB" w14:paraId="69280B00" w14:textId="77777777" w:rsidTr="00944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tcW w:w="9242" w:type="dxa"/>
            <w:tcBorders>
              <w:left w:val="nil"/>
              <w:right w:val="nil"/>
            </w:tcBorders>
            <w:shd w:val="clear" w:color="auto" w:fill="auto"/>
          </w:tcPr>
          <w:p w14:paraId="4F8CD72F" w14:textId="77777777" w:rsidR="0094499E" w:rsidRPr="00FF2FBB" w:rsidRDefault="0094499E" w:rsidP="00D64269">
            <w:pPr>
              <w:pStyle w:val="FirstParagraph"/>
              <w:spacing w:before="0"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F2F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Comparable parametric versus nonparametric estimates of the covariate suggests correct model specification for the parametric g-formula.</w:t>
            </w:r>
          </w:p>
        </w:tc>
      </w:tr>
    </w:tbl>
    <w:p w14:paraId="403AF28A" w14:textId="77777777" w:rsidR="0094499E" w:rsidRPr="00FF2FBB" w:rsidRDefault="0094499E" w:rsidP="00F24CC8">
      <w:pPr>
        <w:pStyle w:val="BodyText"/>
        <w:rPr>
          <w:rFonts w:ascii="Times New Roman" w:hAnsi="Times New Roman" w:cs="Times New Roman"/>
        </w:rPr>
      </w:pPr>
    </w:p>
    <w:p w14:paraId="3077756B" w14:textId="77777777" w:rsidR="0094499E" w:rsidRPr="00FF2FBB" w:rsidRDefault="0094499E" w:rsidP="00F24CC8">
      <w:pPr>
        <w:pStyle w:val="BodyText"/>
        <w:rPr>
          <w:rFonts w:ascii="Times New Roman" w:hAnsi="Times New Roman" w:cs="Times New Roman"/>
        </w:rPr>
      </w:pPr>
    </w:p>
    <w:bookmarkEnd w:id="6"/>
    <w:p w14:paraId="71E0692D" w14:textId="77777777" w:rsidR="009D7CA2" w:rsidRPr="00FF2FBB" w:rsidRDefault="009D7CA2" w:rsidP="009D7CA2">
      <w:pPr>
        <w:pStyle w:val="BodyText"/>
        <w:rPr>
          <w:rFonts w:ascii="Times New Roman" w:hAnsi="Times New Roman" w:cs="Times New Roman"/>
        </w:rPr>
      </w:pPr>
    </w:p>
    <w:tbl>
      <w:tblPr>
        <w:tblStyle w:val="ListTable2-Accent1"/>
        <w:tblW w:w="0" w:type="auto"/>
        <w:tblLook w:val="0400" w:firstRow="0" w:lastRow="0" w:firstColumn="0" w:lastColumn="0" w:noHBand="0" w:noVBand="1"/>
      </w:tblPr>
      <w:tblGrid>
        <w:gridCol w:w="9350"/>
      </w:tblGrid>
      <w:tr w:rsidR="009D7CA2" w:rsidRPr="00FF2FBB" w14:paraId="4D7E66DD" w14:textId="77777777" w:rsidTr="00D642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E559" w14:textId="5DAB8563" w:rsidR="009D7CA2" w:rsidRPr="00FF2FBB" w:rsidRDefault="00C34A01" w:rsidP="00D64269">
            <w:pPr>
              <w:pStyle w:val="Heading2"/>
              <w:spacing w:before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0" w:name="_Toc182773120"/>
            <w:bookmarkStart w:id="21" w:name="_Toc190616120"/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lastRenderedPageBreak/>
              <w:t>Figure S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noProof/>
                <w:color w:val="C00000"/>
                <w:sz w:val="16"/>
                <w:szCs w:val="16"/>
              </w:rPr>
              <w:t>7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.</w:t>
            </w:r>
            <w:r w:rsidR="009D7CA2"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</w:t>
            </w:r>
            <w:r w:rsidR="009D7CA2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30-day ICU mortality risk difference according to the timing of vasopressin introduction</w:t>
            </w:r>
            <w:bookmarkEnd w:id="20"/>
            <w:bookmarkEnd w:id="21"/>
          </w:p>
        </w:tc>
      </w:tr>
      <w:tr w:rsidR="009D7CA2" w:rsidRPr="00FF2FBB" w14:paraId="1487C41D" w14:textId="77777777" w:rsidTr="00D6426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1CD5" w14:textId="5B54F337" w:rsidR="009D7CA2" w:rsidRPr="00FF2FBB" w:rsidRDefault="00192F64" w:rsidP="00D64269">
            <w:pPr>
              <w:pStyle w:val="FirstParagraph"/>
              <w:spacing w:before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35BF8" wp14:editId="26E61F3A">
                  <wp:extent cx="5943600" cy="4953000"/>
                  <wp:effectExtent l="0" t="0" r="0" b="0"/>
                  <wp:docPr id="1105887277" name="Picture 1" descr="A diagram of a b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887277" name="Picture 1" descr="A diagram of a boa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CA2" w:rsidRPr="00FF2FBB" w14:paraId="10DA47AB" w14:textId="77777777" w:rsidTr="00D642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50DF" w14:textId="74A02C74" w:rsidR="009D7CA2" w:rsidRPr="00FF2FBB" w:rsidRDefault="00C34A01" w:rsidP="00D64269">
            <w:pPr>
              <w:pStyle w:val="Heading2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bookmarkStart w:id="22" w:name="_Toc182773121"/>
            <w:bookmarkStart w:id="23" w:name="_Toc190616121"/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lastRenderedPageBreak/>
              <w:t>Figure S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noProof/>
                <w:color w:val="C00000"/>
                <w:sz w:val="16"/>
                <w:szCs w:val="16"/>
              </w:rPr>
              <w:t>8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.</w:t>
            </w:r>
            <w:r w:rsidR="009D7CA2"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t xml:space="preserve"> </w:t>
            </w:r>
            <w:r w:rsidR="009D7CA2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Nor</w:t>
            </w:r>
            <w:r w:rsidR="00460F88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epinephrine</w:t>
            </w:r>
            <w:r w:rsidR="009D7CA2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equivalent dose course according to the timing of vasopressin start</w:t>
            </w:r>
            <w:bookmarkEnd w:id="22"/>
            <w:bookmarkEnd w:id="23"/>
          </w:p>
        </w:tc>
      </w:tr>
      <w:tr w:rsidR="009D7CA2" w:rsidRPr="00FF2FBB" w14:paraId="02235149" w14:textId="77777777" w:rsidTr="00D64269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17A1" w14:textId="5F7DA8A5" w:rsidR="009D7CA2" w:rsidRPr="00FF2FBB" w:rsidRDefault="00192F64" w:rsidP="00D64269">
            <w:pPr>
              <w:pStyle w:val="FirstParagraph"/>
              <w:spacing w:before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BBA418" wp14:editId="3C4E6785">
                  <wp:extent cx="5943600" cy="4953000"/>
                  <wp:effectExtent l="0" t="0" r="0" b="0"/>
                  <wp:docPr id="516158965" name="Picture 2" descr="A graph of a number of patien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58965" name="Picture 2" descr="A graph of a number of patients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F2102C" w14:textId="77777777" w:rsidR="00260680" w:rsidRPr="00FF2FBB" w:rsidRDefault="00260680">
      <w:pPr>
        <w:pStyle w:val="Heading2"/>
        <w:rPr>
          <w:rFonts w:ascii="Times New Roman" w:hAnsi="Times New Roman" w:cs="Times New Roman"/>
          <w:sz w:val="20"/>
          <w:szCs w:val="20"/>
        </w:rPr>
      </w:pPr>
      <w:bookmarkStart w:id="24" w:name="_Toc182773122"/>
      <w:bookmarkStart w:id="25" w:name="X758b621490bef81f009b8e1fe7f0c382c10255e"/>
    </w:p>
    <w:p w14:paraId="246339BC" w14:textId="77777777" w:rsidR="00536292" w:rsidRPr="00FF2FBB" w:rsidRDefault="00536292">
      <w:pPr>
        <w:pStyle w:val="Heading1"/>
        <w:rPr>
          <w:rFonts w:ascii="Times New Roman" w:hAnsi="Times New Roman" w:cs="Times New Roman"/>
        </w:rPr>
      </w:pPr>
      <w:bookmarkStart w:id="26" w:name="_Toc182773123"/>
      <w:bookmarkStart w:id="27" w:name="dose-effect-1"/>
      <w:bookmarkEnd w:id="7"/>
      <w:bookmarkEnd w:id="24"/>
      <w:bookmarkEnd w:id="25"/>
    </w:p>
    <w:p w14:paraId="0DAAB24C" w14:textId="77777777" w:rsidR="00536292" w:rsidRPr="00FF2FBB" w:rsidRDefault="00536292" w:rsidP="00536292">
      <w:pPr>
        <w:pStyle w:val="BodyText"/>
        <w:rPr>
          <w:rFonts w:ascii="Times New Roman" w:hAnsi="Times New Roman" w:cs="Times New Roman"/>
        </w:rPr>
      </w:pPr>
    </w:p>
    <w:bookmarkEnd w:id="26"/>
    <w:p w14:paraId="6886CEA5" w14:textId="77777777" w:rsidR="007554BD" w:rsidRPr="00FF2FBB" w:rsidRDefault="007554BD">
      <w:pPr>
        <w:pStyle w:val="Heading1"/>
        <w:rPr>
          <w:rFonts w:ascii="Times New Roman" w:hAnsi="Times New Roman" w:cs="Times New Roman"/>
        </w:rPr>
      </w:pPr>
    </w:p>
    <w:tbl>
      <w:tblPr>
        <w:tblStyle w:val="ListTable2-Accent1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9576"/>
      </w:tblGrid>
      <w:tr w:rsidR="00260680" w:rsidRPr="00FF2FBB" w14:paraId="5962435B" w14:textId="77777777" w:rsidTr="00C96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9576" w:type="dxa"/>
          </w:tcPr>
          <w:p w14:paraId="16B28342" w14:textId="3732D8E8" w:rsidR="00260680" w:rsidRPr="00FF2FBB" w:rsidRDefault="00C34A01" w:rsidP="00260680">
            <w:pPr>
              <w:pStyle w:val="Heading2"/>
              <w:spacing w:before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8" w:name="_Toc182773124"/>
            <w:bookmarkStart w:id="29" w:name="X54aefa7ed49d697aab294454b34489befa7dd57"/>
            <w:bookmarkStart w:id="30" w:name="_Toc190616122"/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Figure S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noProof/>
                <w:color w:val="C00000"/>
                <w:sz w:val="16"/>
                <w:szCs w:val="16"/>
              </w:rPr>
              <w:t>9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.</w:t>
            </w:r>
            <w:r w:rsidR="00260680"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</w:t>
            </w:r>
            <w:r w:rsidR="00260680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30-day ICU mortality </w:t>
            </w:r>
            <w:r w:rsidR="00CE084F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relative risk</w:t>
            </w:r>
            <w:r w:rsidR="00260680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according to nor</w:t>
            </w:r>
            <w:r w:rsidR="00460F88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epinephrine</w:t>
            </w:r>
            <w:r w:rsidR="00260680"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equivalent dose threshold for vasopressin introduction</w:t>
            </w:r>
            <w:bookmarkEnd w:id="28"/>
            <w:bookmarkEnd w:id="30"/>
          </w:p>
        </w:tc>
      </w:tr>
      <w:tr w:rsidR="00260680" w:rsidRPr="00FF2FBB" w14:paraId="1B801173" w14:textId="77777777" w:rsidTr="00C96625">
        <w:trPr>
          <w:trHeight w:val="7873"/>
        </w:trPr>
        <w:tc>
          <w:tcPr>
            <w:tcW w:w="9576" w:type="dxa"/>
            <w:tcBorders>
              <w:bottom w:val="single" w:sz="4" w:space="0" w:color="auto"/>
            </w:tcBorders>
          </w:tcPr>
          <w:p w14:paraId="29BEE5BB" w14:textId="15944DDA" w:rsidR="00260680" w:rsidRPr="00FF2FBB" w:rsidRDefault="00192F64" w:rsidP="00260680">
            <w:pPr>
              <w:pStyle w:val="FirstParagraph"/>
              <w:spacing w:before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57B51D3" wp14:editId="4A410AF6">
                  <wp:extent cx="5943600" cy="4953000"/>
                  <wp:effectExtent l="0" t="0" r="0" b="0"/>
                  <wp:docPr id="287635389" name="Picture 3" descr="A graph showing a line of different colo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35389" name="Picture 3" descr="A graph showing a line of different colors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A2C71" w14:textId="77777777" w:rsidR="009D7CA2" w:rsidRPr="00FF2FBB" w:rsidRDefault="009D7CA2">
      <w:pPr>
        <w:pStyle w:val="Heading2"/>
        <w:rPr>
          <w:rFonts w:ascii="Times New Roman" w:hAnsi="Times New Roman" w:cs="Times New Roman"/>
          <w:sz w:val="20"/>
          <w:szCs w:val="20"/>
        </w:rPr>
      </w:pPr>
      <w:bookmarkStart w:id="31" w:name="Xea32087ba9eb81627bc1714b47e30b66ec38c19"/>
      <w:bookmarkStart w:id="32" w:name="_Toc182773126"/>
      <w:bookmarkEnd w:id="29"/>
    </w:p>
    <w:bookmarkEnd w:id="27"/>
    <w:bookmarkEnd w:id="31"/>
    <w:bookmarkEnd w:id="32"/>
    <w:p w14:paraId="3BF79F5A" w14:textId="77777777" w:rsidR="00A5120C" w:rsidRPr="00FF2FBB" w:rsidRDefault="00A5120C" w:rsidP="009D7CA2">
      <w:pPr>
        <w:rPr>
          <w:rFonts w:ascii="Times New Roman" w:hAnsi="Times New Roman" w:cs="Times New Roman"/>
          <w:b/>
          <w:bCs/>
        </w:rPr>
      </w:pPr>
    </w:p>
    <w:tbl>
      <w:tblPr>
        <w:tblStyle w:val="ListTable2-Accent1"/>
        <w:tblW w:w="9387" w:type="dxa"/>
        <w:tblLook w:val="0400" w:firstRow="0" w:lastRow="0" w:firstColumn="0" w:lastColumn="0" w:noHBand="0" w:noVBand="1"/>
      </w:tblPr>
      <w:tblGrid>
        <w:gridCol w:w="9387"/>
      </w:tblGrid>
      <w:tr w:rsidR="00C96625" w:rsidRPr="00FF2FBB" w14:paraId="62093CAA" w14:textId="77777777" w:rsidTr="00C63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tcW w:w="9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114B" w14:textId="662A2BD8" w:rsidR="00C96625" w:rsidRPr="00FF2FBB" w:rsidRDefault="00C96625" w:rsidP="00FB380E">
            <w:pPr>
              <w:pStyle w:val="Heading2"/>
              <w:spacing w:before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3" w:name="_Toc182773125"/>
            <w:bookmarkStart w:id="34" w:name="_Toc190616123"/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lastRenderedPageBreak/>
              <w:t>Figure S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begin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instrText xml:space="preserve"> SEQ Figure_S \* ARABIC </w:instrTex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separate"/>
            </w:r>
            <w:r w:rsidR="004A22E0">
              <w:rPr>
                <w:rFonts w:ascii="Times New Roman" w:hAnsi="Times New Roman" w:cs="Times New Roman"/>
                <w:noProof/>
                <w:color w:val="C00000"/>
                <w:sz w:val="16"/>
                <w:szCs w:val="16"/>
              </w:rPr>
              <w:t>10</w:t>
            </w:r>
            <w:r w:rsidRPr="00FF2FBB">
              <w:rPr>
                <w:rFonts w:ascii="Times New Roman" w:hAnsi="Times New Roman" w:cs="Times New Roman"/>
                <w:b w:val="0"/>
                <w:bCs w:val="0"/>
                <w:color w:val="C00000"/>
                <w:sz w:val="16"/>
                <w:szCs w:val="16"/>
              </w:rPr>
              <w:fldChar w:fldCharType="end"/>
            </w:r>
            <w:r w:rsidRPr="00FF2FBB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. </w:t>
            </w:r>
            <w:r w:rsidRPr="00FF2FBB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Norepinephrine equivalent dose course according to noradrenaline equivalent dose threshold for vasopressin introduction</w:t>
            </w:r>
            <w:bookmarkEnd w:id="33"/>
            <w:bookmarkEnd w:id="34"/>
          </w:p>
        </w:tc>
      </w:tr>
      <w:tr w:rsidR="00C96625" w:rsidRPr="00FF2FBB" w14:paraId="3B8E4CF9" w14:textId="77777777" w:rsidTr="00FB380E">
        <w:trPr>
          <w:trHeight w:val="7592"/>
        </w:trPr>
        <w:tc>
          <w:tcPr>
            <w:tcW w:w="9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3E78" w14:textId="30ED65E8" w:rsidR="00C96625" w:rsidRPr="00FF2FBB" w:rsidRDefault="00192F64" w:rsidP="00FB380E">
            <w:pPr>
              <w:pStyle w:val="FirstParagraph"/>
              <w:spacing w:before="0"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E6B3C77" wp14:editId="29C01DB9">
                  <wp:extent cx="5790110" cy="4825092"/>
                  <wp:effectExtent l="0" t="0" r="1270" b="1270"/>
                  <wp:docPr id="872926450" name="Picture 4" descr="A graph of a number of patien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926450" name="Picture 4" descr="A graph of a number of patients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654" cy="48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BBBF4" w14:textId="77777777" w:rsidR="00A5120C" w:rsidRPr="00FF2FBB" w:rsidRDefault="00A5120C" w:rsidP="009D7CA2">
      <w:pPr>
        <w:rPr>
          <w:rFonts w:ascii="Times New Roman" w:hAnsi="Times New Roman" w:cs="Times New Roman"/>
          <w:b/>
          <w:bCs/>
        </w:rPr>
      </w:pPr>
    </w:p>
    <w:p w14:paraId="71D67520" w14:textId="77777777" w:rsidR="00A5120C" w:rsidRPr="00FF2FBB" w:rsidRDefault="00A5120C" w:rsidP="009D7CA2">
      <w:pPr>
        <w:rPr>
          <w:rFonts w:ascii="Times New Roman" w:hAnsi="Times New Roman" w:cs="Times New Roman"/>
          <w:b/>
          <w:bCs/>
        </w:rPr>
      </w:pPr>
    </w:p>
    <w:p w14:paraId="4B5845A2" w14:textId="77777777" w:rsidR="00A5120C" w:rsidRPr="00FF2FBB" w:rsidRDefault="00A5120C" w:rsidP="009D7CA2">
      <w:pPr>
        <w:rPr>
          <w:rFonts w:ascii="Times New Roman" w:hAnsi="Times New Roman" w:cs="Times New Roman"/>
          <w:b/>
          <w:bCs/>
        </w:rPr>
      </w:pPr>
    </w:p>
    <w:p w14:paraId="14743F2E" w14:textId="77777777" w:rsidR="00A5120C" w:rsidRPr="00FF2FBB" w:rsidRDefault="00A5120C" w:rsidP="009D7CA2">
      <w:pPr>
        <w:rPr>
          <w:rFonts w:ascii="Times New Roman" w:hAnsi="Times New Roman" w:cs="Times New Roman"/>
          <w:b/>
          <w:bCs/>
        </w:rPr>
      </w:pPr>
    </w:p>
    <w:p w14:paraId="4AA88DB2" w14:textId="77777777" w:rsidR="00A5120C" w:rsidRPr="00FF2FBB" w:rsidRDefault="00A5120C" w:rsidP="009D7CA2">
      <w:pPr>
        <w:rPr>
          <w:rFonts w:ascii="Times New Roman" w:hAnsi="Times New Roman" w:cs="Times New Roman"/>
          <w:b/>
          <w:bCs/>
        </w:rPr>
      </w:pPr>
    </w:p>
    <w:p w14:paraId="3F50B22B" w14:textId="77777777" w:rsidR="00A5120C" w:rsidRPr="00FF2FBB" w:rsidRDefault="00A5120C" w:rsidP="009D7CA2">
      <w:pPr>
        <w:rPr>
          <w:rFonts w:ascii="Times New Roman" w:hAnsi="Times New Roman" w:cs="Times New Roman"/>
          <w:b/>
          <w:bCs/>
        </w:rPr>
      </w:pPr>
    </w:p>
    <w:sectPr w:rsidR="00A5120C" w:rsidRPr="00FF2FBB">
      <w:headerReference w:type="default" r:id="rId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A1906" w14:textId="77777777" w:rsidR="008117DA" w:rsidRDefault="008117DA">
      <w:pPr>
        <w:spacing w:after="0" w:line="240" w:lineRule="auto"/>
      </w:pPr>
      <w:r>
        <w:separator/>
      </w:r>
    </w:p>
  </w:endnote>
  <w:endnote w:type="continuationSeparator" w:id="0">
    <w:p w14:paraId="38CA35E8" w14:textId="77777777" w:rsidR="008117DA" w:rsidRDefault="00811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69E45" w14:textId="77777777" w:rsidR="008117DA" w:rsidRDefault="008117DA">
      <w:r>
        <w:separator/>
      </w:r>
    </w:p>
  </w:footnote>
  <w:footnote w:type="continuationSeparator" w:id="0">
    <w:p w14:paraId="23F60B9F" w14:textId="77777777" w:rsidR="008117DA" w:rsidRDefault="00811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0B9D9" w14:textId="77777777" w:rsidR="00EF2D34" w:rsidRDefault="00EF2D34" w:rsidP="00E363A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144887AE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000A991"/>
    <w:multiLevelType w:val="multilevel"/>
    <w:tmpl w:val="346A4FC0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2" w15:restartNumberingAfterBreak="0">
    <w:nsid w:val="0B8A67C1"/>
    <w:multiLevelType w:val="hybridMultilevel"/>
    <w:tmpl w:val="5614CE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73694"/>
    <w:multiLevelType w:val="hybridMultilevel"/>
    <w:tmpl w:val="16D09B5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D103F"/>
    <w:multiLevelType w:val="hybridMultilevel"/>
    <w:tmpl w:val="D3446D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E2D91"/>
    <w:multiLevelType w:val="hybridMultilevel"/>
    <w:tmpl w:val="541044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C0D77"/>
    <w:multiLevelType w:val="hybridMultilevel"/>
    <w:tmpl w:val="9EC0B3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954985">
    <w:abstractNumId w:val="0"/>
  </w:num>
  <w:num w:numId="2" w16cid:durableId="560945657">
    <w:abstractNumId w:val="1"/>
  </w:num>
  <w:num w:numId="3" w16cid:durableId="1484352182">
    <w:abstractNumId w:val="0"/>
  </w:num>
  <w:num w:numId="4" w16cid:durableId="1988128093">
    <w:abstractNumId w:val="1"/>
  </w:num>
  <w:num w:numId="5" w16cid:durableId="1812820768">
    <w:abstractNumId w:val="0"/>
  </w:num>
  <w:num w:numId="6" w16cid:durableId="902911072">
    <w:abstractNumId w:val="0"/>
  </w:num>
  <w:num w:numId="7" w16cid:durableId="1921870504">
    <w:abstractNumId w:val="5"/>
  </w:num>
  <w:num w:numId="8" w16cid:durableId="531693746">
    <w:abstractNumId w:val="3"/>
  </w:num>
  <w:num w:numId="9" w16cid:durableId="1834644687">
    <w:abstractNumId w:val="4"/>
  </w:num>
  <w:num w:numId="10" w16cid:durableId="409473721">
    <w:abstractNumId w:val="2"/>
  </w:num>
  <w:num w:numId="11" w16cid:durableId="18973559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4BD"/>
    <w:rsid w:val="00000E67"/>
    <w:rsid w:val="00072A53"/>
    <w:rsid w:val="000753F5"/>
    <w:rsid w:val="000A183A"/>
    <w:rsid w:val="00106262"/>
    <w:rsid w:val="001132BA"/>
    <w:rsid w:val="001709C7"/>
    <w:rsid w:val="00187380"/>
    <w:rsid w:val="00192F64"/>
    <w:rsid w:val="001B1045"/>
    <w:rsid w:val="001F5180"/>
    <w:rsid w:val="00217B57"/>
    <w:rsid w:val="00260680"/>
    <w:rsid w:val="00265FF5"/>
    <w:rsid w:val="00356CCF"/>
    <w:rsid w:val="003F662B"/>
    <w:rsid w:val="0044397E"/>
    <w:rsid w:val="00460F88"/>
    <w:rsid w:val="004A22E0"/>
    <w:rsid w:val="004F40A0"/>
    <w:rsid w:val="0050399E"/>
    <w:rsid w:val="00526EA7"/>
    <w:rsid w:val="005315C0"/>
    <w:rsid w:val="00536292"/>
    <w:rsid w:val="00537B11"/>
    <w:rsid w:val="00543BD2"/>
    <w:rsid w:val="00583C1C"/>
    <w:rsid w:val="0060339E"/>
    <w:rsid w:val="00616495"/>
    <w:rsid w:val="00633784"/>
    <w:rsid w:val="0065504D"/>
    <w:rsid w:val="006607E0"/>
    <w:rsid w:val="0069231F"/>
    <w:rsid w:val="0071464E"/>
    <w:rsid w:val="00733FD1"/>
    <w:rsid w:val="0074742C"/>
    <w:rsid w:val="0075458D"/>
    <w:rsid w:val="007554BD"/>
    <w:rsid w:val="007F3158"/>
    <w:rsid w:val="008117DA"/>
    <w:rsid w:val="00826B8F"/>
    <w:rsid w:val="00856709"/>
    <w:rsid w:val="00885814"/>
    <w:rsid w:val="008D209F"/>
    <w:rsid w:val="0094499E"/>
    <w:rsid w:val="00980A19"/>
    <w:rsid w:val="009C4D17"/>
    <w:rsid w:val="009D7CA2"/>
    <w:rsid w:val="00A00AC2"/>
    <w:rsid w:val="00A0509B"/>
    <w:rsid w:val="00A11B42"/>
    <w:rsid w:val="00A17F64"/>
    <w:rsid w:val="00A23EE8"/>
    <w:rsid w:val="00A5120C"/>
    <w:rsid w:val="00B467E8"/>
    <w:rsid w:val="00BC4E12"/>
    <w:rsid w:val="00C34A01"/>
    <w:rsid w:val="00C374BA"/>
    <w:rsid w:val="00C4143D"/>
    <w:rsid w:val="00C63522"/>
    <w:rsid w:val="00C81F8C"/>
    <w:rsid w:val="00C96625"/>
    <w:rsid w:val="00CD601F"/>
    <w:rsid w:val="00CE084F"/>
    <w:rsid w:val="00D02E3A"/>
    <w:rsid w:val="00D8470F"/>
    <w:rsid w:val="00DC1A43"/>
    <w:rsid w:val="00E20124"/>
    <w:rsid w:val="00E42C7F"/>
    <w:rsid w:val="00E47322"/>
    <w:rsid w:val="00E578D1"/>
    <w:rsid w:val="00EF2D34"/>
    <w:rsid w:val="00F24CC8"/>
    <w:rsid w:val="00F8661B"/>
    <w:rsid w:val="00F920E2"/>
    <w:rsid w:val="00FE1AAA"/>
    <w:rsid w:val="00FF2FBB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DF1969"/>
  <w15:docId w15:val="{9B3C2C8D-7BAA-B545-8374-6158849F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toc 1" w:uiPriority="39"/>
    <w:lsdException w:name="toc 2" w:uiPriority="39"/>
    <w:lsdException w:name="toc 3" w:uiPriority="39"/>
    <w:lsdException w:name="caption" w:uiPriority="35" w:qFormat="1"/>
    <w:lsdException w:name="table of figures" w:uiPriority="99"/>
    <w:lsdException w:name="annotation reference" w:uiPriority="99"/>
    <w:lsdException w:name="Hyperlink" w:uiPriority="99"/>
    <w:lsdException w:name="Strong" w:uiPriority="22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5A39"/>
    <w:pPr>
      <w:spacing w:line="360" w:lineRule="auto"/>
    </w:pPr>
    <w:rPr>
      <w:rFonts w:ascii="Helvetica" w:hAnsi="Helvetica"/>
    </w:rPr>
  </w:style>
  <w:style w:type="paragraph" w:styleId="Heading1">
    <w:name w:val="heading 1"/>
    <w:basedOn w:val="Normal"/>
    <w:next w:val="BodyText"/>
    <w:uiPriority w:val="9"/>
    <w:qFormat/>
    <w:rsid w:val="00F7450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2F00B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rsid w:val="00F7450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BodyText"/>
    <w:uiPriority w:val="9"/>
    <w:unhideWhenUsed/>
    <w:qFormat/>
    <w:rsid w:val="00F74504"/>
    <w:pPr>
      <w:keepNext/>
      <w:keepLines/>
      <w:spacing w:before="200" w:after="0"/>
      <w:outlineLvl w:val="3"/>
    </w:pPr>
    <w:rPr>
      <w:rFonts w:eastAsiaTheme="majorEastAsia" w:cstheme="majorBidi"/>
      <w:bCs/>
      <w:color w:val="000000" w:themeColor="tex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  <w:rsid w:val="00A35A39"/>
    <w:pPr>
      <w:spacing w:line="480" w:lineRule="auto"/>
      <w:jc w:val="both"/>
    </w:pPr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rsid w:val="00AF78B0"/>
    <w:pPr>
      <w:keepNext/>
      <w:keepLines/>
      <w:spacing w:before="480" w:after="240"/>
      <w:jc w:val="center"/>
    </w:pPr>
    <w:rPr>
      <w:rFonts w:eastAsiaTheme="majorEastAsia" w:cstheme="majorBidi"/>
      <w:b/>
      <w:bCs/>
      <w:color w:val="C00000"/>
      <w:sz w:val="40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rsid w:val="002F00BF"/>
    <w:pPr>
      <w:keepNext/>
      <w:keepLines/>
      <w:jc w:val="center"/>
    </w:pPr>
    <w:rPr>
      <w:rFonts w:ascii="Helvetica" w:hAnsi="Helvetica"/>
      <w:color w:val="000000" w:themeColor="text1"/>
    </w:rPr>
  </w:style>
  <w:style w:type="paragraph" w:styleId="Date">
    <w:name w:val="Date"/>
    <w:next w:val="BodyText"/>
    <w:qFormat/>
    <w:rsid w:val="002F00BF"/>
    <w:pPr>
      <w:keepNext/>
      <w:keepLines/>
      <w:jc w:val="center"/>
    </w:pPr>
    <w:rPr>
      <w:rFonts w:ascii="Helvetica" w:hAnsi="Helvetica"/>
      <w:color w:val="000000" w:themeColor="text1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  <w:rsid w:val="00A35A39"/>
    <w:pPr>
      <w:spacing w:line="480" w:lineRule="auto"/>
      <w:jc w:val="both"/>
    </w:p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uiPriority w:val="35"/>
    <w:qFormat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sid w:val="00A35A39"/>
    <w:rPr>
      <w:rFonts w:ascii="Helvetica" w:hAnsi="Helvetica"/>
      <w:i w:val="0"/>
      <w:color w:val="000000" w:themeColor="text1"/>
    </w:rPr>
  </w:style>
  <w:style w:type="paragraph" w:styleId="TOCHeading">
    <w:name w:val="TOC Heading"/>
    <w:basedOn w:val="Heading1"/>
    <w:next w:val="BodyText"/>
    <w:uiPriority w:val="39"/>
    <w:unhideWhenUsed/>
    <w:qFormat/>
    <w:rsid w:val="00A35A39"/>
    <w:pPr>
      <w:spacing w:before="240" w:line="259" w:lineRule="auto"/>
      <w:jc w:val="both"/>
      <w:outlineLvl w:val="9"/>
    </w:pPr>
    <w:rPr>
      <w:bCs w:val="0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rsid w:val="00A35A39"/>
    <w:pPr>
      <w:spacing w:after="100"/>
      <w:jc w:val="both"/>
    </w:pPr>
    <w:rPr>
      <w:b/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A35A39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rsid w:val="00A35A39"/>
    <w:pPr>
      <w:spacing w:after="100"/>
      <w:ind w:left="240"/>
    </w:pPr>
  </w:style>
  <w:style w:type="paragraph" w:styleId="Header">
    <w:name w:val="header"/>
    <w:basedOn w:val="Normal"/>
    <w:link w:val="HeaderChar"/>
    <w:rsid w:val="001F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165C"/>
    <w:rPr>
      <w:rFonts w:ascii="Helvetica" w:hAnsi="Helvetica"/>
    </w:rPr>
  </w:style>
  <w:style w:type="paragraph" w:styleId="Footer">
    <w:name w:val="footer"/>
    <w:basedOn w:val="Normal"/>
    <w:link w:val="FooterChar"/>
    <w:rsid w:val="001F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F165C"/>
    <w:rPr>
      <w:rFonts w:ascii="Helvetica" w:hAnsi="Helvetica"/>
    </w:rPr>
  </w:style>
  <w:style w:type="table" w:styleId="ListTable4-Accent1">
    <w:name w:val="List Table 4 Accent 1"/>
    <w:basedOn w:val="TableNormal"/>
    <w:uiPriority w:val="49"/>
    <w:rsid w:val="000C2A58"/>
    <w:pPr>
      <w:spacing w:after="0"/>
    </w:pPr>
    <w:rPr>
      <w:rFonts w:ascii="Helvetica" w:hAnsi="Helvetic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95B3D7" w:themeColor="accent1" w:themeTint="99"/>
      </w:tblBorders>
    </w:tblPr>
    <w:tcPr>
      <w:vAlign w:val="center"/>
    </w:tcPr>
    <w:tblStylePr w:type="firstRow">
      <w:rPr>
        <w:b/>
        <w:bCs/>
        <w:color w:val="000000" w:themeColor="text1"/>
      </w:rPr>
    </w:tblStylePr>
    <w:tblStylePr w:type="lastRow">
      <w:rPr>
        <w:b/>
        <w:bCs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vAlign w:val="center"/>
      </w:tcPr>
    </w:tblStylePr>
    <w:tblStylePr w:type="lastCol">
      <w:rPr>
        <w:b/>
        <w:bCs/>
      </w:r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stTable2-Accent1">
    <w:name w:val="List Table 2 Accent 1"/>
    <w:basedOn w:val="TableNormal"/>
    <w:uiPriority w:val="47"/>
    <w:rsid w:val="008D209F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">
    <w:name w:val="Table Grid"/>
    <w:basedOn w:val="TableNormal"/>
    <w:rsid w:val="00E4732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2">
    <w:name w:val="List Table 1 Light Accent 2"/>
    <w:basedOn w:val="TableNormal"/>
    <w:uiPriority w:val="46"/>
    <w:rsid w:val="00F24CC8"/>
    <w:pPr>
      <w:spacing w:after="0"/>
    </w:pPr>
    <w:rPr>
      <w:kern w:val="2"/>
      <w:lang w:val="en-AU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CommentReference">
    <w:name w:val="annotation reference"/>
    <w:basedOn w:val="DefaultParagraphFont"/>
    <w:uiPriority w:val="99"/>
    <w:unhideWhenUsed/>
    <w:rsid w:val="00F24CC8"/>
    <w:rPr>
      <w:sz w:val="16"/>
      <w:szCs w:val="16"/>
    </w:rPr>
  </w:style>
  <w:style w:type="table" w:styleId="ListTable1Light-Accent1">
    <w:name w:val="List Table 1 Light Accent 1"/>
    <w:basedOn w:val="TableNormal"/>
    <w:uiPriority w:val="46"/>
    <w:rsid w:val="00F24C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24CC8"/>
    <w:pPr>
      <w:spacing w:after="0"/>
    </w:pPr>
    <w:rPr>
      <w:kern w:val="2"/>
      <w:lang w:val="en-AU"/>
      <w14:ligatures w14:val="standardContextual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94499E"/>
    <w:pPr>
      <w:spacing w:after="0"/>
    </w:pPr>
    <w:rPr>
      <w:color w:val="365F91" w:themeColor="accent1" w:themeShade="BF"/>
      <w:kern w:val="2"/>
      <w:lang w:val="en-AU"/>
      <w14:ligatures w14:val="standardContextual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tfrommd">
    <w:name w:val="gt_from_md"/>
    <w:basedOn w:val="DefaultParagraphFont"/>
    <w:rsid w:val="00E578D1"/>
  </w:style>
  <w:style w:type="character" w:styleId="Strong">
    <w:name w:val="Strong"/>
    <w:basedOn w:val="DefaultParagraphFont"/>
    <w:uiPriority w:val="22"/>
    <w:qFormat/>
    <w:rsid w:val="00E578D1"/>
    <w:rPr>
      <w:b/>
      <w:bCs/>
    </w:rPr>
  </w:style>
  <w:style w:type="character" w:customStyle="1" w:styleId="gtfootnotemarks">
    <w:name w:val="gt_footnote_marks"/>
    <w:basedOn w:val="DefaultParagraphFont"/>
    <w:rsid w:val="00E578D1"/>
  </w:style>
  <w:style w:type="paragraph" w:styleId="CommentText">
    <w:name w:val="annotation text"/>
    <w:basedOn w:val="Normal"/>
    <w:link w:val="CommentTextChar"/>
    <w:rsid w:val="00526E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26EA7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526E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26EA7"/>
    <w:rPr>
      <w:rFonts w:ascii="Helvetica" w:hAnsi="Helvetica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rsid w:val="00E42C7F"/>
    <w:pPr>
      <w:spacing w:after="0"/>
    </w:pPr>
  </w:style>
  <w:style w:type="paragraph" w:styleId="ListParagraph">
    <w:name w:val="List Paragraph"/>
    <w:basedOn w:val="Normal"/>
    <w:rsid w:val="00FF2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F8B91A-2111-7248-B504-440FD2815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15</Pages>
  <Words>1718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vasopressin_report</vt:lpstr>
    </vt:vector>
  </TitlesOfParts>
  <Company/>
  <LinksUpToDate>false</LinksUpToDate>
  <CharactersWithSpaces>11495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vasopressin_report</dc:title>
  <dc:creator>CHABA, Anis</dc:creator>
  <cp:keywords/>
  <cp:lastModifiedBy>Anis Chaba</cp:lastModifiedBy>
  <cp:revision>29</cp:revision>
  <dcterms:created xsi:type="dcterms:W3CDTF">2024-12-10T20:37:00Z</dcterms:created>
  <dcterms:modified xsi:type="dcterms:W3CDTF">2025-02-20T18:16:00Z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Sys.Date()</vt:lpwstr>
  </property>
  <property fmtid="{D5CDD505-2E9C-101B-9397-08002B2CF9AE}" pid="3" name="editor_options">
    <vt:lpwstr/>
  </property>
  <property fmtid="{D5CDD505-2E9C-101B-9397-08002B2CF9AE}" pid="4" name="output">
    <vt:lpwstr/>
  </property>
</Properties>
</file>