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sz w:val="24"/>
          <w:szCs w:val="24"/>
        </w:rPr>
      </w:pPr>
      <w:r>
        <w:rPr>
          <w:rFonts w:ascii="Times New Roman" w:eastAsia="DengXi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48F2C49F" wp14:editId="246DDE9B">
            <wp:extent cx="5274310" cy="53117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DengXian" w:hAnsi="Times New Roman" w:cs="Times New Roman"/>
          <w:b/>
          <w:sz w:val="24"/>
          <w:szCs w:val="24"/>
        </w:rPr>
        <w:t>Figure S1. Downregulated METTL3 inhibits HCC cell proliferation, migration, and invasion by up-regulating FSTL5.</w:t>
      </w:r>
    </w:p>
    <w:p w:rsidR="0001288E" w:rsidRDefault="0001288E" w:rsidP="0001288E">
      <w:pPr>
        <w:adjustRightInd w:val="0"/>
        <w:snapToGrid w:val="0"/>
        <w:rPr>
          <w:rFonts w:ascii="Times New Roman" w:eastAsia="DengXi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(A) </w:t>
      </w:r>
      <w:r>
        <w:rPr>
          <w:rFonts w:ascii="Times New Roman" w:hAnsi="Times New Roman" w:cs="Times New Roman"/>
          <w:sz w:val="22"/>
        </w:rPr>
        <w:t xml:space="preserve">The transfection efficiency of sh-METTL3-2 and sh-FSTL5-2 in </w:t>
      </w:r>
      <w:r>
        <w:rPr>
          <w:rFonts w:ascii="Times New Roman" w:eastAsia="DengXian" w:hAnsi="Times New Roman" w:cs="Times New Roman"/>
          <w:sz w:val="22"/>
        </w:rPr>
        <w:t xml:space="preserve">Huh-7 and HepG2 cells, respectively, </w:t>
      </w:r>
      <w:r>
        <w:rPr>
          <w:rFonts w:ascii="Times New Roman" w:hAnsi="Times New Roman" w:cs="Times New Roman"/>
          <w:sz w:val="22"/>
        </w:rPr>
        <w:t xml:space="preserve">was confirmed by RT-qPCR assay. </w:t>
      </w:r>
      <w:r>
        <w:rPr>
          <w:rFonts w:ascii="Times New Roman" w:eastAsia="DengXian" w:hAnsi="Times New Roman" w:cs="Times New Roman"/>
          <w:sz w:val="22"/>
        </w:rPr>
        <w:t xml:space="preserve">(B) CCK-8 and (C) colony formation assays were used to detect cell proliferation. (D) Transwell analysis detected cell migrations and </w:t>
      </w:r>
      <w:r>
        <w:rPr>
          <w:rFonts w:ascii="Times New Roman" w:hAnsi="Times New Roman" w:cs="Times New Roman"/>
          <w:sz w:val="22"/>
        </w:rPr>
        <w:t>invasion</w:t>
      </w:r>
      <w:r>
        <w:rPr>
          <w:rFonts w:ascii="Times New Roman" w:eastAsia="DengXian" w:hAnsi="Times New Roman" w:cs="Times New Roman"/>
          <w:sz w:val="22"/>
        </w:rPr>
        <w:t>. Bar = 100 μm. The data represent three separate experiments and are expressed as mean ± SEM. ***</w:t>
      </w:r>
      <w:r>
        <w:rPr>
          <w:rFonts w:ascii="Times New Roman" w:eastAsia="DengXian" w:hAnsi="Times New Roman" w:cs="Times New Roman"/>
          <w:i/>
          <w:sz w:val="22"/>
        </w:rPr>
        <w:t>p</w:t>
      </w:r>
      <w:r>
        <w:rPr>
          <w:rFonts w:ascii="Times New Roman" w:eastAsia="DengXian" w:hAnsi="Times New Roman" w:cs="Times New Roman"/>
          <w:sz w:val="22"/>
        </w:rPr>
        <w:t xml:space="preserve"> &lt; 0.001, *</w:t>
      </w:r>
      <w:r>
        <w:rPr>
          <w:rFonts w:ascii="Times New Roman" w:eastAsia="DengXian" w:hAnsi="Times New Roman" w:cs="Times New Roman"/>
          <w:i/>
          <w:sz w:val="22"/>
        </w:rPr>
        <w:t>p</w:t>
      </w:r>
      <w:r>
        <w:rPr>
          <w:rFonts w:ascii="Times New Roman" w:eastAsia="DengXian" w:hAnsi="Times New Roman" w:cs="Times New Roman"/>
          <w:sz w:val="22"/>
        </w:rPr>
        <w:t xml:space="preserve"> &lt; 0.05, **</w:t>
      </w:r>
      <w:r>
        <w:rPr>
          <w:rFonts w:ascii="Times New Roman" w:eastAsia="DengXian" w:hAnsi="Times New Roman" w:cs="Times New Roman"/>
          <w:i/>
          <w:sz w:val="22"/>
        </w:rPr>
        <w:t>p</w:t>
      </w:r>
      <w:r>
        <w:rPr>
          <w:rFonts w:ascii="Times New Roman" w:eastAsia="DengXian" w:hAnsi="Times New Roman" w:cs="Times New Roman"/>
          <w:sz w:val="22"/>
        </w:rPr>
        <w:t xml:space="preserve"> &lt; 0.01.</w:t>
      </w: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01288E" w:rsidRDefault="0001288E" w:rsidP="000128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1. Characteristics of participants</w:t>
      </w:r>
    </w:p>
    <w:p w:rsidR="0001288E" w:rsidRDefault="0001288E" w:rsidP="000128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3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332"/>
      </w:tblGrid>
      <w:tr w:rsidR="0001288E" w:rsidTr="005A7375">
        <w:tc>
          <w:tcPr>
            <w:tcW w:w="3827" w:type="dxa"/>
            <w:tcBorders>
              <w:top w:val="single" w:sz="12" w:space="0" w:color="auto"/>
              <w:bottom w:val="single" w:sz="4" w:space="0" w:color="auto"/>
            </w:tcBorders>
          </w:tcPr>
          <w:p w:rsidR="0001288E" w:rsidRDefault="0001288E" w:rsidP="005A7375">
            <w:pPr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Parameters </w:t>
            </w:r>
          </w:p>
        </w:tc>
        <w:tc>
          <w:tcPr>
            <w:tcW w:w="4332" w:type="dxa"/>
            <w:tcBorders>
              <w:top w:val="single" w:sz="12" w:space="0" w:color="auto"/>
              <w:bottom w:val="single" w:sz="4" w:space="0" w:color="auto"/>
            </w:tcBorders>
          </w:tcPr>
          <w:p w:rsidR="0001288E" w:rsidRDefault="0001288E" w:rsidP="005A7375">
            <w:pPr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Total 28 (100%)</w:t>
            </w:r>
          </w:p>
        </w:tc>
      </w:tr>
      <w:tr w:rsidR="0001288E" w:rsidTr="005A7375">
        <w:tc>
          <w:tcPr>
            <w:tcW w:w="3827" w:type="dxa"/>
            <w:tcBorders>
              <w:top w:val="single" w:sz="4" w:space="0" w:color="auto"/>
            </w:tcBorders>
          </w:tcPr>
          <w:p w:rsidR="0001288E" w:rsidRDefault="0001288E" w:rsidP="005A7375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Age</w:t>
            </w:r>
          </w:p>
        </w:tc>
        <w:tc>
          <w:tcPr>
            <w:tcW w:w="4332" w:type="dxa"/>
            <w:tcBorders>
              <w:top w:val="single" w:sz="4" w:space="0" w:color="auto"/>
            </w:tcBorders>
          </w:tcPr>
          <w:p w:rsidR="0001288E" w:rsidRDefault="0001288E" w:rsidP="005A7375">
            <w:pPr>
              <w:jc w:val="left"/>
              <w:rPr>
                <w:rFonts w:eastAsia="SimSun"/>
                <w:sz w:val="24"/>
                <w:szCs w:val="24"/>
              </w:rPr>
            </w:pP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≥50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17 (60.71%)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&lt;50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11 (39.29%)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Gender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Female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13 (46.43%)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Male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15 (53.57%)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Tumor size (cm)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&lt;5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16 (57.14%)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≥5</w:t>
            </w:r>
          </w:p>
        </w:tc>
        <w:tc>
          <w:tcPr>
            <w:tcW w:w="4332" w:type="dxa"/>
          </w:tcPr>
          <w:p w:rsidR="0001288E" w:rsidRDefault="0001288E" w:rsidP="005A7375">
            <w:pPr>
              <w:tabs>
                <w:tab w:val="center" w:pos="2058"/>
              </w:tabs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12 (42.86%)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Pathological stage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I+II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18 (64.29%)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III+VI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10 (35.71%)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HBeAg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Positive 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10 (35.71%)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Negative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18 (64.29%)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Number of nodules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Cs/>
                <w:sz w:val="24"/>
                <w:szCs w:val="24"/>
              </w:rPr>
            </w:pPr>
            <w:r>
              <w:rPr>
                <w:rFonts w:eastAsia="SimSun"/>
                <w:bCs/>
                <w:sz w:val="24"/>
                <w:szCs w:val="24"/>
              </w:rPr>
              <w:t>Single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20 (71.43%)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Cs/>
                <w:sz w:val="24"/>
                <w:szCs w:val="24"/>
              </w:rPr>
            </w:pPr>
            <w:r>
              <w:rPr>
                <w:rFonts w:eastAsia="SimSun"/>
                <w:bCs/>
                <w:sz w:val="24"/>
                <w:szCs w:val="24"/>
              </w:rPr>
              <w:t>≥2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8 (28.57%)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Macrovascular invasion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Cs/>
                <w:sz w:val="24"/>
                <w:szCs w:val="24"/>
              </w:rPr>
            </w:pPr>
            <w:r>
              <w:rPr>
                <w:rFonts w:eastAsia="SimSun"/>
                <w:bCs/>
                <w:sz w:val="24"/>
                <w:szCs w:val="24"/>
              </w:rPr>
              <w:t>No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12 (42.86%)</w:t>
            </w:r>
          </w:p>
        </w:tc>
      </w:tr>
      <w:tr w:rsidR="0001288E" w:rsidTr="005A7375">
        <w:tc>
          <w:tcPr>
            <w:tcW w:w="3827" w:type="dxa"/>
          </w:tcPr>
          <w:p w:rsidR="0001288E" w:rsidRDefault="0001288E" w:rsidP="005A7375">
            <w:pPr>
              <w:rPr>
                <w:rFonts w:eastAsia="SimSun"/>
                <w:bCs/>
                <w:sz w:val="24"/>
                <w:szCs w:val="24"/>
              </w:rPr>
            </w:pPr>
            <w:r>
              <w:rPr>
                <w:rFonts w:eastAsia="SimSun"/>
                <w:bCs/>
                <w:sz w:val="24"/>
                <w:szCs w:val="24"/>
              </w:rPr>
              <w:t>Yes</w:t>
            </w:r>
          </w:p>
        </w:tc>
        <w:tc>
          <w:tcPr>
            <w:tcW w:w="4332" w:type="dxa"/>
          </w:tcPr>
          <w:p w:rsidR="0001288E" w:rsidRDefault="0001288E" w:rsidP="005A7375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16 (57.14%)</w:t>
            </w:r>
          </w:p>
        </w:tc>
      </w:tr>
    </w:tbl>
    <w:p w:rsidR="0001288E" w:rsidRDefault="0001288E" w:rsidP="000128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88E" w:rsidRDefault="0001288E" w:rsidP="000128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288E" w:rsidRDefault="0001288E" w:rsidP="000128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upplementary table 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Sequences of shRNA</w:t>
      </w:r>
    </w:p>
    <w:tbl>
      <w:tblPr>
        <w:tblW w:w="879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5"/>
        <w:gridCol w:w="6294"/>
      </w:tblGrid>
      <w:tr w:rsidR="0001288E" w:rsidTr="005A7375">
        <w:trPr>
          <w:trHeight w:val="501"/>
        </w:trPr>
        <w:tc>
          <w:tcPr>
            <w:tcW w:w="2505" w:type="dxa"/>
            <w:tcBorders>
              <w:left w:val="nil"/>
              <w:right w:val="nil"/>
            </w:tcBorders>
          </w:tcPr>
          <w:p w:rsidR="0001288E" w:rsidRDefault="0001288E" w:rsidP="005A73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6294" w:type="dxa"/>
            <w:tcBorders>
              <w:left w:val="nil"/>
              <w:right w:val="nil"/>
            </w:tcBorders>
          </w:tcPr>
          <w:p w:rsidR="0001288E" w:rsidRDefault="0001288E" w:rsidP="005A7375">
            <w:pPr>
              <w:spacing w:line="360" w:lineRule="auto"/>
              <w:ind w:leftChars="-37" w:left="-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Sequence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(5’-3’)</w:t>
            </w:r>
          </w:p>
        </w:tc>
      </w:tr>
      <w:tr w:rsidR="0001288E" w:rsidTr="005A7375">
        <w:trPr>
          <w:trHeight w:val="501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sh-METTL3</w:t>
            </w: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ACCTCGAGATCCTAGAGCTATTAAATTCAAGAGATTTAATAGCTCTAGGATCTCTT</w:t>
            </w:r>
          </w:p>
        </w:tc>
      </w:tr>
      <w:tr w:rsidR="0001288E" w:rsidTr="005A7375">
        <w:trPr>
          <w:trHeight w:val="491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sh-METTL3</w:t>
            </w: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-2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ACCTCGTTAGAGAAGAAGTTGCTACATCAAGAGTGTAGCAACTTCTTCTCTAACTT</w:t>
            </w:r>
          </w:p>
        </w:tc>
      </w:tr>
      <w:tr w:rsidR="0001288E" w:rsidTr="005A7375">
        <w:trPr>
          <w:trHeight w:val="982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sh-FSTL5-1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ACCTCGATGATGGGTCCTTGTATATTTCAAGAGAATATACAAGGACCCATCATCTT</w:t>
            </w:r>
          </w:p>
        </w:tc>
      </w:tr>
      <w:tr w:rsidR="0001288E" w:rsidTr="005A7375">
        <w:trPr>
          <w:trHeight w:val="982"/>
        </w:trPr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sh-FSTL5-2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ACCTCGGTTGAAGAATGGAATTGATATCAAGAGTATCAATTCCATTCTTCAACCTT</w:t>
            </w:r>
          </w:p>
        </w:tc>
      </w:tr>
    </w:tbl>
    <w:p w:rsidR="0001288E" w:rsidRDefault="0001288E" w:rsidP="000128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88E" w:rsidRDefault="0001288E" w:rsidP="000128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88E" w:rsidRDefault="0001288E" w:rsidP="000128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88E" w:rsidRDefault="0001288E" w:rsidP="000128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88E" w:rsidRDefault="0001288E" w:rsidP="000128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Primer sequences of genes in RT-qPCR assay</w:t>
      </w:r>
    </w:p>
    <w:tbl>
      <w:tblPr>
        <w:tblW w:w="935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3651"/>
        <w:gridCol w:w="4253"/>
      </w:tblGrid>
      <w:tr w:rsidR="0001288E" w:rsidTr="005A7375">
        <w:trPr>
          <w:trHeight w:val="273"/>
        </w:trPr>
        <w:tc>
          <w:tcPr>
            <w:tcW w:w="1453" w:type="dxa"/>
            <w:tcBorders>
              <w:left w:val="nil"/>
              <w:right w:val="nil"/>
            </w:tcBorders>
          </w:tcPr>
          <w:p w:rsidR="0001288E" w:rsidRDefault="0001288E" w:rsidP="005A73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3651" w:type="dxa"/>
            <w:tcBorders>
              <w:left w:val="nil"/>
              <w:right w:val="nil"/>
            </w:tcBorders>
          </w:tcPr>
          <w:p w:rsidR="0001288E" w:rsidRDefault="0001288E" w:rsidP="005A7375">
            <w:pPr>
              <w:spacing w:line="360" w:lineRule="auto"/>
              <w:ind w:leftChars="-37" w:left="-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Forward Primer (5’-3’)</w:t>
            </w: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01288E" w:rsidRDefault="0001288E" w:rsidP="005A73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Reverse Primer (5’-3’)</w:t>
            </w:r>
          </w:p>
        </w:tc>
      </w:tr>
      <w:tr w:rsidR="0001288E" w:rsidTr="005A7375">
        <w:trPr>
          <w:trHeight w:val="273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FSTL5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ATACGCTGAGTGTGGTTTGC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CTTCATCCACTTCCACAGCG</w:t>
            </w:r>
          </w:p>
        </w:tc>
      </w:tr>
      <w:tr w:rsidR="0001288E" w:rsidTr="005A7375">
        <w:trPr>
          <w:trHeight w:val="273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METTL3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CAAGCTGCACTTCAGACGAA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GCTTGGCGTGTGGTCTTT</w:t>
            </w:r>
          </w:p>
        </w:tc>
      </w:tr>
      <w:tr w:rsidR="0001288E" w:rsidTr="005A7375">
        <w:trPr>
          <w:trHeight w:val="273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miR-186-5p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TCAAAGAATTCTCCTTTTGGGCT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widowControl/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CGCTTCACGAATTTGCGTGTCAT</w:t>
            </w:r>
          </w:p>
        </w:tc>
      </w:tr>
      <w:tr w:rsidR="0001288E" w:rsidTr="005A7375">
        <w:trPr>
          <w:trHeight w:val="273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U6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GCTTCGGCAGCACATATACTAA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AACGCTTCACGAATTTGCGT</w:t>
            </w:r>
          </w:p>
        </w:tc>
      </w:tr>
      <w:tr w:rsidR="0001288E" w:rsidTr="005A7375">
        <w:trPr>
          <w:trHeight w:val="273"/>
        </w:trPr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TGTGTCCGTCGTGGATCTGA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88E" w:rsidRDefault="0001288E" w:rsidP="005A73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CCTGCTTCACCACCTTCTTGA</w:t>
            </w:r>
          </w:p>
        </w:tc>
      </w:tr>
    </w:tbl>
    <w:p w:rsidR="0001288E" w:rsidRDefault="0001288E" w:rsidP="0001288E">
      <w:pPr>
        <w:rPr>
          <w:rFonts w:ascii="Times New Roman" w:hAnsi="Times New Roman" w:cs="Times New Roman"/>
          <w:sz w:val="24"/>
          <w:szCs w:val="24"/>
        </w:rPr>
      </w:pPr>
    </w:p>
    <w:p w:rsidR="0001288E" w:rsidRDefault="0001288E" w:rsidP="0001288E">
      <w:pPr>
        <w:rPr>
          <w:rFonts w:ascii="Times New Roman" w:hAnsi="Times New Roman" w:cs="Times New Roman"/>
          <w:sz w:val="24"/>
          <w:szCs w:val="24"/>
        </w:rPr>
      </w:pPr>
    </w:p>
    <w:p w:rsidR="0001288E" w:rsidRDefault="0001288E" w:rsidP="0001288E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F4526F" w:rsidRDefault="00F4526F">
      <w:bookmarkStart w:id="0" w:name="_GoBack"/>
      <w:bookmarkEnd w:id="0"/>
    </w:p>
    <w:sectPr w:rsidR="00F45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8E"/>
    <w:rsid w:val="0001288E"/>
    <w:rsid w:val="003A0A23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9D020E-E966-4E92-9C8F-6D5EB083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88E"/>
    <w:pPr>
      <w:widowControl w:val="0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1288E"/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254</Words>
  <Characters>1448</Characters>
  <Application>Microsoft Office Word</Application>
  <DocSecurity>0</DocSecurity>
  <Lines>12</Lines>
  <Paragraphs>3</Paragraphs>
  <ScaleCrop>false</ScaleCrop>
  <Company>Springer Nature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2021-06-15T14:23:00Z</dcterms:created>
  <dcterms:modified xsi:type="dcterms:W3CDTF">2021-06-15T14:24:00Z</dcterms:modified>
</cp:coreProperties>
</file>