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>
          <w:b w:val="1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Histology Imaging of the Brain</w:t>
      </w:r>
      <w:r w:rsidDel="00000000" w:rsidR="00000000" w:rsidRPr="00000000">
        <w:rPr>
          <w:b w:val="1"/>
          <w:rtl w:val="0"/>
        </w:rPr>
        <w:t xml:space="preserve"> </w:t>
      </w:r>
    </w:p>
    <w:p w:rsidR="00000000" w:rsidDel="00000000" w:rsidP="00000000" w:rsidRDefault="00000000" w:rsidRPr="00000000" w14:paraId="00000002">
      <w:pPr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15"/>
        <w:gridCol w:w="1095"/>
        <w:gridCol w:w="6750"/>
        <w:tblGridChange w:id="0">
          <w:tblGrid>
            <w:gridCol w:w="1515"/>
            <w:gridCol w:w="1095"/>
            <w:gridCol w:w="675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Groups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Image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Control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23769" cy="1775203"/>
                  <wp:effectExtent b="0" l="0" r="0" t="0"/>
                  <wp:docPr id="19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769" cy="17752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05113" cy="2163700"/>
                  <wp:effectExtent b="0" l="0" r="0" t="0"/>
                  <wp:docPr id="1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113" cy="216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97658" cy="1782645"/>
                  <wp:effectExtent b="0" l="0" r="0" t="0"/>
                  <wp:docPr id="1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658" cy="17826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086709" cy="1909763"/>
                  <wp:effectExtent b="0" l="0" r="0" t="0"/>
                  <wp:docPr id="12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709" cy="19097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081338" cy="1962984"/>
                  <wp:effectExtent b="0" l="0" r="0" t="0"/>
                  <wp:docPr id="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338" cy="19629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Dose 1:1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057591" cy="2317254"/>
                  <wp:effectExtent b="0" l="0" r="0" t="0"/>
                  <wp:docPr id="1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91" cy="23172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460304" cy="2052638"/>
                  <wp:effectExtent b="0" l="0" r="0" t="0"/>
                  <wp:docPr id="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304" cy="2052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289856" cy="2170658"/>
                  <wp:effectExtent b="0" l="0" r="0" t="0"/>
                  <wp:docPr id="15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856" cy="21706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57463" cy="2557463"/>
                  <wp:effectExtent b="0" l="0" r="0" t="0"/>
                  <wp:docPr id="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463" cy="2557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382763" cy="1795463"/>
                  <wp:effectExtent b="0" l="0" r="0" t="0"/>
                  <wp:docPr id="8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763" cy="1795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Dose 1:100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395538" cy="1847850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538" cy="18478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433638" cy="1857250"/>
                  <wp:effectExtent b="0" l="0" r="0" t="0"/>
                  <wp:docPr id="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638" cy="18572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986088" cy="2307928"/>
                  <wp:effectExtent b="0" l="0" r="0" t="0"/>
                  <wp:docPr id="10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088" cy="23079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27123" cy="2399258"/>
                  <wp:effectExtent b="0" l="0" r="0" t="0"/>
                  <wp:docPr id="18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123" cy="23992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3688" cy="1908085"/>
                  <wp:effectExtent b="0" l="0" r="0" t="0"/>
                  <wp:docPr id="1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88" cy="19080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Dose 100:1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86038" cy="2016828"/>
                  <wp:effectExtent b="0" l="0" r="0" t="0"/>
                  <wp:docPr id="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38" cy="20168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14613" cy="2135267"/>
                  <wp:effectExtent b="0" l="0" r="0" t="0"/>
                  <wp:docPr id="6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613" cy="21352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757488" cy="2274164"/>
                  <wp:effectExtent b="0" l="0" r="0" t="0"/>
                  <wp:docPr id="16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488" cy="22741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28099" cy="1595438"/>
                  <wp:effectExtent b="0" l="0" r="0" t="0"/>
                  <wp:docPr id="20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099" cy="1595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99075" cy="1732508"/>
                  <wp:effectExtent b="0" l="0" r="0" t="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075" cy="17325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2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>
          <w:b w:val="1"/>
          <w:highlight w:val="yellow"/>
        </w:rPr>
      </w:pPr>
      <w:r w:rsidDel="00000000" w:rsidR="00000000" w:rsidRPr="00000000">
        <w:rPr>
          <w:b w:val="1"/>
          <w:highlight w:val="yellow"/>
          <w:rtl w:val="0"/>
        </w:rPr>
        <w:t xml:space="preserve">Pre test post test</w:t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780"/>
        <w:gridCol w:w="780"/>
        <w:gridCol w:w="780"/>
        <w:gridCol w:w="780"/>
        <w:gridCol w:w="780"/>
        <w:gridCol w:w="780"/>
        <w:gridCol w:w="780"/>
        <w:gridCol w:w="780"/>
        <w:gridCol w:w="780"/>
        <w:gridCol w:w="780"/>
        <w:gridCol w:w="780"/>
        <w:gridCol w:w="780"/>
        <w:tblGridChange w:id="0">
          <w:tblGrid>
            <w:gridCol w:w="780"/>
            <w:gridCol w:w="780"/>
            <w:gridCol w:w="780"/>
            <w:gridCol w:w="780"/>
            <w:gridCol w:w="780"/>
            <w:gridCol w:w="780"/>
            <w:gridCol w:w="780"/>
            <w:gridCol w:w="780"/>
            <w:gridCol w:w="780"/>
            <w:gridCol w:w="780"/>
            <w:gridCol w:w="780"/>
            <w:gridCol w:w="780"/>
          </w:tblGrid>
        </w:tblGridChange>
      </w:tblGrid>
      <w:tr>
        <w:trPr>
          <w:cantSplit w:val="0"/>
          <w:tblHeader w:val="0"/>
        </w:trPr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spacing w:after="240" w:before="240" w:lineRule="auto"/>
              <w:ind w:left="10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Perlakuan</w:t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U1</w:t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U2</w:t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U3</w:t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U4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U5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Kontrol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spacing w:after="240" w:before="240" w:lineRule="auto"/>
              <w:ind w:left="10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Pre-Test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8.44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6.15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6.58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7.15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ind w:left="10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spacing w:after="240" w:before="240" w:lineRule="auto"/>
              <w:ind w:left="10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Post-Test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7.56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8.53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7.49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6.19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6.37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Dosis 1:1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spacing w:after="240" w:before="240" w:lineRule="auto"/>
              <w:ind w:left="10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Pre-Test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10.56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8.59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7.1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7.29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ind w:left="10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spacing w:after="240" w:before="240" w:lineRule="auto"/>
              <w:ind w:left="10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Post-Test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7.23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6.49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6.32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5.29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Dosis 1:100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spacing w:after="240" w:before="240" w:lineRule="auto"/>
              <w:ind w:left="10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Pre-Test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7.51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7.45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6.47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ind w:left="10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spacing w:after="240" w:before="240" w:lineRule="auto"/>
              <w:ind w:left="10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Post 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6.58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6.59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5.92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spacing w:after="240" w:before="240" w:lineRule="auto"/>
              <w:ind w:left="100" w:firstLine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Dosis 100:1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spacing w:after="240" w:before="240" w:lineRule="auto"/>
              <w:ind w:left="10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Pre-Test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7.56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7.79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7.54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7.29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ind w:left="10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spacing w:after="240" w:before="240" w:lineRule="auto"/>
              <w:ind w:left="10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Post-Test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8.56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6.39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6.53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5.42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6">
            <w:pPr>
              <w:spacing w:after="240" w:before="240" w:lineRule="auto"/>
              <w:ind w:left="10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7">
            <w:pPr>
              <w:spacing w:after="240" w:before="240" w:lineRule="auto"/>
              <w:ind w:left="10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36"/>
        <w:gridCol w:w="936"/>
        <w:gridCol w:w="936"/>
        <w:gridCol w:w="936"/>
        <w:gridCol w:w="936"/>
        <w:gridCol w:w="936"/>
        <w:gridCol w:w="936"/>
        <w:gridCol w:w="936"/>
        <w:gridCol w:w="936"/>
        <w:gridCol w:w="936"/>
        <w:tblGridChange w:id="0">
          <w:tblGrid>
            <w:gridCol w:w="936"/>
            <w:gridCol w:w="936"/>
            <w:gridCol w:w="936"/>
            <w:gridCol w:w="936"/>
            <w:gridCol w:w="936"/>
            <w:gridCol w:w="936"/>
            <w:gridCol w:w="936"/>
            <w:gridCol w:w="936"/>
            <w:gridCol w:w="936"/>
            <w:gridCol w:w="936"/>
          </w:tblGrid>
        </w:tblGridChange>
      </w:tblGrid>
      <w:tr>
        <w:trPr>
          <w:cantSplit w:val="0"/>
          <w:trHeight w:val="812.373046875" w:hRule="atLeast"/>
          <w:tblHeader w:val="0"/>
        </w:trPr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spacing w:after="240" w:befor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Sel</w:t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Kontrol</w:t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P1</w:t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P2</w:t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P3</w:t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Sel Normal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spacing w:after="240" w:befor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Pre-Test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55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6.15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6.58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7.15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spacing w:after="240" w:befor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Post-Test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62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8.53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7.49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6.19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Dosis 1:1</w:t>
            </w:r>
          </w:p>
          <w:p w:rsidR="00000000" w:rsidDel="00000000" w:rsidP="00000000" w:rsidRDefault="00000000" w:rsidRPr="00000000" w14:paraId="000000F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spacing w:after="240" w:befor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Pre-Test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71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8.59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spacing w:after="240" w:befor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Post-Test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62,67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7.23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7.49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6.32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Dosis 1:100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spacing w:after="240" w:befor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Pre-Test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7.51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7.45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spacing w:after="240" w:befor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Post 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6.58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2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4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7.59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6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8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Dosis 100:1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spacing w:after="240" w:befor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Pre-Test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7.56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7.79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7.54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spacing w:after="240" w:befor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Post-Test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8.56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7.34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6.39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6.53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spacing w:after="240" w:befor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D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numPr>
          <w:ilvl w:val="0"/>
          <w:numId w:val="2"/>
        </w:numPr>
        <w:ind w:left="720" w:hanging="360"/>
        <w:rPr/>
      </w:pPr>
      <w:r w:rsidDel="00000000" w:rsidR="00000000" w:rsidRPr="00000000">
        <w:rPr>
          <w:rtl w:val="0"/>
        </w:rPr>
        <w:t xml:space="preserve">No. Catalogue tiap bahan</w:t>
      </w:r>
    </w:p>
    <w:p w:rsidR="00000000" w:rsidDel="00000000" w:rsidP="00000000" w:rsidRDefault="00000000" w:rsidRPr="00000000" w14:paraId="0000013A">
      <w:pPr>
        <w:numPr>
          <w:ilvl w:val="1"/>
          <w:numId w:val="2"/>
        </w:numPr>
        <w:ind w:left="1440" w:hanging="360"/>
        <w:rPr/>
      </w:pPr>
      <w:r w:rsidDel="00000000" w:rsidR="00000000" w:rsidRPr="00000000">
        <w:rPr>
          <w:rtl w:val="0"/>
        </w:rPr>
        <w:t xml:space="preserve">554655: BD Cytofix™ Fixation Buffer (BD Biosciences; </w:t>
      </w:r>
      <w:hyperlink r:id="rId26">
        <w:r w:rsidDel="00000000" w:rsidR="00000000" w:rsidRPr="00000000">
          <w:rPr>
            <w:color w:val="1155cc"/>
            <w:u w:val="single"/>
            <w:rtl w:val="0"/>
          </w:rPr>
          <w:t xml:space="preserve">BD Cytofix™ Fixation BufferBD Bioscienceshttps://www.bdbiosciences.com › en-us › research-reagents</w:t>
        </w:r>
      </w:hyperlink>
      <w:r w:rsidDel="00000000" w:rsidR="00000000" w:rsidRPr="00000000">
        <w:rPr>
          <w:rtl w:val="0"/>
        </w:rPr>
        <w:t xml:space="preserve">)</w:t>
      </w:r>
    </w:p>
    <w:p w:rsidR="00000000" w:rsidDel="00000000" w:rsidP="00000000" w:rsidRDefault="00000000" w:rsidRPr="00000000" w14:paraId="0000013B">
      <w:pPr>
        <w:numPr>
          <w:ilvl w:val="1"/>
          <w:numId w:val="2"/>
        </w:numPr>
        <w:spacing w:line="360" w:lineRule="auto"/>
        <w:ind w:left="1440" w:hanging="360"/>
        <w:rPr/>
      </w:pPr>
      <w:r w:rsidDel="00000000" w:rsidR="00000000" w:rsidRPr="00000000">
        <w:rPr>
          <w:rtl w:val="0"/>
        </w:rPr>
        <w:t xml:space="preserve">SAB4502982: Anti TNF-a Ab (Sigma Aldrich; </w:t>
      </w:r>
      <w:hyperlink r:id="rId27">
        <w:r w:rsidDel="00000000" w:rsidR="00000000" w:rsidRPr="00000000">
          <w:rPr>
            <w:color w:val="1155cc"/>
            <w:u w:val="single"/>
            <w:rtl w:val="0"/>
          </w:rPr>
          <w:t xml:space="preserve">https://www.sigmaaldrich.com/ID/en/search/mfcd00162116?focus=products&amp;page=1&amp;perpage=30&amp;sort=relevance&amp;term=mfcd00162116&amp;type=mdl_number</w:t>
        </w:r>
      </w:hyperlink>
      <w:r w:rsidDel="00000000" w:rsidR="00000000" w:rsidRPr="00000000">
        <w:rPr>
          <w:rtl w:val="0"/>
        </w:rPr>
        <w:t xml:space="preserve">)</w:t>
      </w:r>
    </w:p>
    <w:p w:rsidR="00000000" w:rsidDel="00000000" w:rsidP="00000000" w:rsidRDefault="00000000" w:rsidRPr="00000000" w14:paraId="0000013C">
      <w:pPr>
        <w:numPr>
          <w:ilvl w:val="1"/>
          <w:numId w:val="2"/>
        </w:numPr>
        <w:spacing w:line="360" w:lineRule="auto"/>
        <w:ind w:left="1440" w:hanging="360"/>
        <w:rPr/>
      </w:pPr>
      <w:r w:rsidDel="00000000" w:rsidR="00000000" w:rsidRPr="00000000">
        <w:rPr>
          <w:rtl w:val="0"/>
        </w:rPr>
        <w:t xml:space="preserve">P4474: PBS 7.4 (Sigma Aldrich; </w:t>
      </w:r>
      <w:hyperlink r:id="rId28">
        <w:r w:rsidDel="00000000" w:rsidR="00000000" w:rsidRPr="00000000">
          <w:rPr>
            <w:color w:val="1155cc"/>
            <w:u w:val="single"/>
            <w:rtl w:val="0"/>
          </w:rPr>
          <w:t xml:space="preserve">https://www.sigmaaldrich.com/ID/en/product/sigma/p4474</w:t>
        </w:r>
      </w:hyperlink>
      <w:r w:rsidDel="00000000" w:rsidR="00000000" w:rsidRPr="00000000">
        <w:rPr>
          <w:rtl w:val="0"/>
        </w:rPr>
        <w:t xml:space="preserve">)</w:t>
      </w:r>
    </w:p>
    <w:p w:rsidR="00000000" w:rsidDel="00000000" w:rsidP="00000000" w:rsidRDefault="00000000" w:rsidRPr="00000000" w14:paraId="0000013D">
      <w:pPr>
        <w:numPr>
          <w:ilvl w:val="1"/>
          <w:numId w:val="2"/>
        </w:numPr>
        <w:ind w:left="1440" w:hanging="360"/>
        <w:jc w:val="both"/>
        <w:rPr/>
      </w:pPr>
      <w:r w:rsidDel="00000000" w:rsidR="00000000" w:rsidRPr="00000000">
        <w:rPr>
          <w:color w:val="212121"/>
          <w:highlight w:val="white"/>
          <w:rtl w:val="0"/>
        </w:rPr>
        <w:t xml:space="preserve">BK-802N DLS nano particle size analyser biobase</w:t>
      </w:r>
    </w:p>
    <w:p w:rsidR="00000000" w:rsidDel="00000000" w:rsidP="00000000" w:rsidRDefault="00000000" w:rsidRPr="00000000" w14:paraId="0000013E">
      <w:pPr>
        <w:numPr>
          <w:ilvl w:val="0"/>
          <w:numId w:val="1"/>
        </w:numPr>
        <w:ind w:left="1440" w:hanging="360"/>
        <w:jc w:val="both"/>
        <w:rPr>
          <w:color w:val="212121"/>
          <w:highlight w:val="white"/>
          <w:u w:val="none"/>
        </w:rPr>
      </w:pPr>
      <w:r w:rsidDel="00000000" w:rsidR="00000000" w:rsidRPr="00000000">
        <w:rPr>
          <w:color w:val="212121"/>
          <w:highlight w:val="white"/>
          <w:rtl w:val="0"/>
        </w:rPr>
        <w:t xml:space="preserve">PEG400 </w:t>
      </w:r>
      <w:r w:rsidDel="00000000" w:rsidR="00000000" w:rsidRPr="00000000">
        <w:rPr>
          <w:b w:val="1"/>
          <w:color w:val="212121"/>
          <w:sz w:val="24"/>
          <w:szCs w:val="24"/>
          <w:highlight w:val="white"/>
          <w:rtl w:val="0"/>
        </w:rPr>
        <w:t xml:space="preserve">Polyethylene glycol 400</w:t>
      </w:r>
    </w:p>
    <w:p w:rsidR="00000000" w:rsidDel="00000000" w:rsidP="00000000" w:rsidRDefault="00000000" w:rsidRPr="00000000" w14:paraId="0000013F">
      <w:pPr>
        <w:spacing w:after="0" w:before="0" w:lineRule="auto"/>
        <w:ind w:left="720" w:right="-80" w:firstLine="0"/>
        <w:jc w:val="both"/>
        <w:rPr>
          <w:rFonts w:ascii="Helvetica Neue" w:cs="Helvetica Neue" w:eastAsia="Helvetica Neue" w:hAnsi="Helvetica Neue"/>
          <w:b w:val="1"/>
          <w:color w:val="212121"/>
          <w:sz w:val="24"/>
          <w:szCs w:val="24"/>
          <w:highlight w:val="white"/>
        </w:rPr>
      </w:pPr>
      <w:r w:rsidDel="00000000" w:rsidR="00000000" w:rsidRPr="00000000">
        <w:rPr>
          <w:rFonts w:ascii="Helvetica Neue" w:cs="Helvetica Neue" w:eastAsia="Helvetica Neue" w:hAnsi="Helvetica Neue"/>
          <w:b w:val="1"/>
          <w:color w:val="212121"/>
          <w:sz w:val="24"/>
          <w:szCs w:val="24"/>
          <w:highlight w:val="white"/>
          <w:rtl w:val="0"/>
        </w:rPr>
        <w:t xml:space="preserve">Synonym(s):</w:t>
      </w:r>
    </w:p>
    <w:p w:rsidR="00000000" w:rsidDel="00000000" w:rsidP="00000000" w:rsidRDefault="00000000" w:rsidRPr="00000000" w14:paraId="00000140">
      <w:pPr>
        <w:spacing w:after="0" w:before="0" w:lineRule="auto"/>
        <w:ind w:left="720" w:right="-140" w:firstLine="0"/>
        <w:jc w:val="both"/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</w:rPr>
      </w:pPr>
      <w:r w:rsidDel="00000000" w:rsidR="00000000" w:rsidRPr="00000000"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  <w:rtl w:val="0"/>
        </w:rPr>
        <w:t xml:space="preserve">Poly(ethylene glycol), PEG</w:t>
      </w:r>
    </w:p>
    <w:p w:rsidR="00000000" w:rsidDel="00000000" w:rsidP="00000000" w:rsidRDefault="00000000" w:rsidRPr="00000000" w14:paraId="00000141">
      <w:pPr>
        <w:spacing w:after="0" w:before="0" w:lineRule="auto"/>
        <w:ind w:left="720" w:right="-80" w:firstLine="0"/>
        <w:jc w:val="both"/>
        <w:rPr>
          <w:rFonts w:ascii="Helvetica Neue" w:cs="Helvetica Neue" w:eastAsia="Helvetica Neue" w:hAnsi="Helvetica Neue"/>
          <w:b w:val="1"/>
          <w:color w:val="212121"/>
          <w:sz w:val="24"/>
          <w:szCs w:val="24"/>
          <w:highlight w:val="white"/>
        </w:rPr>
      </w:pPr>
      <w:r w:rsidDel="00000000" w:rsidR="00000000" w:rsidRPr="00000000">
        <w:rPr>
          <w:rFonts w:ascii="Helvetica Neue" w:cs="Helvetica Neue" w:eastAsia="Helvetica Neue" w:hAnsi="Helvetica Neue"/>
          <w:b w:val="1"/>
          <w:color w:val="212121"/>
          <w:sz w:val="24"/>
          <w:szCs w:val="24"/>
          <w:highlight w:val="white"/>
          <w:rtl w:val="0"/>
        </w:rPr>
        <w:t xml:space="preserve">Linear Formula:</w:t>
      </w:r>
    </w:p>
    <w:p w:rsidR="00000000" w:rsidDel="00000000" w:rsidP="00000000" w:rsidRDefault="00000000" w:rsidRPr="00000000" w14:paraId="00000142">
      <w:pPr>
        <w:spacing w:after="0" w:before="0" w:lineRule="auto"/>
        <w:ind w:left="720" w:right="-140" w:firstLine="0"/>
        <w:jc w:val="both"/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</w:rPr>
      </w:pPr>
      <w:r w:rsidDel="00000000" w:rsidR="00000000" w:rsidRPr="00000000"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  <w:rtl w:val="0"/>
        </w:rPr>
        <w:t xml:space="preserve">H(OCH</w:t>
      </w:r>
      <w:r w:rsidDel="00000000" w:rsidR="00000000" w:rsidRPr="00000000"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  <w:vertAlign w:val="subscript"/>
          <w:rtl w:val="0"/>
        </w:rPr>
        <w:t xml:space="preserve">2</w:t>
      </w:r>
      <w:r w:rsidDel="00000000" w:rsidR="00000000" w:rsidRPr="00000000"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  <w:rtl w:val="0"/>
        </w:rPr>
        <w:t xml:space="preserve">CH</w:t>
      </w:r>
      <w:r w:rsidDel="00000000" w:rsidR="00000000" w:rsidRPr="00000000"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  <w:vertAlign w:val="subscript"/>
          <w:rtl w:val="0"/>
        </w:rPr>
        <w:t xml:space="preserve">2</w:t>
      </w:r>
      <w:r w:rsidDel="00000000" w:rsidR="00000000" w:rsidRPr="00000000"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  <w:rtl w:val="0"/>
        </w:rPr>
        <w:t xml:space="preserve">)</w:t>
      </w:r>
      <w:r w:rsidDel="00000000" w:rsidR="00000000" w:rsidRPr="00000000"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  <w:vertAlign w:val="subscript"/>
          <w:rtl w:val="0"/>
        </w:rPr>
        <w:t xml:space="preserve">n</w:t>
      </w:r>
      <w:r w:rsidDel="00000000" w:rsidR="00000000" w:rsidRPr="00000000">
        <w:rPr>
          <w:rFonts w:ascii="Helvetica Neue" w:cs="Helvetica Neue" w:eastAsia="Helvetica Neue" w:hAnsi="Helvetica Neue"/>
          <w:color w:val="212121"/>
          <w:sz w:val="24"/>
          <w:szCs w:val="24"/>
          <w:highlight w:val="white"/>
          <w:rtl w:val="0"/>
        </w:rPr>
        <w:t xml:space="preserve">OH</w:t>
      </w:r>
    </w:p>
    <w:p w:rsidR="00000000" w:rsidDel="00000000" w:rsidP="00000000" w:rsidRDefault="00000000" w:rsidRPr="00000000" w14:paraId="00000143">
      <w:pPr>
        <w:spacing w:after="0" w:before="0" w:lineRule="auto"/>
        <w:ind w:left="720" w:right="-200" w:firstLine="0"/>
        <w:jc w:val="both"/>
        <w:rPr>
          <w:rFonts w:ascii="Helvetica Neue" w:cs="Helvetica Neue" w:eastAsia="Helvetica Neue" w:hAnsi="Helvetica Neue"/>
          <w:b w:val="1"/>
          <w:color w:val="212121"/>
          <w:sz w:val="24"/>
          <w:szCs w:val="24"/>
          <w:highlight w:val="white"/>
        </w:rPr>
      </w:pPr>
      <w:r w:rsidDel="00000000" w:rsidR="00000000" w:rsidRPr="00000000">
        <w:rPr>
          <w:rFonts w:ascii="Helvetica Neue" w:cs="Helvetica Neue" w:eastAsia="Helvetica Neue" w:hAnsi="Helvetica Neue"/>
          <w:b w:val="1"/>
          <w:color w:val="212121"/>
          <w:sz w:val="24"/>
          <w:szCs w:val="24"/>
          <w:highlight w:val="white"/>
          <w:rtl w:val="0"/>
        </w:rPr>
        <w:t xml:space="preserve">CAS Number:</w:t>
      </w:r>
    </w:p>
    <w:p w:rsidR="00000000" w:rsidDel="00000000" w:rsidP="00000000" w:rsidRDefault="00000000" w:rsidRPr="00000000" w14:paraId="00000144">
      <w:pPr>
        <w:spacing w:after="0" w:before="0" w:lineRule="auto"/>
        <w:ind w:left="720" w:right="-260" w:firstLine="0"/>
        <w:jc w:val="both"/>
        <w:rPr>
          <w:rFonts w:ascii="Helvetica Neue" w:cs="Helvetica Neue" w:eastAsia="Helvetica Neue" w:hAnsi="Helvetica Neue"/>
          <w:b w:val="1"/>
          <w:color w:val="0f69af"/>
          <w:sz w:val="24"/>
          <w:szCs w:val="24"/>
          <w:highlight w:val="white"/>
        </w:rPr>
      </w:pPr>
      <w:hyperlink r:id="rId29">
        <w:r w:rsidDel="00000000" w:rsidR="00000000" w:rsidRPr="00000000">
          <w:rPr>
            <w:rFonts w:ascii="Helvetica Neue" w:cs="Helvetica Neue" w:eastAsia="Helvetica Neue" w:hAnsi="Helvetica Neue"/>
            <w:b w:val="1"/>
            <w:color w:val="0f69af"/>
            <w:sz w:val="24"/>
            <w:szCs w:val="24"/>
            <w:highlight w:val="white"/>
            <w:rtl w:val="0"/>
          </w:rPr>
          <w:t xml:space="preserve">25322-68-3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rPr/>
      </w:pPr>
      <w:r w:rsidDel="00000000" w:rsidR="00000000" w:rsidRPr="00000000">
        <w:rPr>
          <w:rtl w:val="0"/>
        </w:rPr>
        <w:t xml:space="preserve">1. Therapeutic Potential of Centella asiatica Nanoparticles in Mitigating Cognitive Decline and TNF-α Mediated Inflammation: An In Vivo Study in Mice </w:t>
      </w:r>
    </w:p>
    <w:p w:rsidR="00000000" w:rsidDel="00000000" w:rsidP="00000000" w:rsidRDefault="00000000" w:rsidRPr="00000000" w14:paraId="0000014A">
      <w:pPr>
        <w:rPr/>
      </w:pPr>
      <w:r w:rsidDel="00000000" w:rsidR="00000000" w:rsidRPr="00000000">
        <w:rPr>
          <w:rtl w:val="0"/>
        </w:rPr>
        <w:t xml:space="preserve">2. Centella asiatica in Nanoparticles as a Potential Neuroprotective Agent Against Cognitive Decline and TNF-α Inflammation: An In Vivo Investigation in Mice</w:t>
      </w:r>
    </w:p>
    <w:p w:rsidR="00000000" w:rsidDel="00000000" w:rsidP="00000000" w:rsidRDefault="00000000" w:rsidRPr="00000000" w14:paraId="0000014B">
      <w:pPr>
        <w:rPr/>
      </w:pPr>
      <w:r w:rsidDel="00000000" w:rsidR="00000000" w:rsidRPr="00000000">
        <w:rPr>
          <w:rtl w:val="0"/>
        </w:rPr>
        <w:t xml:space="preserve">3. Exploring the Neuroprotective Potential of Centella asiatica Nanoparticles: Effects on Cognitive Function and TNF-α Mediated Inflammation in a Mice Model</w:t>
      </w:r>
    </w:p>
    <w:p w:rsidR="00000000" w:rsidDel="00000000" w:rsidP="00000000" w:rsidRDefault="00000000" w:rsidRPr="00000000" w14:paraId="000001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spacing w:after="240" w:before="240" w:lineRule="auto"/>
        <w:jc w:val="both"/>
        <w:rPr/>
      </w:pPr>
      <w:r w:rsidDel="00000000" w:rsidR="00000000" w:rsidRPr="00000000">
        <w:rPr>
          <w:rtl w:val="0"/>
        </w:rPr>
      </w:r>
    </w:p>
    <w:sectPr>
      <w:footerReference r:id="rId30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Helvetica Neu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5D">
    <w:pPr>
      <w:rPr/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1"/>
      <w:sz w:val="24"/>
      <w:szCs w:val="24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4.png"/><Relationship Id="rId22" Type="http://schemas.openxmlformats.org/officeDocument/2006/relationships/image" Target="media/image19.png"/><Relationship Id="rId21" Type="http://schemas.openxmlformats.org/officeDocument/2006/relationships/image" Target="media/image13.png"/><Relationship Id="rId24" Type="http://schemas.openxmlformats.org/officeDocument/2006/relationships/image" Target="media/image6.png"/><Relationship Id="rId23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0.png"/><Relationship Id="rId26" Type="http://schemas.openxmlformats.org/officeDocument/2006/relationships/hyperlink" Target="https://www.bdbiosciences.com/en-us/products/reagents/flow-cytometry-reagents/research-reagents/buffers-and-supporting-reagents-ruo/fixation-buffer.554655" TargetMode="External"/><Relationship Id="rId25" Type="http://schemas.openxmlformats.org/officeDocument/2006/relationships/image" Target="media/image8.png"/><Relationship Id="rId28" Type="http://schemas.openxmlformats.org/officeDocument/2006/relationships/hyperlink" Target="https://www.sigmaaldrich.com/ID/en/product/sigma/p4474" TargetMode="External"/><Relationship Id="rId27" Type="http://schemas.openxmlformats.org/officeDocument/2006/relationships/hyperlink" Target="https://www.sigmaaldrich.com/ID/en/search/mfcd00162116?focus=products&amp;page=1&amp;perpage=30&amp;sort=relevance&amp;term=mfcd00162116&amp;type=mdl_number" TargetMode="External"/><Relationship Id="rId5" Type="http://schemas.openxmlformats.org/officeDocument/2006/relationships/styles" Target="styles.xml"/><Relationship Id="rId6" Type="http://schemas.openxmlformats.org/officeDocument/2006/relationships/image" Target="media/image7.png"/><Relationship Id="rId29" Type="http://schemas.openxmlformats.org/officeDocument/2006/relationships/hyperlink" Target="https://www.sigmaaldrich.com/ID/en/search/25322-68-3?focus=products&amp;page=1&amp;perpage=30&amp;sort=relevance&amp;term=25322-68-3&amp;type=cas_number" TargetMode="External"/><Relationship Id="rId7" Type="http://schemas.openxmlformats.org/officeDocument/2006/relationships/image" Target="media/image14.png"/><Relationship Id="rId8" Type="http://schemas.openxmlformats.org/officeDocument/2006/relationships/image" Target="media/image10.png"/><Relationship Id="rId30" Type="http://schemas.openxmlformats.org/officeDocument/2006/relationships/footer" Target="footer1.xml"/><Relationship Id="rId11" Type="http://schemas.openxmlformats.org/officeDocument/2006/relationships/image" Target="media/image15.png"/><Relationship Id="rId10" Type="http://schemas.openxmlformats.org/officeDocument/2006/relationships/image" Target="media/image11.png"/><Relationship Id="rId13" Type="http://schemas.openxmlformats.org/officeDocument/2006/relationships/image" Target="media/image16.png"/><Relationship Id="rId12" Type="http://schemas.openxmlformats.org/officeDocument/2006/relationships/image" Target="media/image12.png"/><Relationship Id="rId15" Type="http://schemas.openxmlformats.org/officeDocument/2006/relationships/image" Target="media/image2.png"/><Relationship Id="rId14" Type="http://schemas.openxmlformats.org/officeDocument/2006/relationships/image" Target="media/image18.png"/><Relationship Id="rId17" Type="http://schemas.openxmlformats.org/officeDocument/2006/relationships/image" Target="media/image9.png"/><Relationship Id="rId16" Type="http://schemas.openxmlformats.org/officeDocument/2006/relationships/image" Target="media/image1.png"/><Relationship Id="rId19" Type="http://schemas.openxmlformats.org/officeDocument/2006/relationships/image" Target="media/image17.png"/><Relationship Id="rId18" Type="http://schemas.openxmlformats.org/officeDocument/2006/relationships/image" Target="media/image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HelveticaNeue-regular.ttf"/><Relationship Id="rId2" Type="http://schemas.openxmlformats.org/officeDocument/2006/relationships/font" Target="fonts/HelveticaNeue-bold.ttf"/><Relationship Id="rId3" Type="http://schemas.openxmlformats.org/officeDocument/2006/relationships/font" Target="fonts/HelveticaNeue-italic.ttf"/><Relationship Id="rId4" Type="http://schemas.openxmlformats.org/officeDocument/2006/relationships/font" Target="fonts/HelveticaNeue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