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810830">
      <w:pPr>
        <w:spacing w:line="480" w:lineRule="auto"/>
        <w:jc w:val="left"/>
        <w:rPr>
          <w:rFonts w:ascii="Times New Roman" w:hAnsi="Times New Roman" w:cs="Times New Roman"/>
          <w:sz w:val="22"/>
        </w:rPr>
      </w:pPr>
      <w:bookmarkStart w:id="0" w:name="_GoBack"/>
      <w:bookmarkEnd w:id="0"/>
      <w:r>
        <w:rPr>
          <w:rFonts w:ascii="Times New Roman" w:hAnsi="Times New Roman" w:cs="Times New Roman"/>
          <w:b/>
          <w:bCs/>
          <w:sz w:val="22"/>
        </w:rPr>
        <w:t xml:space="preserve">Table S1. </w:t>
      </w:r>
      <w:r>
        <w:rPr>
          <w:rFonts w:ascii="Times New Roman" w:hAnsi="Times New Roman" w:cs="Times New Roman"/>
          <w:sz w:val="22"/>
        </w:rPr>
        <w:t>Clinical and histological characteristics of patients with DLBCL in this study.</w:t>
      </w:r>
    </w:p>
    <w:tbl>
      <w:tblPr>
        <w:tblStyle w:val="4"/>
        <w:tblW w:w="5000"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1819"/>
        <w:gridCol w:w="1293"/>
        <w:gridCol w:w="1791"/>
        <w:gridCol w:w="1865"/>
        <w:gridCol w:w="966"/>
        <w:gridCol w:w="1293"/>
      </w:tblGrid>
      <w:tr w14:paraId="0878E72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tblHeader/>
          <w:jc w:val="center"/>
        </w:trPr>
        <w:tc>
          <w:tcPr>
            <w:tcW w:w="1008" w:type="pct"/>
            <w:tcBorders>
              <w:top w:val="single" w:color="auto" w:sz="4" w:space="0"/>
              <w:bottom w:val="single" w:color="auto" w:sz="4" w:space="0"/>
            </w:tcBorders>
            <w:shd w:val="clear" w:color="auto" w:fill="auto"/>
            <w:tcMar>
              <w:top w:w="0" w:type="dxa"/>
              <w:left w:w="0" w:type="dxa"/>
              <w:bottom w:w="0" w:type="dxa"/>
              <w:right w:w="0" w:type="dxa"/>
            </w:tcMar>
            <w:vAlign w:val="center"/>
          </w:tcPr>
          <w:p w14:paraId="3B240915">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Clinical-Features</w:t>
            </w:r>
          </w:p>
        </w:tc>
        <w:tc>
          <w:tcPr>
            <w:tcW w:w="716" w:type="pct"/>
            <w:tcBorders>
              <w:top w:val="single" w:color="auto" w:sz="4" w:space="0"/>
              <w:bottom w:val="single" w:color="auto" w:sz="4" w:space="0"/>
            </w:tcBorders>
            <w:shd w:val="clear" w:color="auto" w:fill="auto"/>
            <w:tcMar>
              <w:top w:w="0" w:type="dxa"/>
              <w:left w:w="0" w:type="dxa"/>
              <w:bottom w:w="0" w:type="dxa"/>
              <w:right w:w="0" w:type="dxa"/>
            </w:tcMar>
            <w:vAlign w:val="center"/>
          </w:tcPr>
          <w:p w14:paraId="707D36D4">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GSE10846</w:t>
            </w:r>
          </w:p>
        </w:tc>
        <w:tc>
          <w:tcPr>
            <w:tcW w:w="992" w:type="pct"/>
            <w:tcBorders>
              <w:top w:val="single" w:color="auto" w:sz="4" w:space="0"/>
              <w:bottom w:val="single" w:color="auto" w:sz="4" w:space="0"/>
            </w:tcBorders>
            <w:shd w:val="clear" w:color="auto" w:fill="auto"/>
            <w:tcMar>
              <w:top w:w="0" w:type="dxa"/>
              <w:left w:w="0" w:type="dxa"/>
              <w:bottom w:w="0" w:type="dxa"/>
              <w:right w:w="0" w:type="dxa"/>
            </w:tcMar>
            <w:vAlign w:val="center"/>
          </w:tcPr>
          <w:p w14:paraId="0EAD58CE">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GSE10846-Test</w:t>
            </w:r>
          </w:p>
        </w:tc>
        <w:tc>
          <w:tcPr>
            <w:tcW w:w="1033" w:type="pct"/>
            <w:tcBorders>
              <w:top w:val="single" w:color="auto" w:sz="4" w:space="0"/>
              <w:bottom w:val="single" w:color="auto" w:sz="4" w:space="0"/>
            </w:tcBorders>
            <w:shd w:val="clear" w:color="auto" w:fill="auto"/>
            <w:tcMar>
              <w:top w:w="0" w:type="dxa"/>
              <w:left w:w="0" w:type="dxa"/>
              <w:bottom w:w="0" w:type="dxa"/>
              <w:right w:w="0" w:type="dxa"/>
            </w:tcMar>
            <w:vAlign w:val="center"/>
          </w:tcPr>
          <w:p w14:paraId="2B349EFE">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GSE10846-Train</w:t>
            </w:r>
          </w:p>
        </w:tc>
        <w:tc>
          <w:tcPr>
            <w:tcW w:w="535" w:type="pct"/>
            <w:tcBorders>
              <w:top w:val="single" w:color="auto" w:sz="4" w:space="0"/>
              <w:bottom w:val="single" w:color="auto" w:sz="4" w:space="0"/>
            </w:tcBorders>
            <w:shd w:val="clear" w:color="auto" w:fill="auto"/>
            <w:tcMar>
              <w:top w:w="0" w:type="dxa"/>
              <w:left w:w="0" w:type="dxa"/>
              <w:bottom w:w="0" w:type="dxa"/>
              <w:right w:w="0" w:type="dxa"/>
            </w:tcMar>
            <w:vAlign w:val="center"/>
          </w:tcPr>
          <w:p w14:paraId="1CC44D0B">
            <w:pPr>
              <w:spacing w:line="480" w:lineRule="auto"/>
              <w:jc w:val="left"/>
              <w:rPr>
                <w:rFonts w:ascii="Times New Roman" w:hAnsi="Times New Roman" w:cs="Times New Roman"/>
                <w:bCs/>
                <w:sz w:val="22"/>
              </w:rPr>
            </w:pPr>
            <w:r>
              <w:rPr>
                <w:rFonts w:ascii="Times New Roman" w:hAnsi="Times New Roman" w:eastAsia="Arial" w:cs="Times New Roman"/>
                <w:bCs/>
                <w:i/>
                <w:iCs/>
                <w:color w:val="000000"/>
                <w:sz w:val="22"/>
              </w:rPr>
              <w:t>P</w:t>
            </w:r>
            <w:r>
              <w:rPr>
                <w:rFonts w:ascii="Times New Roman" w:hAnsi="Times New Roman" w:eastAsia="Arial" w:cs="Times New Roman"/>
                <w:bCs/>
                <w:color w:val="000000"/>
                <w:sz w:val="22"/>
              </w:rPr>
              <w:t>-value</w:t>
            </w:r>
          </w:p>
        </w:tc>
        <w:tc>
          <w:tcPr>
            <w:tcW w:w="716" w:type="pct"/>
            <w:tcBorders>
              <w:top w:val="single" w:color="auto" w:sz="4" w:space="0"/>
              <w:bottom w:val="single" w:color="auto" w:sz="4" w:space="0"/>
            </w:tcBorders>
            <w:shd w:val="clear" w:color="auto" w:fill="auto"/>
            <w:tcMar>
              <w:top w:w="0" w:type="dxa"/>
              <w:left w:w="0" w:type="dxa"/>
              <w:bottom w:w="0" w:type="dxa"/>
              <w:right w:w="0" w:type="dxa"/>
            </w:tcMar>
            <w:vAlign w:val="center"/>
          </w:tcPr>
          <w:p w14:paraId="31CC5F83">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GSE11318</w:t>
            </w:r>
          </w:p>
        </w:tc>
      </w:tr>
      <w:tr w14:paraId="5332E33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5000" w:type="pct"/>
            <w:gridSpan w:val="6"/>
            <w:tcBorders>
              <w:top w:val="single" w:color="auto" w:sz="4" w:space="0"/>
            </w:tcBorders>
            <w:shd w:val="clear" w:color="auto" w:fill="FFFFFF" w:themeFill="background1"/>
            <w:tcMar>
              <w:top w:w="0" w:type="dxa"/>
              <w:left w:w="0" w:type="dxa"/>
              <w:bottom w:w="0" w:type="dxa"/>
              <w:right w:w="0" w:type="dxa"/>
            </w:tcMar>
            <w:vAlign w:val="center"/>
          </w:tcPr>
          <w:p w14:paraId="21479BDB">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Age</w:t>
            </w:r>
          </w:p>
        </w:tc>
      </w:tr>
      <w:tr w14:paraId="2DD42BB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6244B4B0">
            <w:pPr>
              <w:spacing w:line="480" w:lineRule="auto"/>
              <w:ind w:firstLine="220" w:firstLineChars="100"/>
              <w:jc w:val="left"/>
              <w:rPr>
                <w:rFonts w:ascii="Times New Roman" w:hAnsi="Times New Roman" w:cs="Times New Roman"/>
                <w:bCs/>
                <w:sz w:val="22"/>
              </w:rPr>
            </w:pPr>
            <w:r>
              <w:rPr>
                <w:rFonts w:ascii="Times New Roman" w:hAnsi="Times New Roman" w:eastAsia="Arial" w:cs="Times New Roman"/>
                <w:bCs/>
                <w:color w:val="000000"/>
                <w:sz w:val="22"/>
              </w:rPr>
              <w:t>&lt;=65</w:t>
            </w:r>
          </w:p>
        </w:tc>
        <w:tc>
          <w:tcPr>
            <w:tcW w:w="716" w:type="pct"/>
            <w:shd w:val="clear" w:color="auto" w:fill="FFFFFF" w:themeFill="background1"/>
            <w:tcMar>
              <w:top w:w="0" w:type="dxa"/>
              <w:left w:w="0" w:type="dxa"/>
              <w:bottom w:w="0" w:type="dxa"/>
              <w:right w:w="0" w:type="dxa"/>
            </w:tcMar>
            <w:vAlign w:val="center"/>
          </w:tcPr>
          <w:p w14:paraId="00D4A4C0">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173</w:t>
            </w:r>
          </w:p>
        </w:tc>
        <w:tc>
          <w:tcPr>
            <w:tcW w:w="992" w:type="pct"/>
            <w:shd w:val="clear" w:color="auto" w:fill="FFFFFF" w:themeFill="background1"/>
            <w:tcMar>
              <w:top w:w="0" w:type="dxa"/>
              <w:left w:w="0" w:type="dxa"/>
              <w:bottom w:w="0" w:type="dxa"/>
              <w:right w:w="0" w:type="dxa"/>
            </w:tcMar>
            <w:vAlign w:val="center"/>
          </w:tcPr>
          <w:p w14:paraId="78C100EF">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48</w:t>
            </w:r>
          </w:p>
        </w:tc>
        <w:tc>
          <w:tcPr>
            <w:tcW w:w="1033" w:type="pct"/>
            <w:shd w:val="clear" w:color="auto" w:fill="FFFFFF" w:themeFill="background1"/>
            <w:tcMar>
              <w:top w:w="0" w:type="dxa"/>
              <w:left w:w="0" w:type="dxa"/>
              <w:bottom w:w="0" w:type="dxa"/>
              <w:right w:w="0" w:type="dxa"/>
            </w:tcMar>
            <w:vAlign w:val="center"/>
          </w:tcPr>
          <w:p w14:paraId="1F4DD0F5">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125</w:t>
            </w:r>
          </w:p>
        </w:tc>
        <w:tc>
          <w:tcPr>
            <w:tcW w:w="535" w:type="pct"/>
            <w:vMerge w:val="restart"/>
            <w:shd w:val="clear" w:color="auto" w:fill="FFFFFF" w:themeFill="background1"/>
            <w:tcMar>
              <w:top w:w="0" w:type="dxa"/>
              <w:left w:w="0" w:type="dxa"/>
              <w:bottom w:w="0" w:type="dxa"/>
              <w:right w:w="0" w:type="dxa"/>
            </w:tcMar>
            <w:vAlign w:val="center"/>
          </w:tcPr>
          <w:p w14:paraId="0755F6E3">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0.53</w:t>
            </w:r>
          </w:p>
        </w:tc>
        <w:tc>
          <w:tcPr>
            <w:tcW w:w="716" w:type="pct"/>
            <w:shd w:val="clear" w:color="auto" w:fill="FFFFFF" w:themeFill="background1"/>
            <w:tcMar>
              <w:top w:w="0" w:type="dxa"/>
              <w:left w:w="0" w:type="dxa"/>
              <w:bottom w:w="0" w:type="dxa"/>
              <w:right w:w="0" w:type="dxa"/>
            </w:tcMar>
            <w:vAlign w:val="center"/>
          </w:tcPr>
          <w:p w14:paraId="07ED1891">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58</w:t>
            </w:r>
          </w:p>
        </w:tc>
      </w:tr>
      <w:tr w14:paraId="192553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3F9D2E45">
            <w:pPr>
              <w:spacing w:line="480" w:lineRule="auto"/>
              <w:ind w:firstLine="220" w:firstLineChars="100"/>
              <w:jc w:val="left"/>
              <w:rPr>
                <w:rFonts w:ascii="Times New Roman" w:hAnsi="Times New Roman" w:cs="Times New Roman"/>
                <w:bCs/>
                <w:sz w:val="22"/>
              </w:rPr>
            </w:pPr>
            <w:r>
              <w:rPr>
                <w:rFonts w:ascii="Times New Roman" w:hAnsi="Times New Roman" w:eastAsia="Arial" w:cs="Times New Roman"/>
                <w:bCs/>
                <w:color w:val="000000"/>
                <w:sz w:val="22"/>
              </w:rPr>
              <w:t>&gt;65</w:t>
            </w:r>
          </w:p>
        </w:tc>
        <w:tc>
          <w:tcPr>
            <w:tcW w:w="716" w:type="pct"/>
            <w:shd w:val="clear" w:color="auto" w:fill="FFFFFF" w:themeFill="background1"/>
            <w:tcMar>
              <w:top w:w="0" w:type="dxa"/>
              <w:left w:w="0" w:type="dxa"/>
              <w:bottom w:w="0" w:type="dxa"/>
              <w:right w:w="0" w:type="dxa"/>
            </w:tcMar>
            <w:vAlign w:val="center"/>
          </w:tcPr>
          <w:p w14:paraId="0C04E868">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139</w:t>
            </w:r>
          </w:p>
        </w:tc>
        <w:tc>
          <w:tcPr>
            <w:tcW w:w="992" w:type="pct"/>
            <w:shd w:val="clear" w:color="auto" w:fill="FFFFFF" w:themeFill="background1"/>
            <w:tcMar>
              <w:top w:w="0" w:type="dxa"/>
              <w:left w:w="0" w:type="dxa"/>
              <w:bottom w:w="0" w:type="dxa"/>
              <w:right w:w="0" w:type="dxa"/>
            </w:tcMar>
            <w:vAlign w:val="center"/>
          </w:tcPr>
          <w:p w14:paraId="3354A15E">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44</w:t>
            </w:r>
          </w:p>
        </w:tc>
        <w:tc>
          <w:tcPr>
            <w:tcW w:w="1033" w:type="pct"/>
            <w:shd w:val="clear" w:color="auto" w:fill="FFFFFF" w:themeFill="background1"/>
            <w:tcMar>
              <w:top w:w="0" w:type="dxa"/>
              <w:left w:w="0" w:type="dxa"/>
              <w:bottom w:w="0" w:type="dxa"/>
              <w:right w:w="0" w:type="dxa"/>
            </w:tcMar>
            <w:vAlign w:val="center"/>
          </w:tcPr>
          <w:p w14:paraId="50BF66D8">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95</w:t>
            </w:r>
          </w:p>
        </w:tc>
        <w:tc>
          <w:tcPr>
            <w:tcW w:w="535" w:type="pct"/>
            <w:vMerge w:val="continue"/>
            <w:shd w:val="clear" w:color="auto" w:fill="FFFFFF" w:themeFill="background1"/>
            <w:tcMar>
              <w:top w:w="0" w:type="dxa"/>
              <w:left w:w="0" w:type="dxa"/>
              <w:bottom w:w="0" w:type="dxa"/>
              <w:right w:w="0" w:type="dxa"/>
            </w:tcMar>
            <w:vAlign w:val="center"/>
          </w:tcPr>
          <w:p w14:paraId="59D9422F">
            <w:pPr>
              <w:spacing w:line="480" w:lineRule="auto"/>
              <w:jc w:val="left"/>
              <w:rPr>
                <w:rFonts w:ascii="Times New Roman" w:hAnsi="Times New Roman" w:cs="Times New Roman"/>
                <w:bCs/>
                <w:sz w:val="22"/>
              </w:rPr>
            </w:pPr>
          </w:p>
        </w:tc>
        <w:tc>
          <w:tcPr>
            <w:tcW w:w="716" w:type="pct"/>
            <w:shd w:val="clear" w:color="auto" w:fill="FFFFFF" w:themeFill="background1"/>
            <w:tcMar>
              <w:top w:w="0" w:type="dxa"/>
              <w:left w:w="0" w:type="dxa"/>
              <w:bottom w:w="0" w:type="dxa"/>
              <w:right w:w="0" w:type="dxa"/>
            </w:tcMar>
            <w:vAlign w:val="center"/>
          </w:tcPr>
          <w:p w14:paraId="7ECCFD7B">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42</w:t>
            </w:r>
          </w:p>
        </w:tc>
      </w:tr>
      <w:tr w14:paraId="288A236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48111824">
            <w:pPr>
              <w:spacing w:line="480" w:lineRule="auto"/>
              <w:jc w:val="left"/>
              <w:rPr>
                <w:rFonts w:ascii="Times New Roman" w:hAnsi="Times New Roman" w:eastAsia="Arial" w:cs="Times New Roman"/>
                <w:bCs/>
                <w:color w:val="000000"/>
                <w:sz w:val="22"/>
              </w:rPr>
            </w:pPr>
            <w:r>
              <w:rPr>
                <w:rFonts w:ascii="Times New Roman" w:hAnsi="Times New Roman" w:eastAsia="Arial" w:cs="Times New Roman"/>
                <w:bCs/>
                <w:color w:val="000000"/>
                <w:sz w:val="22"/>
              </w:rPr>
              <w:t>unkown</w:t>
            </w:r>
          </w:p>
        </w:tc>
        <w:tc>
          <w:tcPr>
            <w:tcW w:w="716" w:type="pct"/>
            <w:shd w:val="clear" w:color="auto" w:fill="FFFFFF" w:themeFill="background1"/>
            <w:tcMar>
              <w:top w:w="0" w:type="dxa"/>
              <w:left w:w="0" w:type="dxa"/>
              <w:bottom w:w="0" w:type="dxa"/>
              <w:right w:w="0" w:type="dxa"/>
            </w:tcMar>
            <w:vAlign w:val="center"/>
          </w:tcPr>
          <w:p w14:paraId="52D7F8A4">
            <w:pPr>
              <w:spacing w:line="480" w:lineRule="auto"/>
              <w:jc w:val="left"/>
              <w:rPr>
                <w:rFonts w:ascii="Times New Roman" w:hAnsi="Times New Roman" w:cs="Times New Roman"/>
                <w:bCs/>
                <w:color w:val="000000"/>
                <w:sz w:val="22"/>
              </w:rPr>
            </w:pPr>
            <w:r>
              <w:rPr>
                <w:rFonts w:ascii="Times New Roman" w:hAnsi="Times New Roman" w:cs="Times New Roman"/>
                <w:bCs/>
                <w:color w:val="000000"/>
                <w:sz w:val="22"/>
              </w:rPr>
              <w:t>-</w:t>
            </w:r>
          </w:p>
        </w:tc>
        <w:tc>
          <w:tcPr>
            <w:tcW w:w="992" w:type="pct"/>
            <w:shd w:val="clear" w:color="auto" w:fill="FFFFFF" w:themeFill="background1"/>
            <w:tcMar>
              <w:top w:w="0" w:type="dxa"/>
              <w:left w:w="0" w:type="dxa"/>
              <w:bottom w:w="0" w:type="dxa"/>
              <w:right w:w="0" w:type="dxa"/>
            </w:tcMar>
            <w:vAlign w:val="center"/>
          </w:tcPr>
          <w:p w14:paraId="426A8412">
            <w:pPr>
              <w:spacing w:line="480" w:lineRule="auto"/>
              <w:jc w:val="left"/>
              <w:rPr>
                <w:rFonts w:ascii="Times New Roman" w:hAnsi="Times New Roman" w:cs="Times New Roman"/>
                <w:bCs/>
                <w:color w:val="000000"/>
                <w:sz w:val="22"/>
              </w:rPr>
            </w:pPr>
            <w:r>
              <w:rPr>
                <w:rFonts w:ascii="Times New Roman" w:hAnsi="Times New Roman" w:cs="Times New Roman"/>
                <w:bCs/>
                <w:color w:val="000000"/>
                <w:sz w:val="22"/>
              </w:rPr>
              <w:t>-</w:t>
            </w:r>
          </w:p>
        </w:tc>
        <w:tc>
          <w:tcPr>
            <w:tcW w:w="1033" w:type="pct"/>
            <w:shd w:val="clear" w:color="auto" w:fill="FFFFFF" w:themeFill="background1"/>
            <w:tcMar>
              <w:top w:w="0" w:type="dxa"/>
              <w:left w:w="0" w:type="dxa"/>
              <w:bottom w:w="0" w:type="dxa"/>
              <w:right w:w="0" w:type="dxa"/>
            </w:tcMar>
            <w:vAlign w:val="center"/>
          </w:tcPr>
          <w:p w14:paraId="0B596DE0">
            <w:pPr>
              <w:spacing w:line="480" w:lineRule="auto"/>
              <w:jc w:val="left"/>
              <w:rPr>
                <w:rFonts w:ascii="Times New Roman" w:hAnsi="Times New Roman" w:cs="Times New Roman"/>
                <w:bCs/>
                <w:color w:val="000000"/>
                <w:sz w:val="22"/>
              </w:rPr>
            </w:pPr>
            <w:r>
              <w:rPr>
                <w:rFonts w:ascii="Times New Roman" w:hAnsi="Times New Roman" w:cs="Times New Roman"/>
                <w:bCs/>
                <w:color w:val="000000"/>
                <w:sz w:val="22"/>
              </w:rPr>
              <w:t>-</w:t>
            </w:r>
          </w:p>
        </w:tc>
        <w:tc>
          <w:tcPr>
            <w:tcW w:w="535" w:type="pct"/>
            <w:shd w:val="clear" w:color="auto" w:fill="FFFFFF" w:themeFill="background1"/>
            <w:tcMar>
              <w:top w:w="0" w:type="dxa"/>
              <w:left w:w="0" w:type="dxa"/>
              <w:bottom w:w="0" w:type="dxa"/>
              <w:right w:w="0" w:type="dxa"/>
            </w:tcMar>
            <w:vAlign w:val="center"/>
          </w:tcPr>
          <w:p w14:paraId="00D8DADC">
            <w:pPr>
              <w:spacing w:line="480" w:lineRule="auto"/>
              <w:jc w:val="left"/>
              <w:rPr>
                <w:rFonts w:ascii="Times New Roman" w:hAnsi="Times New Roman" w:cs="Times New Roman"/>
                <w:bCs/>
                <w:sz w:val="22"/>
              </w:rPr>
            </w:pPr>
            <w:r>
              <w:rPr>
                <w:rFonts w:ascii="Times New Roman" w:hAnsi="Times New Roman" w:cs="Times New Roman"/>
                <w:bCs/>
                <w:sz w:val="22"/>
              </w:rPr>
              <w:t>-</w:t>
            </w:r>
          </w:p>
        </w:tc>
        <w:tc>
          <w:tcPr>
            <w:tcW w:w="716" w:type="pct"/>
            <w:shd w:val="clear" w:color="auto" w:fill="FFFFFF" w:themeFill="background1"/>
            <w:tcMar>
              <w:top w:w="0" w:type="dxa"/>
              <w:left w:w="0" w:type="dxa"/>
              <w:bottom w:w="0" w:type="dxa"/>
              <w:right w:w="0" w:type="dxa"/>
            </w:tcMar>
            <w:vAlign w:val="center"/>
          </w:tcPr>
          <w:p w14:paraId="1A50CB0B">
            <w:pPr>
              <w:spacing w:line="480" w:lineRule="auto"/>
              <w:jc w:val="left"/>
              <w:rPr>
                <w:rFonts w:ascii="Times New Roman" w:hAnsi="Times New Roman" w:eastAsia="Arial" w:cs="Times New Roman"/>
                <w:bCs/>
                <w:color w:val="000000"/>
                <w:sz w:val="22"/>
              </w:rPr>
            </w:pPr>
            <w:r>
              <w:rPr>
                <w:rFonts w:ascii="Times New Roman" w:hAnsi="Times New Roman" w:eastAsia="Arial" w:cs="Times New Roman"/>
                <w:bCs/>
                <w:color w:val="000000"/>
                <w:sz w:val="22"/>
              </w:rPr>
              <w:t>37</w:t>
            </w:r>
          </w:p>
        </w:tc>
      </w:tr>
      <w:tr w14:paraId="237BB91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5000" w:type="pct"/>
            <w:gridSpan w:val="6"/>
            <w:shd w:val="clear" w:color="auto" w:fill="FFFFFF" w:themeFill="background1"/>
            <w:tcMar>
              <w:top w:w="0" w:type="dxa"/>
              <w:left w:w="0" w:type="dxa"/>
              <w:bottom w:w="0" w:type="dxa"/>
              <w:right w:w="0" w:type="dxa"/>
            </w:tcMar>
            <w:vAlign w:val="center"/>
          </w:tcPr>
          <w:p w14:paraId="567D643F">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Stage</w:t>
            </w:r>
          </w:p>
        </w:tc>
      </w:tr>
      <w:tr w14:paraId="2438879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5C7779D2">
            <w:pPr>
              <w:spacing w:line="480" w:lineRule="auto"/>
              <w:ind w:firstLine="220" w:firstLineChars="100"/>
              <w:jc w:val="left"/>
              <w:rPr>
                <w:rFonts w:ascii="Times New Roman" w:hAnsi="Times New Roman" w:eastAsia="Arial" w:cs="Times New Roman"/>
                <w:bCs/>
                <w:color w:val="000000"/>
                <w:sz w:val="22"/>
              </w:rPr>
            </w:pPr>
            <w:r>
              <w:rPr>
                <w:rFonts w:ascii="Times New Roman" w:hAnsi="Times New Roman" w:eastAsia="Arial" w:cs="Times New Roman"/>
                <w:bCs/>
                <w:color w:val="000000"/>
                <w:sz w:val="22"/>
              </w:rPr>
              <w:t>1-2</w:t>
            </w:r>
          </w:p>
        </w:tc>
        <w:tc>
          <w:tcPr>
            <w:tcW w:w="716" w:type="pct"/>
            <w:shd w:val="clear" w:color="auto" w:fill="FFFFFF" w:themeFill="background1"/>
            <w:tcMar>
              <w:top w:w="0" w:type="dxa"/>
              <w:left w:w="0" w:type="dxa"/>
              <w:bottom w:w="0" w:type="dxa"/>
              <w:right w:w="0" w:type="dxa"/>
            </w:tcMar>
            <w:vAlign w:val="center"/>
          </w:tcPr>
          <w:p w14:paraId="6E89536A">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140</w:t>
            </w:r>
          </w:p>
        </w:tc>
        <w:tc>
          <w:tcPr>
            <w:tcW w:w="992" w:type="pct"/>
            <w:shd w:val="clear" w:color="auto" w:fill="FFFFFF" w:themeFill="background1"/>
            <w:tcMar>
              <w:top w:w="0" w:type="dxa"/>
              <w:left w:w="0" w:type="dxa"/>
              <w:bottom w:w="0" w:type="dxa"/>
              <w:right w:w="0" w:type="dxa"/>
            </w:tcMar>
            <w:vAlign w:val="center"/>
          </w:tcPr>
          <w:p w14:paraId="2551F974">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39</w:t>
            </w:r>
          </w:p>
        </w:tc>
        <w:tc>
          <w:tcPr>
            <w:tcW w:w="1033" w:type="pct"/>
            <w:shd w:val="clear" w:color="auto" w:fill="FFFFFF" w:themeFill="background1"/>
            <w:tcMar>
              <w:top w:w="0" w:type="dxa"/>
              <w:left w:w="0" w:type="dxa"/>
              <w:bottom w:w="0" w:type="dxa"/>
              <w:right w:w="0" w:type="dxa"/>
            </w:tcMar>
            <w:vAlign w:val="center"/>
          </w:tcPr>
          <w:p w14:paraId="54DB9900">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101</w:t>
            </w:r>
          </w:p>
        </w:tc>
        <w:tc>
          <w:tcPr>
            <w:tcW w:w="535" w:type="pct"/>
            <w:vMerge w:val="restart"/>
            <w:shd w:val="clear" w:color="auto" w:fill="FFFFFF" w:themeFill="background1"/>
            <w:tcMar>
              <w:top w:w="0" w:type="dxa"/>
              <w:left w:w="0" w:type="dxa"/>
              <w:bottom w:w="0" w:type="dxa"/>
              <w:right w:w="0" w:type="dxa"/>
            </w:tcMar>
            <w:vAlign w:val="center"/>
          </w:tcPr>
          <w:p w14:paraId="0789883E">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0.656</w:t>
            </w:r>
          </w:p>
        </w:tc>
        <w:tc>
          <w:tcPr>
            <w:tcW w:w="716" w:type="pct"/>
            <w:shd w:val="clear" w:color="auto" w:fill="FFFFFF" w:themeFill="background1"/>
            <w:tcMar>
              <w:top w:w="0" w:type="dxa"/>
              <w:left w:w="0" w:type="dxa"/>
              <w:bottom w:w="0" w:type="dxa"/>
              <w:right w:w="0" w:type="dxa"/>
            </w:tcMar>
            <w:vAlign w:val="center"/>
          </w:tcPr>
          <w:p w14:paraId="423C73F0">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48</w:t>
            </w:r>
          </w:p>
        </w:tc>
      </w:tr>
      <w:tr w14:paraId="3598C0B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27B7928A">
            <w:pPr>
              <w:spacing w:line="480" w:lineRule="auto"/>
              <w:ind w:firstLine="220" w:firstLineChars="100"/>
              <w:jc w:val="left"/>
              <w:rPr>
                <w:rFonts w:ascii="Times New Roman" w:hAnsi="Times New Roman" w:eastAsia="Arial" w:cs="Times New Roman"/>
                <w:bCs/>
                <w:color w:val="000000"/>
                <w:sz w:val="22"/>
              </w:rPr>
            </w:pPr>
            <w:r>
              <w:rPr>
                <w:rFonts w:ascii="Times New Roman" w:hAnsi="Times New Roman" w:eastAsia="Arial" w:cs="Times New Roman"/>
                <w:bCs/>
                <w:color w:val="000000"/>
                <w:sz w:val="22"/>
              </w:rPr>
              <w:t>3-4</w:t>
            </w:r>
          </w:p>
        </w:tc>
        <w:tc>
          <w:tcPr>
            <w:tcW w:w="716" w:type="pct"/>
            <w:shd w:val="clear" w:color="auto" w:fill="FFFFFF" w:themeFill="background1"/>
            <w:tcMar>
              <w:top w:w="0" w:type="dxa"/>
              <w:left w:w="0" w:type="dxa"/>
              <w:bottom w:w="0" w:type="dxa"/>
              <w:right w:w="0" w:type="dxa"/>
            </w:tcMar>
            <w:vAlign w:val="center"/>
          </w:tcPr>
          <w:p w14:paraId="487D7F51">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172</w:t>
            </w:r>
          </w:p>
        </w:tc>
        <w:tc>
          <w:tcPr>
            <w:tcW w:w="992" w:type="pct"/>
            <w:shd w:val="clear" w:color="auto" w:fill="FFFFFF" w:themeFill="background1"/>
            <w:tcMar>
              <w:top w:w="0" w:type="dxa"/>
              <w:left w:w="0" w:type="dxa"/>
              <w:bottom w:w="0" w:type="dxa"/>
              <w:right w:w="0" w:type="dxa"/>
            </w:tcMar>
            <w:vAlign w:val="center"/>
          </w:tcPr>
          <w:p w14:paraId="118A0F56">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53</w:t>
            </w:r>
          </w:p>
        </w:tc>
        <w:tc>
          <w:tcPr>
            <w:tcW w:w="1033" w:type="pct"/>
            <w:shd w:val="clear" w:color="auto" w:fill="FFFFFF" w:themeFill="background1"/>
            <w:tcMar>
              <w:top w:w="0" w:type="dxa"/>
              <w:left w:w="0" w:type="dxa"/>
              <w:bottom w:w="0" w:type="dxa"/>
              <w:right w:w="0" w:type="dxa"/>
            </w:tcMar>
            <w:vAlign w:val="center"/>
          </w:tcPr>
          <w:p w14:paraId="787AFF99">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119</w:t>
            </w:r>
          </w:p>
        </w:tc>
        <w:tc>
          <w:tcPr>
            <w:tcW w:w="535" w:type="pct"/>
            <w:vMerge w:val="continue"/>
            <w:shd w:val="clear" w:color="auto" w:fill="FFFFFF" w:themeFill="background1"/>
            <w:tcMar>
              <w:top w:w="0" w:type="dxa"/>
              <w:left w:w="0" w:type="dxa"/>
              <w:bottom w:w="0" w:type="dxa"/>
              <w:right w:w="0" w:type="dxa"/>
            </w:tcMar>
            <w:vAlign w:val="center"/>
          </w:tcPr>
          <w:p w14:paraId="21AC9AFA">
            <w:pPr>
              <w:spacing w:line="480" w:lineRule="auto"/>
              <w:jc w:val="left"/>
              <w:rPr>
                <w:rFonts w:ascii="Times New Roman" w:hAnsi="Times New Roman" w:cs="Times New Roman"/>
                <w:bCs/>
                <w:sz w:val="22"/>
              </w:rPr>
            </w:pPr>
          </w:p>
        </w:tc>
        <w:tc>
          <w:tcPr>
            <w:tcW w:w="716" w:type="pct"/>
            <w:shd w:val="clear" w:color="auto" w:fill="FFFFFF" w:themeFill="background1"/>
            <w:tcMar>
              <w:top w:w="0" w:type="dxa"/>
              <w:left w:w="0" w:type="dxa"/>
              <w:bottom w:w="0" w:type="dxa"/>
              <w:right w:w="0" w:type="dxa"/>
            </w:tcMar>
            <w:vAlign w:val="center"/>
          </w:tcPr>
          <w:p w14:paraId="75C22F2D">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89</w:t>
            </w:r>
          </w:p>
        </w:tc>
      </w:tr>
      <w:tr w14:paraId="6ADBDBE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5000" w:type="pct"/>
            <w:gridSpan w:val="6"/>
            <w:shd w:val="clear" w:color="auto" w:fill="FFFFFF" w:themeFill="background1"/>
            <w:tcMar>
              <w:top w:w="0" w:type="dxa"/>
              <w:left w:w="0" w:type="dxa"/>
              <w:bottom w:w="0" w:type="dxa"/>
              <w:right w:w="0" w:type="dxa"/>
            </w:tcMar>
            <w:vAlign w:val="center"/>
          </w:tcPr>
          <w:p w14:paraId="40251D25">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Gender</w:t>
            </w:r>
          </w:p>
        </w:tc>
      </w:tr>
      <w:tr w14:paraId="1AE8B61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0F90D184">
            <w:pPr>
              <w:spacing w:line="480" w:lineRule="auto"/>
              <w:ind w:firstLine="220" w:firstLineChars="100"/>
              <w:jc w:val="left"/>
              <w:rPr>
                <w:rFonts w:ascii="Times New Roman" w:hAnsi="Times New Roman" w:eastAsia="Arial" w:cs="Times New Roman"/>
                <w:bCs/>
                <w:color w:val="000000"/>
                <w:sz w:val="22"/>
              </w:rPr>
            </w:pPr>
            <w:r>
              <w:rPr>
                <w:rFonts w:ascii="Times New Roman" w:hAnsi="Times New Roman" w:eastAsia="Arial" w:cs="Times New Roman"/>
                <w:bCs/>
                <w:color w:val="000000"/>
                <w:sz w:val="22"/>
              </w:rPr>
              <w:t>Female</w:t>
            </w:r>
          </w:p>
        </w:tc>
        <w:tc>
          <w:tcPr>
            <w:tcW w:w="716" w:type="pct"/>
            <w:shd w:val="clear" w:color="auto" w:fill="FFFFFF" w:themeFill="background1"/>
            <w:tcMar>
              <w:top w:w="0" w:type="dxa"/>
              <w:left w:w="0" w:type="dxa"/>
              <w:bottom w:w="0" w:type="dxa"/>
              <w:right w:w="0" w:type="dxa"/>
            </w:tcMar>
            <w:vAlign w:val="center"/>
          </w:tcPr>
          <w:p w14:paraId="41C27445">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131</w:t>
            </w:r>
          </w:p>
        </w:tc>
        <w:tc>
          <w:tcPr>
            <w:tcW w:w="992" w:type="pct"/>
            <w:shd w:val="clear" w:color="auto" w:fill="FFFFFF" w:themeFill="background1"/>
            <w:tcMar>
              <w:top w:w="0" w:type="dxa"/>
              <w:left w:w="0" w:type="dxa"/>
              <w:bottom w:w="0" w:type="dxa"/>
              <w:right w:w="0" w:type="dxa"/>
            </w:tcMar>
            <w:vAlign w:val="center"/>
          </w:tcPr>
          <w:p w14:paraId="5BF34133">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35</w:t>
            </w:r>
          </w:p>
        </w:tc>
        <w:tc>
          <w:tcPr>
            <w:tcW w:w="1033" w:type="pct"/>
            <w:shd w:val="clear" w:color="auto" w:fill="FFFFFF" w:themeFill="background1"/>
            <w:tcMar>
              <w:top w:w="0" w:type="dxa"/>
              <w:left w:w="0" w:type="dxa"/>
              <w:bottom w:w="0" w:type="dxa"/>
              <w:right w:w="0" w:type="dxa"/>
            </w:tcMar>
            <w:vAlign w:val="center"/>
          </w:tcPr>
          <w:p w14:paraId="1E191BF8">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96</w:t>
            </w:r>
          </w:p>
        </w:tc>
        <w:tc>
          <w:tcPr>
            <w:tcW w:w="535" w:type="pct"/>
            <w:vMerge w:val="restart"/>
            <w:shd w:val="clear" w:color="auto" w:fill="FFFFFF" w:themeFill="background1"/>
            <w:tcMar>
              <w:top w:w="0" w:type="dxa"/>
              <w:left w:w="0" w:type="dxa"/>
              <w:bottom w:w="0" w:type="dxa"/>
              <w:right w:w="0" w:type="dxa"/>
            </w:tcMar>
            <w:vAlign w:val="center"/>
          </w:tcPr>
          <w:p w14:paraId="4452B5C9">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0.617</w:t>
            </w:r>
          </w:p>
        </w:tc>
        <w:tc>
          <w:tcPr>
            <w:tcW w:w="716" w:type="pct"/>
            <w:shd w:val="clear" w:color="auto" w:fill="FFFFFF" w:themeFill="background1"/>
            <w:tcMar>
              <w:top w:w="0" w:type="dxa"/>
              <w:left w:w="0" w:type="dxa"/>
              <w:bottom w:w="0" w:type="dxa"/>
              <w:right w:w="0" w:type="dxa"/>
            </w:tcMar>
            <w:vAlign w:val="center"/>
          </w:tcPr>
          <w:p w14:paraId="3414BECE">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58</w:t>
            </w:r>
          </w:p>
        </w:tc>
      </w:tr>
      <w:tr w14:paraId="1F2308F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6C9D3364">
            <w:pPr>
              <w:spacing w:line="480" w:lineRule="auto"/>
              <w:ind w:firstLine="220" w:firstLineChars="100"/>
              <w:jc w:val="left"/>
              <w:rPr>
                <w:rFonts w:ascii="Times New Roman" w:hAnsi="Times New Roman" w:eastAsia="Arial" w:cs="Times New Roman"/>
                <w:bCs/>
                <w:color w:val="000000"/>
                <w:sz w:val="22"/>
              </w:rPr>
            </w:pPr>
            <w:r>
              <w:rPr>
                <w:rFonts w:ascii="Times New Roman" w:hAnsi="Times New Roman" w:eastAsia="Arial" w:cs="Times New Roman"/>
                <w:bCs/>
                <w:color w:val="000000"/>
                <w:sz w:val="22"/>
              </w:rPr>
              <w:t>Male</w:t>
            </w:r>
          </w:p>
        </w:tc>
        <w:tc>
          <w:tcPr>
            <w:tcW w:w="716" w:type="pct"/>
            <w:shd w:val="clear" w:color="auto" w:fill="FFFFFF" w:themeFill="background1"/>
            <w:tcMar>
              <w:top w:w="0" w:type="dxa"/>
              <w:left w:w="0" w:type="dxa"/>
              <w:bottom w:w="0" w:type="dxa"/>
              <w:right w:w="0" w:type="dxa"/>
            </w:tcMar>
            <w:vAlign w:val="center"/>
          </w:tcPr>
          <w:p w14:paraId="65C96A47">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163</w:t>
            </w:r>
          </w:p>
        </w:tc>
        <w:tc>
          <w:tcPr>
            <w:tcW w:w="992" w:type="pct"/>
            <w:shd w:val="clear" w:color="auto" w:fill="FFFFFF" w:themeFill="background1"/>
            <w:tcMar>
              <w:top w:w="0" w:type="dxa"/>
              <w:left w:w="0" w:type="dxa"/>
              <w:bottom w:w="0" w:type="dxa"/>
              <w:right w:w="0" w:type="dxa"/>
            </w:tcMar>
            <w:vAlign w:val="center"/>
          </w:tcPr>
          <w:p w14:paraId="7AFF15CF">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52</w:t>
            </w:r>
          </w:p>
        </w:tc>
        <w:tc>
          <w:tcPr>
            <w:tcW w:w="1033" w:type="pct"/>
            <w:shd w:val="clear" w:color="auto" w:fill="FFFFFF" w:themeFill="background1"/>
            <w:tcMar>
              <w:top w:w="0" w:type="dxa"/>
              <w:left w:w="0" w:type="dxa"/>
              <w:bottom w:w="0" w:type="dxa"/>
              <w:right w:w="0" w:type="dxa"/>
            </w:tcMar>
            <w:vAlign w:val="center"/>
          </w:tcPr>
          <w:p w14:paraId="26F4953F">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111</w:t>
            </w:r>
          </w:p>
        </w:tc>
        <w:tc>
          <w:tcPr>
            <w:tcW w:w="535" w:type="pct"/>
            <w:vMerge w:val="continue"/>
            <w:shd w:val="clear" w:color="auto" w:fill="FFFFFF" w:themeFill="background1"/>
            <w:tcMar>
              <w:top w:w="0" w:type="dxa"/>
              <w:left w:w="0" w:type="dxa"/>
              <w:bottom w:w="0" w:type="dxa"/>
              <w:right w:w="0" w:type="dxa"/>
            </w:tcMar>
            <w:vAlign w:val="center"/>
          </w:tcPr>
          <w:p w14:paraId="100E4CDC">
            <w:pPr>
              <w:spacing w:line="480" w:lineRule="auto"/>
              <w:jc w:val="left"/>
              <w:rPr>
                <w:rFonts w:ascii="Times New Roman" w:hAnsi="Times New Roman" w:cs="Times New Roman"/>
                <w:bCs/>
                <w:sz w:val="22"/>
              </w:rPr>
            </w:pPr>
          </w:p>
        </w:tc>
        <w:tc>
          <w:tcPr>
            <w:tcW w:w="716" w:type="pct"/>
            <w:shd w:val="clear" w:color="auto" w:fill="FFFFFF" w:themeFill="background1"/>
            <w:tcMar>
              <w:top w:w="0" w:type="dxa"/>
              <w:left w:w="0" w:type="dxa"/>
              <w:bottom w:w="0" w:type="dxa"/>
              <w:right w:w="0" w:type="dxa"/>
            </w:tcMar>
            <w:vAlign w:val="center"/>
          </w:tcPr>
          <w:p w14:paraId="0FA74587">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79</w:t>
            </w:r>
          </w:p>
        </w:tc>
      </w:tr>
      <w:tr w14:paraId="35E04AB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1E1B92B2">
            <w:pPr>
              <w:spacing w:line="480" w:lineRule="auto"/>
              <w:ind w:firstLine="220" w:firstLineChars="100"/>
              <w:jc w:val="left"/>
              <w:rPr>
                <w:rFonts w:ascii="Times New Roman" w:hAnsi="Times New Roman" w:cs="Times New Roman"/>
                <w:bCs/>
                <w:sz w:val="22"/>
              </w:rPr>
            </w:pPr>
            <w:r>
              <w:rPr>
                <w:rFonts w:ascii="Times New Roman" w:hAnsi="Times New Roman" w:eastAsia="Arial" w:cs="Times New Roman"/>
                <w:bCs/>
                <w:color w:val="000000"/>
                <w:sz w:val="22"/>
              </w:rPr>
              <w:t>Unknown</w:t>
            </w:r>
          </w:p>
        </w:tc>
        <w:tc>
          <w:tcPr>
            <w:tcW w:w="716" w:type="pct"/>
            <w:shd w:val="clear" w:color="auto" w:fill="FFFFFF" w:themeFill="background1"/>
            <w:tcMar>
              <w:top w:w="0" w:type="dxa"/>
              <w:left w:w="0" w:type="dxa"/>
              <w:bottom w:w="0" w:type="dxa"/>
              <w:right w:w="0" w:type="dxa"/>
            </w:tcMar>
            <w:vAlign w:val="center"/>
          </w:tcPr>
          <w:p w14:paraId="22D77B86">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18</w:t>
            </w:r>
          </w:p>
        </w:tc>
        <w:tc>
          <w:tcPr>
            <w:tcW w:w="992" w:type="pct"/>
            <w:shd w:val="clear" w:color="auto" w:fill="FFFFFF" w:themeFill="background1"/>
            <w:tcMar>
              <w:top w:w="0" w:type="dxa"/>
              <w:left w:w="0" w:type="dxa"/>
              <w:bottom w:w="0" w:type="dxa"/>
              <w:right w:w="0" w:type="dxa"/>
            </w:tcMar>
            <w:vAlign w:val="center"/>
          </w:tcPr>
          <w:p w14:paraId="3FAA9ABF">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5</w:t>
            </w:r>
          </w:p>
        </w:tc>
        <w:tc>
          <w:tcPr>
            <w:tcW w:w="1033" w:type="pct"/>
            <w:shd w:val="clear" w:color="auto" w:fill="FFFFFF" w:themeFill="background1"/>
            <w:tcMar>
              <w:top w:w="0" w:type="dxa"/>
              <w:left w:w="0" w:type="dxa"/>
              <w:bottom w:w="0" w:type="dxa"/>
              <w:right w:w="0" w:type="dxa"/>
            </w:tcMar>
            <w:vAlign w:val="center"/>
          </w:tcPr>
          <w:p w14:paraId="0EFF6DC7">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13</w:t>
            </w:r>
          </w:p>
        </w:tc>
        <w:tc>
          <w:tcPr>
            <w:tcW w:w="535" w:type="pct"/>
            <w:vMerge w:val="continue"/>
            <w:shd w:val="clear" w:color="auto" w:fill="FFFFFF" w:themeFill="background1"/>
            <w:tcMar>
              <w:top w:w="0" w:type="dxa"/>
              <w:left w:w="0" w:type="dxa"/>
              <w:bottom w:w="0" w:type="dxa"/>
              <w:right w:w="0" w:type="dxa"/>
            </w:tcMar>
            <w:vAlign w:val="center"/>
          </w:tcPr>
          <w:p w14:paraId="78231D58">
            <w:pPr>
              <w:spacing w:line="480" w:lineRule="auto"/>
              <w:jc w:val="left"/>
              <w:rPr>
                <w:rFonts w:ascii="Times New Roman" w:hAnsi="Times New Roman" w:cs="Times New Roman"/>
                <w:bCs/>
                <w:sz w:val="22"/>
              </w:rPr>
            </w:pPr>
          </w:p>
        </w:tc>
        <w:tc>
          <w:tcPr>
            <w:tcW w:w="716" w:type="pct"/>
            <w:shd w:val="clear" w:color="auto" w:fill="FFFFFF" w:themeFill="background1"/>
            <w:tcMar>
              <w:top w:w="0" w:type="dxa"/>
              <w:left w:w="0" w:type="dxa"/>
              <w:bottom w:w="0" w:type="dxa"/>
              <w:right w:w="0" w:type="dxa"/>
            </w:tcMar>
            <w:vAlign w:val="center"/>
          </w:tcPr>
          <w:p w14:paraId="76299FB1">
            <w:pPr>
              <w:spacing w:line="480" w:lineRule="auto"/>
              <w:jc w:val="left"/>
              <w:rPr>
                <w:rFonts w:ascii="Times New Roman" w:hAnsi="Times New Roman" w:cs="Times New Roman"/>
                <w:bCs/>
                <w:sz w:val="22"/>
              </w:rPr>
            </w:pPr>
            <w:r>
              <w:rPr>
                <w:rFonts w:ascii="Times New Roman" w:hAnsi="Times New Roman" w:cs="Times New Roman"/>
                <w:bCs/>
                <w:color w:val="000000"/>
                <w:sz w:val="22"/>
              </w:rPr>
              <w:t>-</w:t>
            </w:r>
          </w:p>
        </w:tc>
      </w:tr>
      <w:tr w14:paraId="79DAFE4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5000" w:type="pct"/>
            <w:gridSpan w:val="6"/>
            <w:shd w:val="clear" w:color="auto" w:fill="FFFFFF" w:themeFill="background1"/>
            <w:tcMar>
              <w:top w:w="0" w:type="dxa"/>
              <w:left w:w="0" w:type="dxa"/>
              <w:bottom w:w="0" w:type="dxa"/>
              <w:right w:w="0" w:type="dxa"/>
            </w:tcMar>
            <w:vAlign w:val="center"/>
          </w:tcPr>
          <w:p w14:paraId="789EA98A">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OS</w:t>
            </w:r>
          </w:p>
        </w:tc>
      </w:tr>
      <w:tr w14:paraId="3F3B414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6159E067">
            <w:pPr>
              <w:spacing w:line="480" w:lineRule="auto"/>
              <w:ind w:firstLine="220" w:firstLineChars="100"/>
              <w:jc w:val="left"/>
              <w:rPr>
                <w:rFonts w:ascii="Times New Roman" w:hAnsi="Times New Roman" w:eastAsia="Arial" w:cs="Times New Roman"/>
                <w:bCs/>
                <w:color w:val="000000"/>
                <w:sz w:val="22"/>
              </w:rPr>
            </w:pPr>
            <w:r>
              <w:rPr>
                <w:rFonts w:ascii="Times New Roman" w:hAnsi="Times New Roman" w:eastAsia="Arial" w:cs="Times New Roman"/>
                <w:bCs/>
                <w:color w:val="000000"/>
                <w:sz w:val="22"/>
              </w:rPr>
              <w:t>0</w:t>
            </w:r>
          </w:p>
        </w:tc>
        <w:tc>
          <w:tcPr>
            <w:tcW w:w="716" w:type="pct"/>
            <w:shd w:val="clear" w:color="auto" w:fill="FFFFFF" w:themeFill="background1"/>
            <w:tcMar>
              <w:top w:w="0" w:type="dxa"/>
              <w:left w:w="0" w:type="dxa"/>
              <w:bottom w:w="0" w:type="dxa"/>
              <w:right w:w="0" w:type="dxa"/>
            </w:tcMar>
            <w:vAlign w:val="center"/>
          </w:tcPr>
          <w:p w14:paraId="5002BDF0">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202</w:t>
            </w:r>
          </w:p>
        </w:tc>
        <w:tc>
          <w:tcPr>
            <w:tcW w:w="992" w:type="pct"/>
            <w:shd w:val="clear" w:color="auto" w:fill="FFFFFF" w:themeFill="background1"/>
            <w:tcMar>
              <w:top w:w="0" w:type="dxa"/>
              <w:left w:w="0" w:type="dxa"/>
              <w:bottom w:w="0" w:type="dxa"/>
              <w:right w:w="0" w:type="dxa"/>
            </w:tcMar>
            <w:vAlign w:val="center"/>
          </w:tcPr>
          <w:p w14:paraId="143D76F5">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67</w:t>
            </w:r>
          </w:p>
        </w:tc>
        <w:tc>
          <w:tcPr>
            <w:tcW w:w="1033" w:type="pct"/>
            <w:shd w:val="clear" w:color="auto" w:fill="FFFFFF" w:themeFill="background1"/>
            <w:tcMar>
              <w:top w:w="0" w:type="dxa"/>
              <w:left w:w="0" w:type="dxa"/>
              <w:bottom w:w="0" w:type="dxa"/>
              <w:right w:w="0" w:type="dxa"/>
            </w:tcMar>
            <w:vAlign w:val="center"/>
          </w:tcPr>
          <w:p w14:paraId="15095585">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135</w:t>
            </w:r>
          </w:p>
        </w:tc>
        <w:tc>
          <w:tcPr>
            <w:tcW w:w="535" w:type="pct"/>
            <w:vMerge w:val="restart"/>
            <w:shd w:val="clear" w:color="auto" w:fill="FFFFFF" w:themeFill="background1"/>
            <w:tcMar>
              <w:top w:w="0" w:type="dxa"/>
              <w:left w:w="0" w:type="dxa"/>
              <w:bottom w:w="0" w:type="dxa"/>
              <w:right w:w="0" w:type="dxa"/>
            </w:tcMar>
            <w:vAlign w:val="center"/>
          </w:tcPr>
          <w:p w14:paraId="222291DB">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0.0715</w:t>
            </w:r>
          </w:p>
        </w:tc>
        <w:tc>
          <w:tcPr>
            <w:tcW w:w="716" w:type="pct"/>
            <w:shd w:val="clear" w:color="auto" w:fill="FFFFFF" w:themeFill="background1"/>
            <w:tcMar>
              <w:top w:w="0" w:type="dxa"/>
              <w:left w:w="0" w:type="dxa"/>
              <w:bottom w:w="0" w:type="dxa"/>
              <w:right w:w="0" w:type="dxa"/>
            </w:tcMar>
            <w:vAlign w:val="center"/>
          </w:tcPr>
          <w:p w14:paraId="23423D6D">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77</w:t>
            </w:r>
          </w:p>
        </w:tc>
      </w:tr>
      <w:tr w14:paraId="682D455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1008" w:type="pct"/>
            <w:shd w:val="clear" w:color="auto" w:fill="FFFFFF" w:themeFill="background1"/>
            <w:tcMar>
              <w:top w:w="0" w:type="dxa"/>
              <w:left w:w="0" w:type="dxa"/>
              <w:bottom w:w="0" w:type="dxa"/>
              <w:right w:w="0" w:type="dxa"/>
            </w:tcMar>
            <w:vAlign w:val="center"/>
          </w:tcPr>
          <w:p w14:paraId="5F445A52">
            <w:pPr>
              <w:spacing w:line="480" w:lineRule="auto"/>
              <w:ind w:firstLine="220" w:firstLineChars="100"/>
              <w:jc w:val="left"/>
              <w:rPr>
                <w:rFonts w:ascii="Times New Roman" w:hAnsi="Times New Roman" w:eastAsia="Arial" w:cs="Times New Roman"/>
                <w:bCs/>
                <w:color w:val="000000"/>
                <w:sz w:val="22"/>
              </w:rPr>
            </w:pPr>
            <w:r>
              <w:rPr>
                <w:rFonts w:ascii="Times New Roman" w:hAnsi="Times New Roman" w:eastAsia="Arial" w:cs="Times New Roman"/>
                <w:bCs/>
                <w:color w:val="000000"/>
                <w:sz w:val="22"/>
              </w:rPr>
              <w:t>1</w:t>
            </w:r>
          </w:p>
        </w:tc>
        <w:tc>
          <w:tcPr>
            <w:tcW w:w="716" w:type="pct"/>
            <w:shd w:val="clear" w:color="auto" w:fill="FFFFFF" w:themeFill="background1"/>
            <w:tcMar>
              <w:top w:w="0" w:type="dxa"/>
              <w:left w:w="0" w:type="dxa"/>
              <w:bottom w:w="0" w:type="dxa"/>
              <w:right w:w="0" w:type="dxa"/>
            </w:tcMar>
            <w:vAlign w:val="center"/>
          </w:tcPr>
          <w:p w14:paraId="5C49DC98">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110</w:t>
            </w:r>
          </w:p>
        </w:tc>
        <w:tc>
          <w:tcPr>
            <w:tcW w:w="992" w:type="pct"/>
            <w:shd w:val="clear" w:color="auto" w:fill="FFFFFF" w:themeFill="background1"/>
            <w:tcMar>
              <w:top w:w="0" w:type="dxa"/>
              <w:left w:w="0" w:type="dxa"/>
              <w:bottom w:w="0" w:type="dxa"/>
              <w:right w:w="0" w:type="dxa"/>
            </w:tcMar>
            <w:vAlign w:val="center"/>
          </w:tcPr>
          <w:p w14:paraId="18A0A723">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25</w:t>
            </w:r>
          </w:p>
        </w:tc>
        <w:tc>
          <w:tcPr>
            <w:tcW w:w="1033" w:type="pct"/>
            <w:shd w:val="clear" w:color="auto" w:fill="FFFFFF" w:themeFill="background1"/>
            <w:tcMar>
              <w:top w:w="0" w:type="dxa"/>
              <w:left w:w="0" w:type="dxa"/>
              <w:bottom w:w="0" w:type="dxa"/>
              <w:right w:w="0" w:type="dxa"/>
            </w:tcMar>
            <w:vAlign w:val="center"/>
          </w:tcPr>
          <w:p w14:paraId="66389D1D">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85</w:t>
            </w:r>
          </w:p>
        </w:tc>
        <w:tc>
          <w:tcPr>
            <w:tcW w:w="535" w:type="pct"/>
            <w:vMerge w:val="continue"/>
            <w:shd w:val="clear" w:color="auto" w:fill="FFFFFF" w:themeFill="background1"/>
            <w:tcMar>
              <w:top w:w="0" w:type="dxa"/>
              <w:left w:w="0" w:type="dxa"/>
              <w:bottom w:w="0" w:type="dxa"/>
              <w:right w:w="0" w:type="dxa"/>
            </w:tcMar>
            <w:vAlign w:val="center"/>
          </w:tcPr>
          <w:p w14:paraId="24F0529B">
            <w:pPr>
              <w:spacing w:line="480" w:lineRule="auto"/>
              <w:jc w:val="left"/>
              <w:rPr>
                <w:rFonts w:ascii="Times New Roman" w:hAnsi="Times New Roman" w:cs="Times New Roman"/>
                <w:bCs/>
                <w:sz w:val="22"/>
              </w:rPr>
            </w:pPr>
          </w:p>
        </w:tc>
        <w:tc>
          <w:tcPr>
            <w:tcW w:w="716" w:type="pct"/>
            <w:shd w:val="clear" w:color="auto" w:fill="FFFFFF" w:themeFill="background1"/>
            <w:tcMar>
              <w:top w:w="0" w:type="dxa"/>
              <w:left w:w="0" w:type="dxa"/>
              <w:bottom w:w="0" w:type="dxa"/>
              <w:right w:w="0" w:type="dxa"/>
            </w:tcMar>
            <w:vAlign w:val="center"/>
          </w:tcPr>
          <w:p w14:paraId="329DBB75">
            <w:pPr>
              <w:spacing w:line="480" w:lineRule="auto"/>
              <w:jc w:val="left"/>
              <w:rPr>
                <w:rFonts w:ascii="Times New Roman" w:hAnsi="Times New Roman" w:cs="Times New Roman"/>
                <w:bCs/>
                <w:sz w:val="22"/>
              </w:rPr>
            </w:pPr>
            <w:r>
              <w:rPr>
                <w:rFonts w:ascii="Times New Roman" w:hAnsi="Times New Roman" w:eastAsia="Arial" w:cs="Times New Roman"/>
                <w:bCs/>
                <w:color w:val="000000"/>
                <w:sz w:val="22"/>
              </w:rPr>
              <w:t>60</w:t>
            </w:r>
          </w:p>
        </w:tc>
      </w:tr>
    </w:tbl>
    <w:p w14:paraId="654DE768">
      <w:pPr>
        <w:spacing w:line="480" w:lineRule="auto"/>
        <w:jc w:val="left"/>
        <w:rPr>
          <w:rFonts w:ascii="Times New Roman" w:hAnsi="Times New Roman" w:cs="Times New Roman"/>
          <w:sz w:val="22"/>
        </w:rPr>
      </w:pPr>
      <w:r>
        <w:rPr>
          <w:rFonts w:ascii="Times New Roman" w:hAnsi="Times New Roman" w:cs="Times New Roman"/>
          <w:sz w:val="22"/>
        </w:rPr>
        <w:br w:type="page"/>
      </w:r>
    </w:p>
    <w:p w14:paraId="445012B9">
      <w:pPr>
        <w:spacing w:line="480" w:lineRule="auto"/>
        <w:jc w:val="left"/>
        <w:rPr>
          <w:rFonts w:ascii="Times New Roman" w:hAnsi="Times New Roman" w:cs="Times New Roman"/>
          <w:sz w:val="22"/>
        </w:rPr>
      </w:pPr>
      <w:r>
        <w:rPr>
          <w:rFonts w:ascii="Times New Roman" w:hAnsi="Times New Roman" w:cs="Times New Roman"/>
          <w:sz w:val="22"/>
        </w:rPr>
        <w:drawing>
          <wp:inline distT="0" distB="0" distL="0" distR="0">
            <wp:extent cx="5274310" cy="64795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6479540"/>
                    </a:xfrm>
                    <a:prstGeom prst="rect">
                      <a:avLst/>
                    </a:prstGeom>
                    <a:noFill/>
                    <a:ln>
                      <a:noFill/>
                    </a:ln>
                  </pic:spPr>
                </pic:pic>
              </a:graphicData>
            </a:graphic>
          </wp:inline>
        </w:drawing>
      </w:r>
    </w:p>
    <w:p w14:paraId="4BB4220E">
      <w:pPr>
        <w:suppressLineNumbers/>
        <w:spacing w:line="480" w:lineRule="auto"/>
        <w:jc w:val="left"/>
        <w:rPr>
          <w:rFonts w:ascii="Times New Roman" w:hAnsi="Times New Roman" w:cs="Times New Roman"/>
          <w:bCs/>
          <w:sz w:val="22"/>
        </w:rPr>
      </w:pPr>
      <w:r>
        <w:rPr>
          <w:rFonts w:ascii="Times New Roman" w:hAnsi="Times New Roman" w:cs="Times New Roman"/>
          <w:b/>
          <w:sz w:val="22"/>
        </w:rPr>
        <w:t>Figure S1.</w:t>
      </w:r>
      <w:r>
        <w:rPr>
          <w:rFonts w:ascii="Times New Roman" w:hAnsi="Times New Roman" w:cs="Times New Roman"/>
          <w:bCs/>
          <w:sz w:val="22"/>
        </w:rPr>
        <w:t xml:space="preserve"> Ferroptosis-related lncRNA identification in patients with DLBCL.</w:t>
      </w:r>
    </w:p>
    <w:p w14:paraId="74DE8E8B">
      <w:pPr>
        <w:suppressLineNumbers/>
        <w:spacing w:line="480" w:lineRule="auto"/>
        <w:jc w:val="left"/>
        <w:rPr>
          <w:rFonts w:ascii="Times New Roman" w:hAnsi="Times New Roman" w:cs="Times New Roman"/>
          <w:bCs/>
          <w:sz w:val="22"/>
        </w:rPr>
        <w:sectPr>
          <w:pgSz w:w="11907" w:h="16840"/>
          <w:pgMar w:top="1440" w:right="1440" w:bottom="1440" w:left="1440" w:header="720" w:footer="964" w:gutter="0"/>
          <w:cols w:space="425" w:num="1"/>
          <w:docGrid w:linePitch="312" w:charSpace="0"/>
        </w:sectPr>
      </w:pPr>
    </w:p>
    <w:p w14:paraId="7C17E6C9">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608320" cy="4019550"/>
            <wp:effectExtent l="0" t="0" r="0" b="0"/>
            <wp:docPr id="1387296748" name="图片 138729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296748" name="图片 138729674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625868" cy="4032102"/>
                    </a:xfrm>
                    <a:prstGeom prst="rect">
                      <a:avLst/>
                    </a:prstGeom>
                    <a:noFill/>
                    <a:ln>
                      <a:noFill/>
                    </a:ln>
                  </pic:spPr>
                </pic:pic>
              </a:graphicData>
            </a:graphic>
          </wp:inline>
        </w:drawing>
      </w:r>
    </w:p>
    <w:p w14:paraId="73FD121D">
      <w:pPr>
        <w:widowControl/>
        <w:spacing w:line="480" w:lineRule="auto"/>
        <w:jc w:val="left"/>
        <w:rPr>
          <w:rFonts w:ascii="Times New Roman" w:hAnsi="Times New Roman" w:cs="Times New Roman"/>
          <w:sz w:val="22"/>
        </w:rPr>
      </w:pPr>
      <w:r>
        <w:rPr>
          <w:rFonts w:ascii="Times New Roman" w:hAnsi="Times New Roman" w:cs="Times New Roman"/>
          <w:b/>
          <w:sz w:val="22"/>
        </w:rPr>
        <w:t>Figure S2.</w:t>
      </w:r>
      <w:r>
        <w:rPr>
          <w:rFonts w:ascii="Times New Roman" w:hAnsi="Times New Roman" w:cs="Times New Roman"/>
          <w:sz w:val="22"/>
        </w:rPr>
        <w:t xml:space="preserve"> GO and KEGG analyses of DEGs. (A) GO biological process (GO-BP), (B) GO cellular component (GO-CC), and (C) GO molecular function (GO-MF) DEG enrichment analyses, and (D) functional gene annotation with different expression patterns between clusters 1 and 2 by using KEGG pathway terms.</w:t>
      </w:r>
    </w:p>
    <w:p w14:paraId="6C6785B2">
      <w:pPr>
        <w:widowControl/>
        <w:spacing w:line="480" w:lineRule="auto"/>
        <w:jc w:val="left"/>
        <w:rPr>
          <w:rFonts w:ascii="Times New Roman" w:hAnsi="Times New Roman" w:cs="Times New Roman"/>
          <w:sz w:val="22"/>
        </w:rPr>
      </w:pPr>
      <w:r>
        <w:rPr>
          <w:rFonts w:ascii="Times New Roman" w:hAnsi="Times New Roman" w:cs="Times New Roman"/>
          <w:sz w:val="22"/>
        </w:rPr>
        <w:br w:type="page"/>
      </w:r>
    </w:p>
    <w:p w14:paraId="0DCC73C5">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826125" cy="4368800"/>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837570" cy="4377123"/>
                    </a:xfrm>
                    <a:prstGeom prst="rect">
                      <a:avLst/>
                    </a:prstGeom>
                    <a:noFill/>
                    <a:ln>
                      <a:noFill/>
                    </a:ln>
                  </pic:spPr>
                </pic:pic>
              </a:graphicData>
            </a:graphic>
          </wp:inline>
        </w:drawing>
      </w:r>
    </w:p>
    <w:p w14:paraId="25069EDD">
      <w:pPr>
        <w:suppressLineNumbers/>
        <w:spacing w:line="480" w:lineRule="auto"/>
        <w:jc w:val="left"/>
        <w:rPr>
          <w:rFonts w:ascii="Times New Roman" w:hAnsi="Times New Roman" w:cs="Times New Roman"/>
          <w:bCs/>
          <w:sz w:val="22"/>
        </w:rPr>
        <w:sectPr>
          <w:pgSz w:w="11907" w:h="16840"/>
          <w:pgMar w:top="1440" w:right="1440" w:bottom="1440" w:left="1440" w:header="720" w:footer="964" w:gutter="0"/>
          <w:cols w:space="425" w:num="1"/>
          <w:docGrid w:linePitch="312" w:charSpace="0"/>
        </w:sectPr>
      </w:pPr>
      <w:r>
        <w:rPr>
          <w:rFonts w:ascii="Times New Roman" w:hAnsi="Times New Roman" w:cs="Times New Roman"/>
          <w:b/>
          <w:sz w:val="22"/>
        </w:rPr>
        <w:t xml:space="preserve">Figure S3. </w:t>
      </w:r>
      <w:r>
        <w:rPr>
          <w:rFonts w:ascii="Times New Roman" w:hAnsi="Times New Roman" w:cs="Times New Roman"/>
          <w:bCs/>
          <w:sz w:val="22"/>
        </w:rPr>
        <w:t>Identification of ferroptosis-related lncRNAs and prognostic analysis.</w:t>
      </w:r>
    </w:p>
    <w:p w14:paraId="6F9126DE">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524500" cy="256921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534546" cy="2574037"/>
                    </a:xfrm>
                    <a:prstGeom prst="rect">
                      <a:avLst/>
                    </a:prstGeom>
                    <a:noFill/>
                    <a:ln>
                      <a:noFill/>
                    </a:ln>
                  </pic:spPr>
                </pic:pic>
              </a:graphicData>
            </a:graphic>
          </wp:inline>
        </w:drawing>
      </w:r>
    </w:p>
    <w:p w14:paraId="1C665E74">
      <w:pPr>
        <w:suppressLineNumbers/>
        <w:spacing w:line="480" w:lineRule="auto"/>
        <w:jc w:val="left"/>
        <w:rPr>
          <w:rFonts w:ascii="Times New Roman" w:hAnsi="Times New Roman" w:cs="Times New Roman"/>
          <w:sz w:val="22"/>
        </w:rPr>
        <w:sectPr>
          <w:pgSz w:w="11907" w:h="16840"/>
          <w:pgMar w:top="1440" w:right="1440" w:bottom="1440" w:left="1440" w:header="720" w:footer="964" w:gutter="0"/>
          <w:cols w:space="425" w:num="1"/>
          <w:docGrid w:linePitch="312" w:charSpace="0"/>
        </w:sectPr>
      </w:pPr>
      <w:r>
        <w:rPr>
          <w:rFonts w:ascii="Times New Roman" w:hAnsi="Times New Roman" w:cs="Times New Roman"/>
          <w:b/>
          <w:sz w:val="22"/>
        </w:rPr>
        <w:t xml:space="preserve">Figure S4. </w:t>
      </w:r>
      <w:r>
        <w:rPr>
          <w:rFonts w:ascii="Times New Roman" w:hAnsi="Times New Roman" w:cs="Times New Roman"/>
          <w:bCs/>
          <w:sz w:val="22"/>
        </w:rPr>
        <w:t>Id</w:t>
      </w:r>
      <w:r>
        <w:rPr>
          <w:rFonts w:ascii="Times New Roman" w:hAnsi="Times New Roman" w:cs="Times New Roman"/>
          <w:sz w:val="22"/>
        </w:rPr>
        <w:t>entification of the risk signature by using LASSO analysis. (A) The change trajectory of an independent variable, with the horizontal axis representing the independent variable lambda log value and the vertical axis representing the independent variable coefficient. (B) The confidence interval under each lambda value.</w:t>
      </w:r>
    </w:p>
    <w:p w14:paraId="4A3F5D93">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640705" cy="17970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664202" cy="1804415"/>
                    </a:xfrm>
                    <a:prstGeom prst="rect">
                      <a:avLst/>
                    </a:prstGeom>
                    <a:noFill/>
                    <a:ln>
                      <a:noFill/>
                    </a:ln>
                  </pic:spPr>
                </pic:pic>
              </a:graphicData>
            </a:graphic>
          </wp:inline>
        </w:drawing>
      </w:r>
      <w:r>
        <w:rPr>
          <w:rFonts w:ascii="Times New Roman" w:hAnsi="Times New Roman" w:cs="Times New Roman"/>
          <w:sz w:val="22"/>
        </w:rPr>
        <w:drawing>
          <wp:inline distT="0" distB="0" distL="0" distR="0">
            <wp:extent cx="5647690" cy="1841500"/>
            <wp:effectExtent l="0" t="0" r="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680891" cy="1852138"/>
                    </a:xfrm>
                    <a:prstGeom prst="rect">
                      <a:avLst/>
                    </a:prstGeom>
                    <a:noFill/>
                    <a:ln>
                      <a:noFill/>
                    </a:ln>
                  </pic:spPr>
                </pic:pic>
              </a:graphicData>
            </a:graphic>
          </wp:inline>
        </w:drawing>
      </w:r>
      <w:r>
        <w:rPr>
          <w:rFonts w:ascii="Times New Roman" w:hAnsi="Times New Roman" w:cs="Times New Roman"/>
          <w:sz w:val="22"/>
        </w:rPr>
        <w:drawing>
          <wp:inline distT="0" distB="0" distL="0" distR="0">
            <wp:extent cx="5634990" cy="1803400"/>
            <wp:effectExtent l="0" t="0" r="381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659669" cy="1811147"/>
                    </a:xfrm>
                    <a:prstGeom prst="rect">
                      <a:avLst/>
                    </a:prstGeom>
                    <a:noFill/>
                    <a:ln>
                      <a:noFill/>
                    </a:ln>
                  </pic:spPr>
                </pic:pic>
              </a:graphicData>
            </a:graphic>
          </wp:inline>
        </w:drawing>
      </w:r>
    </w:p>
    <w:p w14:paraId="5953152B">
      <w:pPr>
        <w:suppressLineNumbers/>
        <w:spacing w:line="480" w:lineRule="auto"/>
        <w:jc w:val="left"/>
        <w:rPr>
          <w:rFonts w:ascii="Times New Roman" w:hAnsi="Times New Roman" w:cs="Times New Roman"/>
          <w:sz w:val="22"/>
        </w:rPr>
        <w:sectPr>
          <w:pgSz w:w="11907" w:h="16840"/>
          <w:pgMar w:top="1440" w:right="1440" w:bottom="1440" w:left="1440" w:header="720" w:footer="964" w:gutter="0"/>
          <w:cols w:space="425" w:num="1"/>
          <w:docGrid w:linePitch="312" w:charSpace="0"/>
        </w:sectPr>
      </w:pPr>
      <w:r>
        <w:rPr>
          <w:rFonts w:ascii="Times New Roman" w:hAnsi="Times New Roman" w:cs="Times New Roman"/>
          <w:b/>
          <w:sz w:val="22"/>
        </w:rPr>
        <w:t xml:space="preserve">Figure S5. </w:t>
      </w:r>
      <w:r>
        <w:rPr>
          <w:rFonts w:ascii="Times New Roman" w:hAnsi="Times New Roman" w:cs="Times New Roman"/>
          <w:sz w:val="22"/>
        </w:rPr>
        <w:t>Prognostic performances of risk prediction models based on validation sets. (A) Risk scores and survival status distribution of DLBCL patients in the validation cohort. (B) ROC curves of the 6-gene signature model for the prediction of 1-, 3-, and 5-year survival in the validation cohort. (C) Kaplan–Meier analysis exhibited the association of expression characteristics of high-risk lncRNAs with poor survival.</w:t>
      </w:r>
    </w:p>
    <w:p w14:paraId="3A07ADDE">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746750" cy="1830705"/>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771850" cy="1838709"/>
                    </a:xfrm>
                    <a:prstGeom prst="rect">
                      <a:avLst/>
                    </a:prstGeom>
                    <a:noFill/>
                    <a:ln>
                      <a:noFill/>
                    </a:ln>
                  </pic:spPr>
                </pic:pic>
              </a:graphicData>
            </a:graphic>
          </wp:inline>
        </w:drawing>
      </w:r>
    </w:p>
    <w:p w14:paraId="4F49FE33">
      <w:pPr>
        <w:suppressLineNumbers/>
        <w:spacing w:line="480" w:lineRule="auto"/>
        <w:jc w:val="left"/>
        <w:rPr>
          <w:rFonts w:ascii="Times New Roman" w:hAnsi="Times New Roman" w:cs="Times New Roman"/>
          <w:sz w:val="22"/>
        </w:rPr>
        <w:sectPr>
          <w:pgSz w:w="11907" w:h="16840"/>
          <w:pgMar w:top="1440" w:right="1440" w:bottom="1440" w:left="1440" w:header="720" w:footer="964" w:gutter="0"/>
          <w:cols w:space="425" w:num="1"/>
          <w:docGrid w:linePitch="312" w:charSpace="0"/>
        </w:sectPr>
      </w:pPr>
      <w:r>
        <w:rPr>
          <w:rFonts w:ascii="Times New Roman" w:hAnsi="Times New Roman" w:cs="Times New Roman"/>
          <w:b/>
          <w:sz w:val="22"/>
        </w:rPr>
        <w:t xml:space="preserve">Figure S6. </w:t>
      </w:r>
      <w:r>
        <w:rPr>
          <w:rFonts w:ascii="Times New Roman" w:hAnsi="Times New Roman" w:cs="Times New Roman"/>
          <w:sz w:val="22"/>
        </w:rPr>
        <w:t>Prognostic performances of risk prediction models in the full datasets. (A) Expression levels, survival status, and risk scores of 6 lncRNAs in the full dataset. (B) ROC curves of the 6-gene signature model for 1-, 3-, and 5- survival prediction in the full dataset. (C) According to the Kaplan–Meier curve, the outcomes of the high-risk patients were poorer than those of the low-risk patients in the full dataset.</w:t>
      </w:r>
    </w:p>
    <w:p w14:paraId="7CAF6EB6">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715000" cy="18288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726416" cy="1832508"/>
                    </a:xfrm>
                    <a:prstGeom prst="rect">
                      <a:avLst/>
                    </a:prstGeom>
                    <a:noFill/>
                    <a:ln>
                      <a:noFill/>
                    </a:ln>
                  </pic:spPr>
                </pic:pic>
              </a:graphicData>
            </a:graphic>
          </wp:inline>
        </w:drawing>
      </w:r>
    </w:p>
    <w:p w14:paraId="01AC491A">
      <w:pPr>
        <w:suppressLineNumbers/>
        <w:spacing w:line="480" w:lineRule="auto"/>
        <w:jc w:val="left"/>
        <w:rPr>
          <w:rFonts w:ascii="Times New Roman" w:hAnsi="Times New Roman" w:cs="Times New Roman"/>
          <w:sz w:val="22"/>
        </w:rPr>
      </w:pPr>
      <w:r>
        <w:rPr>
          <w:rFonts w:ascii="Times New Roman" w:hAnsi="Times New Roman" w:cs="Times New Roman"/>
          <w:b/>
          <w:sz w:val="22"/>
        </w:rPr>
        <w:t xml:space="preserve">Figure S7. </w:t>
      </w:r>
      <w:r>
        <w:rPr>
          <w:rFonts w:ascii="Times New Roman" w:hAnsi="Times New Roman" w:cs="Times New Roman"/>
          <w:sz w:val="22"/>
        </w:rPr>
        <w:t>Prognostic performance of risk prediction models is constructed on the external validation dataset. (A) Expression levels, survival status, and risk scores of 6 lncRNAs in the dataset for external validation. (B) ROC curves of the 6-gene signature model for predicting 1-, 3-, and 5-year survival in the dataset for external validation. (C) As shown in the Kaplan–Meier curve, the high-risk group showed poorer outcomes than the low-risk group in the external validation dataset.</w:t>
      </w:r>
    </w:p>
    <w:p w14:paraId="14B9EBB8">
      <w:pPr>
        <w:spacing w:line="480" w:lineRule="auto"/>
        <w:jc w:val="left"/>
        <w:rPr>
          <w:rFonts w:ascii="Times New Roman" w:hAnsi="Times New Roman" w:cs="Times New Roman"/>
          <w:sz w:val="22"/>
        </w:rPr>
        <w:sectPr>
          <w:pgSz w:w="11907" w:h="16840"/>
          <w:pgMar w:top="1440" w:right="1440" w:bottom="1440" w:left="1440" w:header="720" w:footer="964" w:gutter="0"/>
          <w:cols w:space="425" w:num="1"/>
          <w:docGrid w:linePitch="312" w:charSpace="0"/>
        </w:sectPr>
      </w:pPr>
    </w:p>
    <w:p w14:paraId="438A8FA4">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783580" cy="7226300"/>
            <wp:effectExtent l="0" t="0" r="7620" b="0"/>
            <wp:docPr id="1978385519" name="图片 1978385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385519" name="图片 19783855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804918" cy="7252608"/>
                    </a:xfrm>
                    <a:prstGeom prst="rect">
                      <a:avLst/>
                    </a:prstGeom>
                    <a:noFill/>
                    <a:ln>
                      <a:noFill/>
                    </a:ln>
                  </pic:spPr>
                </pic:pic>
              </a:graphicData>
            </a:graphic>
          </wp:inline>
        </w:drawing>
      </w:r>
    </w:p>
    <w:p w14:paraId="3C5959F9">
      <w:pPr>
        <w:spacing w:line="480" w:lineRule="auto"/>
        <w:jc w:val="left"/>
        <w:rPr>
          <w:rFonts w:ascii="Times New Roman" w:hAnsi="Times New Roman" w:cs="Times New Roman"/>
          <w:bCs/>
          <w:sz w:val="22"/>
        </w:rPr>
        <w:sectPr>
          <w:pgSz w:w="11907" w:h="16840"/>
          <w:pgMar w:top="1440" w:right="1440" w:bottom="1440" w:left="1440" w:header="720" w:footer="964" w:gutter="0"/>
          <w:cols w:space="425" w:num="1"/>
          <w:docGrid w:linePitch="312" w:charSpace="0"/>
        </w:sectPr>
      </w:pPr>
      <w:r>
        <w:rPr>
          <w:rFonts w:ascii="Times New Roman" w:hAnsi="Times New Roman" w:cs="Times New Roman"/>
          <w:b/>
          <w:sz w:val="22"/>
        </w:rPr>
        <w:t xml:space="preserve">Figure S8. </w:t>
      </w:r>
      <w:r>
        <w:rPr>
          <w:rFonts w:ascii="Times New Roman" w:hAnsi="Times New Roman" w:cs="Times New Roman"/>
          <w:bCs/>
          <w:sz w:val="22"/>
        </w:rPr>
        <w:t>Differences in risk scores among patients with different clinical characteristics. (A) Risk score comparison between different sex groups. (B) Risk score comparison between different age groups. (C) Risk score comparison between varied stage groups. (D) Risk score comparison between clusters.</w:t>
      </w:r>
    </w:p>
    <w:p w14:paraId="60FD51D7">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880100" cy="1804035"/>
            <wp:effectExtent l="0" t="0" r="635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06756" cy="1812731"/>
                    </a:xfrm>
                    <a:prstGeom prst="rect">
                      <a:avLst/>
                    </a:prstGeom>
                    <a:noFill/>
                    <a:ln>
                      <a:noFill/>
                    </a:ln>
                  </pic:spPr>
                </pic:pic>
              </a:graphicData>
            </a:graphic>
          </wp:inline>
        </w:drawing>
      </w:r>
    </w:p>
    <w:p w14:paraId="71397CFE">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b/>
          <w:sz w:val="22"/>
        </w:rPr>
        <w:t>Figure S9.</w:t>
      </w:r>
      <w:r>
        <w:rPr>
          <w:rFonts w:ascii="Times New Roman" w:hAnsi="Times New Roman" w:cs="Times New Roman"/>
          <w:sz w:val="22"/>
        </w:rPr>
        <w:t xml:space="preserve"> Predictive histogram construction. Predictive ability of the calibration plot of the nomogram for the probability of 1-, 3-, and 5-year OS. (B) Predictive ability of the nomogram for the probability of 1-, 3-, and 5-year OS. (C) DCA curve of the stage, risk score, and age combination.</w:t>
      </w:r>
    </w:p>
    <w:p w14:paraId="7863EC4F">
      <w:pPr>
        <w:widowControl/>
        <w:spacing w:line="480" w:lineRule="auto"/>
        <w:jc w:val="left"/>
        <w:rPr>
          <w:rFonts w:ascii="Times New Roman" w:hAnsi="Times New Roman" w:cs="Times New Roman"/>
          <w:bCs/>
          <w:sz w:val="22"/>
        </w:rPr>
        <w:sectPr>
          <w:pgSz w:w="11907" w:h="16840"/>
          <w:pgMar w:top="1440" w:right="1440" w:bottom="1440" w:left="1440" w:header="720" w:footer="964" w:gutter="0"/>
          <w:cols w:space="425" w:num="1"/>
          <w:docGrid w:linePitch="312" w:charSpace="0"/>
        </w:sectPr>
      </w:pPr>
    </w:p>
    <w:p w14:paraId="395A883F">
      <w:pPr>
        <w:pStyle w:val="8"/>
        <w:widowControl/>
        <w:spacing w:line="480" w:lineRule="auto"/>
        <w:ind w:firstLine="0" w:firstLineChars="0"/>
        <w:jc w:val="left"/>
        <w:rPr>
          <w:rFonts w:ascii="Times New Roman" w:hAnsi="Times New Roman" w:cs="Times New Roman"/>
          <w:sz w:val="22"/>
        </w:rPr>
      </w:pPr>
      <w:r>
        <w:rPr>
          <w:rFonts w:ascii="Times New Roman" w:hAnsi="Times New Roman" w:cs="Times New Roman"/>
          <w:sz w:val="22"/>
        </w:rPr>
        <w:drawing>
          <wp:inline distT="0" distB="0" distL="0" distR="0">
            <wp:extent cx="5746750" cy="1782445"/>
            <wp:effectExtent l="0" t="0" r="6350"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784198" cy="1794343"/>
                    </a:xfrm>
                    <a:prstGeom prst="rect">
                      <a:avLst/>
                    </a:prstGeom>
                    <a:noFill/>
                    <a:ln>
                      <a:noFill/>
                    </a:ln>
                  </pic:spPr>
                </pic:pic>
              </a:graphicData>
            </a:graphic>
          </wp:inline>
        </w:drawing>
      </w:r>
    </w:p>
    <w:p w14:paraId="462CE4C5">
      <w:pPr>
        <w:pStyle w:val="8"/>
        <w:widowControl/>
        <w:spacing w:line="480" w:lineRule="auto"/>
        <w:ind w:firstLine="0" w:firstLineChars="0"/>
        <w:jc w:val="left"/>
        <w:rPr>
          <w:rFonts w:ascii="Times New Roman" w:hAnsi="Times New Roman" w:cs="Times New Roman"/>
          <w:bCs/>
          <w:sz w:val="22"/>
        </w:rPr>
      </w:pPr>
      <w:r>
        <w:rPr>
          <w:rFonts w:ascii="Times New Roman" w:hAnsi="Times New Roman" w:cs="Times New Roman"/>
          <w:b/>
          <w:sz w:val="22"/>
        </w:rPr>
        <w:t xml:space="preserve">Figure S10. </w:t>
      </w:r>
      <w:r>
        <w:rPr>
          <w:rFonts w:ascii="Times New Roman" w:hAnsi="Times New Roman" w:cs="Times New Roman"/>
          <w:bCs/>
          <w:sz w:val="22"/>
        </w:rPr>
        <w:t>(A) Correlation coefficients for KEGG pathways and the risk score were clustered into heat maps. (B) The KEGG pathway is altered with increases in the risk score in ssGSEA for each sample.</w:t>
      </w:r>
    </w:p>
    <w:sectPr>
      <w:pgSz w:w="11907" w:h="16840"/>
      <w:pgMar w:top="1440" w:right="1440" w:bottom="1440" w:left="1440" w:header="720" w:footer="964"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B30"/>
    <w:rsid w:val="00010813"/>
    <w:rsid w:val="00062F51"/>
    <w:rsid w:val="000B3F51"/>
    <w:rsid w:val="000C6323"/>
    <w:rsid w:val="001319E2"/>
    <w:rsid w:val="0018589F"/>
    <w:rsid w:val="002024AF"/>
    <w:rsid w:val="0022148C"/>
    <w:rsid w:val="002749CA"/>
    <w:rsid w:val="00284D00"/>
    <w:rsid w:val="002954CD"/>
    <w:rsid w:val="002965EB"/>
    <w:rsid w:val="00312300"/>
    <w:rsid w:val="00355364"/>
    <w:rsid w:val="00361B94"/>
    <w:rsid w:val="003F3E27"/>
    <w:rsid w:val="00410852"/>
    <w:rsid w:val="00465FA2"/>
    <w:rsid w:val="00475891"/>
    <w:rsid w:val="004B76A3"/>
    <w:rsid w:val="004E6D3A"/>
    <w:rsid w:val="004F0925"/>
    <w:rsid w:val="00542631"/>
    <w:rsid w:val="005537DE"/>
    <w:rsid w:val="00562DD9"/>
    <w:rsid w:val="00577D93"/>
    <w:rsid w:val="005D5A40"/>
    <w:rsid w:val="00642A46"/>
    <w:rsid w:val="006C0EBD"/>
    <w:rsid w:val="007C3248"/>
    <w:rsid w:val="007C3E38"/>
    <w:rsid w:val="007D1B18"/>
    <w:rsid w:val="007D4B92"/>
    <w:rsid w:val="0081241A"/>
    <w:rsid w:val="00876EE2"/>
    <w:rsid w:val="00897A7F"/>
    <w:rsid w:val="008B46C7"/>
    <w:rsid w:val="008D5DC3"/>
    <w:rsid w:val="009757F9"/>
    <w:rsid w:val="009A5BCB"/>
    <w:rsid w:val="009B4032"/>
    <w:rsid w:val="009C34A9"/>
    <w:rsid w:val="00A2316A"/>
    <w:rsid w:val="00A256C9"/>
    <w:rsid w:val="00B12A7D"/>
    <w:rsid w:val="00BD697F"/>
    <w:rsid w:val="00C34E41"/>
    <w:rsid w:val="00C455AA"/>
    <w:rsid w:val="00C567E0"/>
    <w:rsid w:val="00C81CE3"/>
    <w:rsid w:val="00C950AF"/>
    <w:rsid w:val="00CC7C4C"/>
    <w:rsid w:val="00CD1344"/>
    <w:rsid w:val="00CD54C7"/>
    <w:rsid w:val="00CD7F27"/>
    <w:rsid w:val="00EA2B30"/>
    <w:rsid w:val="00F134D8"/>
    <w:rsid w:val="00F33E7D"/>
    <w:rsid w:val="00F45056"/>
    <w:rsid w:val="00F5049A"/>
    <w:rsid w:val="00F632EB"/>
    <w:rsid w:val="00F872B8"/>
    <w:rsid w:val="445F7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link w:val="9"/>
    <w:qFormat/>
    <w:uiPriority w:val="34"/>
    <w:pPr>
      <w:ind w:firstLine="420" w:firstLineChars="200"/>
    </w:pPr>
  </w:style>
  <w:style w:type="character" w:customStyle="1" w:styleId="9">
    <w:name w:val="列表段落 字符"/>
    <w:basedOn w:val="5"/>
    <w:link w:val="8"/>
    <w:uiPriority w:val="34"/>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521</Words>
  <Characters>2799</Characters>
  <Lines>23</Lines>
  <Paragraphs>6</Paragraphs>
  <TotalTime>86</TotalTime>
  <ScaleCrop>false</ScaleCrop>
  <LinksUpToDate>false</LinksUpToDate>
  <CharactersWithSpaces>3244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2023-01-09T03:21:00Z</dcterms:created>
  <dc:creator>y</dc:creator>
  <cp:lastModifiedBy>雅痞喵</cp:lastModifiedBy>
  <dcterms:modified xsi:type="dcterms:W3CDTF">2025-02-08T10:02:32Z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1976CE069E1C4E6EB00712FD13BEF6E1_13</vt:lpwstr>
  </property>
</Properties>
</file>