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14E1C3" w14:textId="233788DF" w:rsidR="003D38BA" w:rsidRPr="00322E35" w:rsidRDefault="00962B66" w:rsidP="00962B66">
      <w:pPr>
        <w:pStyle w:val="Title"/>
        <w:rPr>
          <w:rStyle w:val="Strong"/>
          <w:lang w:val="en-GB"/>
        </w:rPr>
      </w:pPr>
      <w:r w:rsidRPr="00322E35">
        <w:rPr>
          <w:rStyle w:val="Strong"/>
          <w:lang w:val="en-GB"/>
        </w:rPr>
        <w:t xml:space="preserve">Supplementary </w:t>
      </w:r>
      <w:r w:rsidR="00426269" w:rsidRPr="00322E35">
        <w:rPr>
          <w:rStyle w:val="Strong"/>
          <w:lang w:val="en-GB"/>
        </w:rPr>
        <w:t>I</w:t>
      </w:r>
      <w:r w:rsidRPr="00322E35">
        <w:rPr>
          <w:rStyle w:val="Strong"/>
          <w:lang w:val="en-GB"/>
        </w:rPr>
        <w:t>nformation</w:t>
      </w:r>
      <w:r w:rsidR="00322E35">
        <w:rPr>
          <w:rStyle w:val="Strong"/>
          <w:lang w:val="en-GB"/>
        </w:rPr>
        <w:t xml:space="preserve"> for </w:t>
      </w:r>
      <w:r w:rsidR="00322E35" w:rsidRPr="00322E35">
        <w:rPr>
          <w:rStyle w:val="Strong"/>
          <w:lang w:val="en-GB"/>
        </w:rPr>
        <w:t>Growth over Climate? Aviation and the Paris Agreement</w:t>
      </w:r>
    </w:p>
    <w:p w14:paraId="318AC0EC" w14:textId="77777777" w:rsidR="0000026A" w:rsidRDefault="0000026A" w:rsidP="0000026A">
      <w:pPr>
        <w:pStyle w:val="Heading1"/>
        <w:rPr>
          <w:lang w:val="en-GB"/>
        </w:rPr>
      </w:pPr>
      <w:r>
        <w:rPr>
          <w:lang w:val="en-GB"/>
        </w:rPr>
        <w:t xml:space="preserve">EU’s </w:t>
      </w:r>
      <w:r w:rsidRPr="00F03387">
        <w:rPr>
          <w:lang w:val="en-GB"/>
        </w:rPr>
        <w:t xml:space="preserve">Sustainable and Smart Mobility Strategy </w:t>
      </w:r>
    </w:p>
    <w:p w14:paraId="27A25910" w14:textId="77777777" w:rsidR="006B5A45" w:rsidRPr="006B5A45" w:rsidRDefault="006B5A45" w:rsidP="006B5A45">
      <w:pPr>
        <w:rPr>
          <w:lang w:val="en-GB"/>
        </w:rPr>
      </w:pPr>
    </w:p>
    <w:p w14:paraId="10AA93E2" w14:textId="5C47D480" w:rsidR="00322E35" w:rsidRPr="00322E35" w:rsidRDefault="00322E35" w:rsidP="00322E35">
      <w:pPr>
        <w:pStyle w:val="Caption"/>
        <w:keepNext/>
        <w:rPr>
          <w:lang w:val="en-GB"/>
        </w:rPr>
      </w:pPr>
      <w:r w:rsidRPr="00322E35">
        <w:rPr>
          <w:lang w:val="en-GB"/>
        </w:rPr>
        <w:t>Table S.</w:t>
      </w:r>
      <w:r>
        <w:fldChar w:fldCharType="begin"/>
      </w:r>
      <w:r w:rsidRPr="00322E35">
        <w:rPr>
          <w:lang w:val="en-GB"/>
        </w:rPr>
        <w:instrText xml:space="preserve"> SEQ Table \* ARABIC </w:instrText>
      </w:r>
      <w:r>
        <w:fldChar w:fldCharType="separate"/>
      </w:r>
      <w:r w:rsidR="007E078E">
        <w:rPr>
          <w:noProof/>
          <w:lang w:val="en-GB"/>
        </w:rPr>
        <w:t>1</w:t>
      </w:r>
      <w:r>
        <w:fldChar w:fldCharType="end"/>
      </w:r>
      <w:r w:rsidRPr="00322E35">
        <w:rPr>
          <w:lang w:val="en-GB"/>
        </w:rPr>
        <w:t xml:space="preserve"> References </w:t>
      </w:r>
      <w:r w:rsidR="007E078E">
        <w:rPr>
          <w:lang w:val="en-GB"/>
        </w:rPr>
        <w:t>found</w:t>
      </w:r>
      <w:r w:rsidRPr="00322E35">
        <w:rPr>
          <w:lang w:val="en-GB"/>
        </w:rPr>
        <w:t xml:space="preserve"> in </w:t>
      </w:r>
      <w:r>
        <w:rPr>
          <w:lang w:val="en-GB"/>
        </w:rPr>
        <w:t>EU’s Sustainable and Smart Mobility Strategy</w:t>
      </w:r>
    </w:p>
    <w:tbl>
      <w:tblPr>
        <w:tblStyle w:val="TaulukkoRuudukko1"/>
        <w:tblW w:w="5000" w:type="pct"/>
        <w:tblLayout w:type="fixed"/>
        <w:tblLook w:val="04A0" w:firstRow="1" w:lastRow="0" w:firstColumn="1" w:lastColumn="0" w:noHBand="0" w:noVBand="1"/>
      </w:tblPr>
      <w:tblGrid>
        <w:gridCol w:w="3255"/>
        <w:gridCol w:w="1275"/>
        <w:gridCol w:w="711"/>
        <w:gridCol w:w="7653"/>
        <w:gridCol w:w="1666"/>
      </w:tblGrid>
      <w:tr w:rsidR="006B5A45" w:rsidRPr="006B5A45" w14:paraId="13EA42DA" w14:textId="77777777" w:rsidTr="007E078E">
        <w:trPr>
          <w:trHeight w:val="290"/>
        </w:trPr>
        <w:tc>
          <w:tcPr>
            <w:tcW w:w="1118" w:type="pct"/>
            <w:hideMark/>
          </w:tcPr>
          <w:p w14:paraId="458CC967" w14:textId="77777777" w:rsidR="006B5A45" w:rsidRPr="006B5A45" w:rsidRDefault="006B5A45" w:rsidP="006B5A45">
            <w:pPr>
              <w:rPr>
                <w:rFonts w:ascii="Calibri" w:eastAsia="Times New Roman" w:hAnsi="Calibri" w:cs="Calibri"/>
                <w:b/>
                <w:bCs/>
                <w:color w:val="000000"/>
                <w:lang w:eastAsia="fi-FI"/>
              </w:rPr>
            </w:pPr>
            <w:r w:rsidRPr="006B5A45">
              <w:rPr>
                <w:rFonts w:ascii="Calibri" w:eastAsia="Times New Roman" w:hAnsi="Calibri" w:cs="Calibri"/>
                <w:b/>
                <w:bCs/>
                <w:color w:val="000000"/>
                <w:lang w:eastAsia="fi-FI"/>
              </w:rPr>
              <w:t>Section</w:t>
            </w:r>
          </w:p>
        </w:tc>
        <w:tc>
          <w:tcPr>
            <w:tcW w:w="438" w:type="pct"/>
            <w:noWrap/>
            <w:hideMark/>
          </w:tcPr>
          <w:p w14:paraId="45174FE8" w14:textId="4D261042" w:rsidR="006B5A45" w:rsidRPr="006B5A45" w:rsidRDefault="006B5A45" w:rsidP="006B5A45">
            <w:pPr>
              <w:rPr>
                <w:rFonts w:ascii="Calibri" w:eastAsia="Times New Roman" w:hAnsi="Calibri" w:cs="Calibri"/>
                <w:b/>
                <w:bCs/>
                <w:color w:val="000000"/>
                <w:lang w:eastAsia="fi-FI"/>
              </w:rPr>
            </w:pPr>
            <w:r w:rsidRPr="006B5A45">
              <w:rPr>
                <w:rFonts w:ascii="Calibri" w:eastAsia="Times New Roman" w:hAnsi="Calibri" w:cs="Calibri"/>
                <w:b/>
                <w:bCs/>
                <w:color w:val="000000"/>
                <w:lang w:eastAsia="fi-FI"/>
              </w:rPr>
              <w:t xml:space="preserve">Paragraph, </w:t>
            </w:r>
            <w:r>
              <w:rPr>
                <w:rFonts w:ascii="Calibri" w:eastAsia="Times New Roman" w:hAnsi="Calibri" w:cs="Calibri"/>
                <w:b/>
                <w:bCs/>
                <w:color w:val="000000"/>
                <w:lang w:eastAsia="fi-FI"/>
              </w:rPr>
              <w:br/>
            </w:r>
            <w:proofErr w:type="spellStart"/>
            <w:r w:rsidRPr="006B5A45">
              <w:rPr>
                <w:rFonts w:ascii="Calibri" w:eastAsia="Times New Roman" w:hAnsi="Calibri" w:cs="Calibri"/>
                <w:b/>
                <w:bCs/>
                <w:color w:val="000000"/>
                <w:lang w:eastAsia="fi-FI"/>
              </w:rPr>
              <w:t>flagsip</w:t>
            </w:r>
            <w:proofErr w:type="spellEnd"/>
            <w:r w:rsidRPr="006B5A45">
              <w:rPr>
                <w:rFonts w:ascii="Calibri" w:eastAsia="Times New Roman" w:hAnsi="Calibri" w:cs="Calibri"/>
                <w:b/>
                <w:bCs/>
                <w:color w:val="000000"/>
                <w:lang w:eastAsia="fi-FI"/>
              </w:rPr>
              <w:t xml:space="preserve">, or </w:t>
            </w:r>
            <w:r>
              <w:rPr>
                <w:rFonts w:ascii="Calibri" w:eastAsia="Times New Roman" w:hAnsi="Calibri" w:cs="Calibri"/>
                <w:b/>
                <w:bCs/>
                <w:color w:val="000000"/>
                <w:lang w:eastAsia="fi-FI"/>
              </w:rPr>
              <w:br/>
            </w:r>
            <w:r w:rsidRPr="006B5A45">
              <w:rPr>
                <w:rFonts w:ascii="Calibri" w:eastAsia="Times New Roman" w:hAnsi="Calibri" w:cs="Calibri"/>
                <w:b/>
                <w:bCs/>
                <w:color w:val="000000"/>
                <w:lang w:eastAsia="fi-FI"/>
              </w:rPr>
              <w:t>milestone</w:t>
            </w:r>
          </w:p>
        </w:tc>
        <w:tc>
          <w:tcPr>
            <w:tcW w:w="244" w:type="pct"/>
            <w:noWrap/>
            <w:hideMark/>
          </w:tcPr>
          <w:p w14:paraId="2A6148CE" w14:textId="77777777" w:rsidR="006B5A45" w:rsidRPr="006B5A45" w:rsidRDefault="006B5A45" w:rsidP="006B5A45">
            <w:pPr>
              <w:rPr>
                <w:rFonts w:ascii="Calibri" w:eastAsia="Times New Roman" w:hAnsi="Calibri" w:cs="Calibri"/>
                <w:b/>
                <w:bCs/>
                <w:color w:val="000000"/>
                <w:lang w:eastAsia="fi-FI"/>
              </w:rPr>
            </w:pPr>
            <w:r w:rsidRPr="006B5A45">
              <w:rPr>
                <w:rFonts w:ascii="Calibri" w:eastAsia="Times New Roman" w:hAnsi="Calibri" w:cs="Calibri"/>
                <w:b/>
                <w:bCs/>
                <w:color w:val="000000"/>
                <w:lang w:eastAsia="fi-FI"/>
              </w:rPr>
              <w:t>Page</w:t>
            </w:r>
          </w:p>
        </w:tc>
        <w:tc>
          <w:tcPr>
            <w:tcW w:w="2628" w:type="pct"/>
            <w:hideMark/>
          </w:tcPr>
          <w:p w14:paraId="7132D249" w14:textId="77777777" w:rsidR="006B5A45" w:rsidRPr="006B5A45" w:rsidRDefault="006B5A45" w:rsidP="006B5A45">
            <w:pPr>
              <w:rPr>
                <w:rFonts w:ascii="Calibri" w:eastAsia="Times New Roman" w:hAnsi="Calibri" w:cs="Calibri"/>
                <w:b/>
                <w:bCs/>
                <w:color w:val="000000"/>
                <w:lang w:eastAsia="fi-FI"/>
              </w:rPr>
            </w:pPr>
            <w:r w:rsidRPr="006B5A45">
              <w:rPr>
                <w:rFonts w:ascii="Calibri" w:eastAsia="Times New Roman" w:hAnsi="Calibri" w:cs="Calibri"/>
                <w:b/>
                <w:bCs/>
                <w:color w:val="000000"/>
                <w:lang w:eastAsia="fi-FI"/>
              </w:rPr>
              <w:t>Citation</w:t>
            </w:r>
          </w:p>
        </w:tc>
        <w:tc>
          <w:tcPr>
            <w:tcW w:w="572" w:type="pct"/>
            <w:noWrap/>
            <w:hideMark/>
          </w:tcPr>
          <w:p w14:paraId="45BA375A" w14:textId="77777777" w:rsidR="006B5A45" w:rsidRPr="006B5A45" w:rsidRDefault="006B5A45" w:rsidP="006B5A45">
            <w:pPr>
              <w:rPr>
                <w:rFonts w:ascii="Calibri" w:eastAsia="Times New Roman" w:hAnsi="Calibri" w:cs="Calibri"/>
                <w:b/>
                <w:bCs/>
                <w:color w:val="000000"/>
                <w:lang w:eastAsia="fi-FI"/>
              </w:rPr>
            </w:pPr>
            <w:r w:rsidRPr="006B5A45">
              <w:rPr>
                <w:rFonts w:ascii="Calibri" w:eastAsia="Times New Roman" w:hAnsi="Calibri" w:cs="Calibri"/>
                <w:b/>
                <w:bCs/>
                <w:color w:val="000000"/>
                <w:lang w:eastAsia="fi-FI"/>
              </w:rPr>
              <w:t>Keywords</w:t>
            </w:r>
          </w:p>
        </w:tc>
      </w:tr>
      <w:tr w:rsidR="006B5A45" w:rsidRPr="006B5A45" w14:paraId="4C3E305A" w14:textId="77777777" w:rsidTr="007E078E">
        <w:trPr>
          <w:trHeight w:val="1779"/>
        </w:trPr>
        <w:tc>
          <w:tcPr>
            <w:tcW w:w="1118" w:type="pct"/>
            <w:hideMark/>
          </w:tcPr>
          <w:p w14:paraId="1D135FCB"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1 OUR VISION</w:t>
            </w:r>
          </w:p>
        </w:tc>
        <w:tc>
          <w:tcPr>
            <w:tcW w:w="438" w:type="pct"/>
            <w:noWrap/>
            <w:hideMark/>
          </w:tcPr>
          <w:p w14:paraId="0B4EA3E0"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3</w:t>
            </w:r>
          </w:p>
        </w:tc>
        <w:tc>
          <w:tcPr>
            <w:tcW w:w="244" w:type="pct"/>
            <w:noWrap/>
            <w:hideMark/>
          </w:tcPr>
          <w:p w14:paraId="62F17388"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w:t>
            </w:r>
          </w:p>
        </w:tc>
        <w:tc>
          <w:tcPr>
            <w:tcW w:w="2628" w:type="pct"/>
            <w:hideMark/>
          </w:tcPr>
          <w:p w14:paraId="63EA1A38"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By far, the most serious challenge facing the transport sector is to significantly reduce its emissions and become more sustainable. At the same time, this transformation offers great opportunities for better quality of life, and for European industry across the value chains to modernise, create high-quality jobs, develop new products and services, strengthen competitiveness and pursue global leadership as other markets are moving fast towards zero-emission mobility.</w:t>
            </w:r>
          </w:p>
        </w:tc>
        <w:tc>
          <w:tcPr>
            <w:tcW w:w="572" w:type="pct"/>
            <w:noWrap/>
            <w:hideMark/>
          </w:tcPr>
          <w:p w14:paraId="26FCD32D"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challenges, opportunities</w:t>
            </w:r>
          </w:p>
        </w:tc>
      </w:tr>
      <w:tr w:rsidR="006B5A45" w:rsidRPr="006B5A45" w14:paraId="6FAE6921" w14:textId="77777777" w:rsidTr="007E078E">
        <w:trPr>
          <w:trHeight w:val="1550"/>
        </w:trPr>
        <w:tc>
          <w:tcPr>
            <w:tcW w:w="1118" w:type="pct"/>
            <w:hideMark/>
          </w:tcPr>
          <w:p w14:paraId="08D1BFB8"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1 OUR VISION</w:t>
            </w:r>
          </w:p>
        </w:tc>
        <w:tc>
          <w:tcPr>
            <w:tcW w:w="438" w:type="pct"/>
            <w:noWrap/>
            <w:hideMark/>
          </w:tcPr>
          <w:p w14:paraId="71B4B335"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3</w:t>
            </w:r>
          </w:p>
        </w:tc>
        <w:tc>
          <w:tcPr>
            <w:tcW w:w="244" w:type="pct"/>
            <w:noWrap/>
            <w:hideMark/>
          </w:tcPr>
          <w:p w14:paraId="3C4BEF64"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w:t>
            </w:r>
          </w:p>
        </w:tc>
        <w:tc>
          <w:tcPr>
            <w:tcW w:w="2628" w:type="pct"/>
            <w:hideMark/>
          </w:tcPr>
          <w:p w14:paraId="482BA1F9"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 xml:space="preserve">Given its high proportion of total EU greenhouse gas emissions, the EU’s goal of at least -55% greenhouse gas reduction target by 2030 and of climate neutrality by 2050 will be reached, only by introducing more ambitious policies to reduce transport’s reliance on fossil fuels without delay and in synergy with zero pollution efforts. The success of the European Green Deal depends on our ability to make the transport system </w:t>
            </w:r>
            <w:proofErr w:type="gramStart"/>
            <w:r w:rsidRPr="006B5A45">
              <w:rPr>
                <w:rFonts w:ascii="Calibri" w:eastAsia="Times New Roman" w:hAnsi="Calibri" w:cs="Calibri"/>
                <w:color w:val="000000"/>
                <w:lang w:val="en-GB" w:eastAsia="fi-FI"/>
              </w:rPr>
              <w:t>as a whole sustainable</w:t>
            </w:r>
            <w:proofErr w:type="gramEnd"/>
            <w:r w:rsidRPr="006B5A45">
              <w:rPr>
                <w:rFonts w:ascii="Calibri" w:eastAsia="Times New Roman" w:hAnsi="Calibri" w:cs="Calibri"/>
                <w:color w:val="000000"/>
                <w:lang w:val="en-GB" w:eastAsia="fi-FI"/>
              </w:rPr>
              <w:t>.</w:t>
            </w:r>
          </w:p>
        </w:tc>
        <w:tc>
          <w:tcPr>
            <w:tcW w:w="572" w:type="pct"/>
            <w:noWrap/>
            <w:hideMark/>
          </w:tcPr>
          <w:p w14:paraId="4CF1B4B5"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transport emissions, targets</w:t>
            </w:r>
          </w:p>
        </w:tc>
      </w:tr>
      <w:tr w:rsidR="006B5A45" w:rsidRPr="006B5A45" w14:paraId="0A5C23C0" w14:textId="77777777" w:rsidTr="007E078E">
        <w:trPr>
          <w:trHeight w:val="355"/>
        </w:trPr>
        <w:tc>
          <w:tcPr>
            <w:tcW w:w="1118" w:type="pct"/>
            <w:hideMark/>
          </w:tcPr>
          <w:p w14:paraId="11040DFA"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1 OUR VISION</w:t>
            </w:r>
          </w:p>
        </w:tc>
        <w:tc>
          <w:tcPr>
            <w:tcW w:w="438" w:type="pct"/>
            <w:noWrap/>
            <w:hideMark/>
          </w:tcPr>
          <w:p w14:paraId="6398F461"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6</w:t>
            </w:r>
          </w:p>
        </w:tc>
        <w:tc>
          <w:tcPr>
            <w:tcW w:w="244" w:type="pct"/>
            <w:noWrap/>
            <w:hideMark/>
          </w:tcPr>
          <w:p w14:paraId="7DE40ECB"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w:t>
            </w:r>
          </w:p>
        </w:tc>
        <w:tc>
          <w:tcPr>
            <w:tcW w:w="2628" w:type="pct"/>
            <w:hideMark/>
          </w:tcPr>
          <w:p w14:paraId="31186E9E"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Greening mobility must be the new licence for the transport sector to grow.</w:t>
            </w:r>
          </w:p>
        </w:tc>
        <w:tc>
          <w:tcPr>
            <w:tcW w:w="572" w:type="pct"/>
            <w:noWrap/>
            <w:hideMark/>
          </w:tcPr>
          <w:p w14:paraId="11587A65"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growth</w:t>
            </w:r>
          </w:p>
        </w:tc>
      </w:tr>
      <w:tr w:rsidR="006B5A45" w:rsidRPr="006B5A45" w14:paraId="54049B55" w14:textId="77777777" w:rsidTr="007E078E">
        <w:trPr>
          <w:trHeight w:val="580"/>
        </w:trPr>
        <w:tc>
          <w:tcPr>
            <w:tcW w:w="1118" w:type="pct"/>
            <w:hideMark/>
          </w:tcPr>
          <w:p w14:paraId="0BD432ED"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1 OUR VISION</w:t>
            </w:r>
          </w:p>
        </w:tc>
        <w:tc>
          <w:tcPr>
            <w:tcW w:w="438" w:type="pct"/>
            <w:noWrap/>
            <w:hideMark/>
          </w:tcPr>
          <w:p w14:paraId="66B26E16"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9</w:t>
            </w:r>
          </w:p>
        </w:tc>
        <w:tc>
          <w:tcPr>
            <w:tcW w:w="244" w:type="pct"/>
            <w:noWrap/>
            <w:hideMark/>
          </w:tcPr>
          <w:p w14:paraId="6636207A"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w:t>
            </w:r>
          </w:p>
        </w:tc>
        <w:tc>
          <w:tcPr>
            <w:tcW w:w="2628" w:type="pct"/>
            <w:hideMark/>
          </w:tcPr>
          <w:p w14:paraId="4588C408"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Overall, we must shift the existing paradigm of incremental change to fundamental transformation.</w:t>
            </w:r>
          </w:p>
        </w:tc>
        <w:tc>
          <w:tcPr>
            <w:tcW w:w="572" w:type="pct"/>
            <w:noWrap/>
            <w:hideMark/>
          </w:tcPr>
          <w:p w14:paraId="2AD54D56"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transformation</w:t>
            </w:r>
          </w:p>
        </w:tc>
      </w:tr>
      <w:tr w:rsidR="006B5A45" w:rsidRPr="006B5A45" w14:paraId="6532E927" w14:textId="77777777" w:rsidTr="007E078E">
        <w:trPr>
          <w:trHeight w:val="1220"/>
        </w:trPr>
        <w:tc>
          <w:tcPr>
            <w:tcW w:w="1118" w:type="pct"/>
            <w:hideMark/>
          </w:tcPr>
          <w:p w14:paraId="4FC7E378"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1 OUR VISION</w:t>
            </w:r>
          </w:p>
        </w:tc>
        <w:tc>
          <w:tcPr>
            <w:tcW w:w="438" w:type="pct"/>
            <w:noWrap/>
            <w:hideMark/>
          </w:tcPr>
          <w:p w14:paraId="426E5965"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9</w:t>
            </w:r>
          </w:p>
        </w:tc>
        <w:tc>
          <w:tcPr>
            <w:tcW w:w="244" w:type="pct"/>
            <w:noWrap/>
            <w:hideMark/>
          </w:tcPr>
          <w:p w14:paraId="1E6859A0"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w:t>
            </w:r>
          </w:p>
        </w:tc>
        <w:tc>
          <w:tcPr>
            <w:tcW w:w="2628" w:type="pct"/>
            <w:hideMark/>
          </w:tcPr>
          <w:p w14:paraId="2443121D"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The scenarios underpinning the strategy, common to those supporting the 2030 climate target plan, demonstrate that, with the right level of ambition, the combination of policy measures set out in this strategy can deliver a 90% reduction in the transport sector’s emissions by 2050.</w:t>
            </w:r>
          </w:p>
        </w:tc>
        <w:tc>
          <w:tcPr>
            <w:tcW w:w="572" w:type="pct"/>
            <w:noWrap/>
            <w:hideMark/>
          </w:tcPr>
          <w:p w14:paraId="3C1AA4D9"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transport emissions, targets</w:t>
            </w:r>
          </w:p>
        </w:tc>
      </w:tr>
      <w:tr w:rsidR="006B5A45" w:rsidRPr="006B5A45" w14:paraId="0DA1C7D6" w14:textId="77777777" w:rsidTr="007E078E">
        <w:trPr>
          <w:trHeight w:val="580"/>
        </w:trPr>
        <w:tc>
          <w:tcPr>
            <w:tcW w:w="1118" w:type="pct"/>
            <w:hideMark/>
          </w:tcPr>
          <w:p w14:paraId="6D277294"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1 OUR VISION</w:t>
            </w:r>
          </w:p>
        </w:tc>
        <w:tc>
          <w:tcPr>
            <w:tcW w:w="438" w:type="pct"/>
            <w:noWrap/>
            <w:hideMark/>
          </w:tcPr>
          <w:p w14:paraId="1D6389CF"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9</w:t>
            </w:r>
          </w:p>
        </w:tc>
        <w:tc>
          <w:tcPr>
            <w:tcW w:w="244" w:type="pct"/>
            <w:noWrap/>
            <w:hideMark/>
          </w:tcPr>
          <w:p w14:paraId="0EAA8F5D"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w:t>
            </w:r>
          </w:p>
        </w:tc>
        <w:tc>
          <w:tcPr>
            <w:tcW w:w="2628" w:type="pct"/>
            <w:hideMark/>
          </w:tcPr>
          <w:p w14:paraId="404A8900"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By 2035:</w:t>
            </w:r>
            <w:r w:rsidRPr="006B5A45">
              <w:rPr>
                <w:rFonts w:ascii="Calibri" w:eastAsia="Times New Roman" w:hAnsi="Calibri" w:cs="Calibri"/>
                <w:color w:val="000000"/>
                <w:lang w:val="en-GB" w:eastAsia="fi-FI"/>
              </w:rPr>
              <w:br/>
              <w:t>- zero-emission large aircraft will become ready for market.</w:t>
            </w:r>
          </w:p>
        </w:tc>
        <w:tc>
          <w:tcPr>
            <w:tcW w:w="572" w:type="pct"/>
            <w:noWrap/>
            <w:hideMark/>
          </w:tcPr>
          <w:p w14:paraId="067690E8"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zero-emission aircraft</w:t>
            </w:r>
          </w:p>
        </w:tc>
      </w:tr>
      <w:tr w:rsidR="006B5A45" w:rsidRPr="006B5A45" w14:paraId="4DCBEA58" w14:textId="77777777" w:rsidTr="007E078E">
        <w:trPr>
          <w:trHeight w:val="981"/>
        </w:trPr>
        <w:tc>
          <w:tcPr>
            <w:tcW w:w="1118" w:type="pct"/>
            <w:hideMark/>
          </w:tcPr>
          <w:p w14:paraId="127C0F06"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lastRenderedPageBreak/>
              <w:t>2 SUSTAINABLE MOBILITY – AN IRREVERSIBLE SHIFT TO ZERO-EMISSION MOBILITY</w:t>
            </w:r>
          </w:p>
        </w:tc>
        <w:tc>
          <w:tcPr>
            <w:tcW w:w="438" w:type="pct"/>
            <w:noWrap/>
            <w:hideMark/>
          </w:tcPr>
          <w:p w14:paraId="3C590816"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10</w:t>
            </w:r>
          </w:p>
        </w:tc>
        <w:tc>
          <w:tcPr>
            <w:tcW w:w="244" w:type="pct"/>
            <w:noWrap/>
            <w:hideMark/>
          </w:tcPr>
          <w:p w14:paraId="3E980298"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3</w:t>
            </w:r>
          </w:p>
        </w:tc>
        <w:tc>
          <w:tcPr>
            <w:tcW w:w="2628" w:type="pct"/>
            <w:hideMark/>
          </w:tcPr>
          <w:p w14:paraId="68A84973"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 xml:space="preserve">The European Green Deal calls for a 90% reduction in greenhouse gas emissions from transport, </w:t>
            </w:r>
            <w:proofErr w:type="gramStart"/>
            <w:r w:rsidRPr="006B5A45">
              <w:rPr>
                <w:rFonts w:ascii="Calibri" w:eastAsia="Times New Roman" w:hAnsi="Calibri" w:cs="Calibri"/>
                <w:color w:val="000000"/>
                <w:lang w:val="en-GB" w:eastAsia="fi-FI"/>
              </w:rPr>
              <w:t>in order for</w:t>
            </w:r>
            <w:proofErr w:type="gramEnd"/>
            <w:r w:rsidRPr="006B5A45">
              <w:rPr>
                <w:rFonts w:ascii="Calibri" w:eastAsia="Times New Roman" w:hAnsi="Calibri" w:cs="Calibri"/>
                <w:color w:val="000000"/>
                <w:lang w:val="en-GB" w:eastAsia="fi-FI"/>
              </w:rPr>
              <w:t xml:space="preserve"> the EU to become a climate-neutral economy by 2050, while also working towards a zero-pollution ambition.</w:t>
            </w:r>
          </w:p>
        </w:tc>
        <w:tc>
          <w:tcPr>
            <w:tcW w:w="572" w:type="pct"/>
            <w:noWrap/>
            <w:hideMark/>
          </w:tcPr>
          <w:p w14:paraId="1B169E84"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targets, climate neutrality</w:t>
            </w:r>
          </w:p>
        </w:tc>
      </w:tr>
      <w:tr w:rsidR="006B5A45" w:rsidRPr="006B5A45" w14:paraId="68B0BE71" w14:textId="77777777" w:rsidTr="007E078E">
        <w:trPr>
          <w:trHeight w:val="1184"/>
        </w:trPr>
        <w:tc>
          <w:tcPr>
            <w:tcW w:w="1118" w:type="pct"/>
            <w:hideMark/>
          </w:tcPr>
          <w:p w14:paraId="22EA1B3F"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0A23FB3C"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10</w:t>
            </w:r>
          </w:p>
        </w:tc>
        <w:tc>
          <w:tcPr>
            <w:tcW w:w="244" w:type="pct"/>
            <w:noWrap/>
            <w:hideMark/>
          </w:tcPr>
          <w:p w14:paraId="2169DAE1"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3</w:t>
            </w:r>
          </w:p>
        </w:tc>
        <w:tc>
          <w:tcPr>
            <w:tcW w:w="2628" w:type="pct"/>
            <w:hideMark/>
          </w:tcPr>
          <w:p w14:paraId="74FEB869"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val="en-GB" w:eastAsia="fi-FI"/>
              </w:rPr>
              <w:t xml:space="preserve">To achieve this systemic change, we need to (1) make all transport modes more sustainable, (2) make sustainable alternatives widely available in a multimodal transport system and (3) put in place the right incentives to drive the transition. </w:t>
            </w:r>
            <w:r w:rsidRPr="006B5A45">
              <w:rPr>
                <w:rFonts w:ascii="Calibri" w:eastAsia="Times New Roman" w:hAnsi="Calibri" w:cs="Calibri"/>
                <w:color w:val="000000"/>
                <w:lang w:eastAsia="fi-FI"/>
              </w:rPr>
              <w:t>These are the three pillars of our future actions</w:t>
            </w:r>
          </w:p>
        </w:tc>
        <w:tc>
          <w:tcPr>
            <w:tcW w:w="572" w:type="pct"/>
            <w:noWrap/>
            <w:hideMark/>
          </w:tcPr>
          <w:p w14:paraId="6AF589B4"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policy measures</w:t>
            </w:r>
          </w:p>
        </w:tc>
      </w:tr>
      <w:tr w:rsidR="006B5A45" w:rsidRPr="006B5A45" w14:paraId="7725E7AF" w14:textId="77777777" w:rsidTr="007E078E">
        <w:trPr>
          <w:trHeight w:val="2380"/>
        </w:trPr>
        <w:tc>
          <w:tcPr>
            <w:tcW w:w="1118" w:type="pct"/>
            <w:hideMark/>
          </w:tcPr>
          <w:p w14:paraId="5F86DF39"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542E764E"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11</w:t>
            </w:r>
          </w:p>
        </w:tc>
        <w:tc>
          <w:tcPr>
            <w:tcW w:w="244" w:type="pct"/>
            <w:noWrap/>
            <w:hideMark/>
          </w:tcPr>
          <w:p w14:paraId="157D7E0F"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3</w:t>
            </w:r>
          </w:p>
        </w:tc>
        <w:tc>
          <w:tcPr>
            <w:tcW w:w="2628" w:type="pct"/>
            <w:hideMark/>
          </w:tcPr>
          <w:p w14:paraId="0A59B243"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This implies that all policy levers must be pulled: (1) measures to significantly reduce the current dependence on fossil fuels (by replacing existing fleets with low- and zero- emission vehicles and boosting the use of renewable and low-carbon fuels); (2) decisive action to shift more activity towards more sustainable transport modes (notably increasing the number of passengers travelling by rail and commuting by public transport and active modes, as well as shifting a substantial amount of freight onto rail, inland waterways, and short sea shipping); and (3) internalisation of external costs (by implementing the ‘polluter pays’ and ‘user pays’ principles, in particular through carbon pricing and infrastructure charging mechanisms).</w:t>
            </w:r>
          </w:p>
        </w:tc>
        <w:tc>
          <w:tcPr>
            <w:tcW w:w="572" w:type="pct"/>
            <w:noWrap/>
            <w:hideMark/>
          </w:tcPr>
          <w:p w14:paraId="2E185948"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policy measures</w:t>
            </w:r>
          </w:p>
        </w:tc>
      </w:tr>
      <w:tr w:rsidR="006B5A45" w:rsidRPr="006B5A45" w14:paraId="3039FCD7" w14:textId="77777777" w:rsidTr="007E078E">
        <w:trPr>
          <w:trHeight w:val="870"/>
        </w:trPr>
        <w:tc>
          <w:tcPr>
            <w:tcW w:w="1118" w:type="pct"/>
            <w:hideMark/>
          </w:tcPr>
          <w:p w14:paraId="04361E30"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2B30C36C"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section 2.1</w:t>
            </w:r>
          </w:p>
        </w:tc>
        <w:tc>
          <w:tcPr>
            <w:tcW w:w="244" w:type="pct"/>
            <w:noWrap/>
            <w:hideMark/>
          </w:tcPr>
          <w:p w14:paraId="08C5D19E"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3</w:t>
            </w:r>
          </w:p>
        </w:tc>
        <w:tc>
          <w:tcPr>
            <w:tcW w:w="2628" w:type="pct"/>
            <w:hideMark/>
          </w:tcPr>
          <w:p w14:paraId="28074389"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We need to make all modes of transport more sustainable</w:t>
            </w:r>
          </w:p>
        </w:tc>
        <w:tc>
          <w:tcPr>
            <w:tcW w:w="572" w:type="pct"/>
            <w:noWrap/>
            <w:hideMark/>
          </w:tcPr>
          <w:p w14:paraId="39B6ADE5"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all modes</w:t>
            </w:r>
          </w:p>
        </w:tc>
      </w:tr>
      <w:tr w:rsidR="006B5A45" w:rsidRPr="006B5A45" w14:paraId="5523DE33" w14:textId="77777777" w:rsidTr="007E078E">
        <w:trPr>
          <w:trHeight w:val="870"/>
        </w:trPr>
        <w:tc>
          <w:tcPr>
            <w:tcW w:w="1118" w:type="pct"/>
            <w:hideMark/>
          </w:tcPr>
          <w:p w14:paraId="3BA584FE"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57EBE9A6"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12</w:t>
            </w:r>
          </w:p>
        </w:tc>
        <w:tc>
          <w:tcPr>
            <w:tcW w:w="244" w:type="pct"/>
            <w:noWrap/>
            <w:hideMark/>
          </w:tcPr>
          <w:p w14:paraId="106F7C4B"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3</w:t>
            </w:r>
          </w:p>
        </w:tc>
        <w:tc>
          <w:tcPr>
            <w:tcW w:w="2628" w:type="pct"/>
            <w:hideMark/>
          </w:tcPr>
          <w:p w14:paraId="20000DCF"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 xml:space="preserve">All transport modes are indispensable for our transport </w:t>
            </w:r>
            <w:proofErr w:type="gramStart"/>
            <w:r w:rsidRPr="006B5A45">
              <w:rPr>
                <w:rFonts w:ascii="Calibri" w:eastAsia="Times New Roman" w:hAnsi="Calibri" w:cs="Calibri"/>
                <w:color w:val="000000"/>
                <w:lang w:val="en-GB" w:eastAsia="fi-FI"/>
              </w:rPr>
              <w:t>system</w:t>
            </w:r>
            <w:proofErr w:type="gramEnd"/>
            <w:r w:rsidRPr="006B5A45">
              <w:rPr>
                <w:rFonts w:ascii="Calibri" w:eastAsia="Times New Roman" w:hAnsi="Calibri" w:cs="Calibri"/>
                <w:color w:val="000000"/>
                <w:lang w:val="en-GB" w:eastAsia="fi-FI"/>
              </w:rPr>
              <w:t xml:space="preserve"> and this is why they must all become more sustainable.</w:t>
            </w:r>
          </w:p>
        </w:tc>
        <w:tc>
          <w:tcPr>
            <w:tcW w:w="572" w:type="pct"/>
            <w:noWrap/>
            <w:hideMark/>
          </w:tcPr>
          <w:p w14:paraId="3D1E7965"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all modes</w:t>
            </w:r>
          </w:p>
        </w:tc>
      </w:tr>
      <w:tr w:rsidR="006B5A45" w:rsidRPr="00322E35" w14:paraId="5DDF4A75" w14:textId="77777777" w:rsidTr="007E078E">
        <w:trPr>
          <w:trHeight w:val="1088"/>
        </w:trPr>
        <w:tc>
          <w:tcPr>
            <w:tcW w:w="1118" w:type="pct"/>
            <w:hideMark/>
          </w:tcPr>
          <w:p w14:paraId="5C102171"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71DFE0DC"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12</w:t>
            </w:r>
          </w:p>
        </w:tc>
        <w:tc>
          <w:tcPr>
            <w:tcW w:w="244" w:type="pct"/>
            <w:noWrap/>
            <w:hideMark/>
          </w:tcPr>
          <w:p w14:paraId="34C25EF2"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3</w:t>
            </w:r>
          </w:p>
        </w:tc>
        <w:tc>
          <w:tcPr>
            <w:tcW w:w="2628" w:type="pct"/>
            <w:hideMark/>
          </w:tcPr>
          <w:p w14:paraId="1FC129AE"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As the first pillar of our approach, we must boost the uptake of low- and zero-emission vehicles as well as renewable and low-carbon fuels for road, waterborne, air and rail transport, without further delay.</w:t>
            </w:r>
          </w:p>
        </w:tc>
        <w:tc>
          <w:tcPr>
            <w:tcW w:w="572" w:type="pct"/>
            <w:noWrap/>
            <w:hideMark/>
          </w:tcPr>
          <w:p w14:paraId="5068C1CA"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zero-emission aircraft, low-carbon fuels</w:t>
            </w:r>
          </w:p>
        </w:tc>
      </w:tr>
      <w:tr w:rsidR="006B5A45" w:rsidRPr="006B5A45" w14:paraId="4691D729" w14:textId="77777777" w:rsidTr="007E078E">
        <w:trPr>
          <w:trHeight w:val="870"/>
        </w:trPr>
        <w:tc>
          <w:tcPr>
            <w:tcW w:w="1118" w:type="pct"/>
            <w:hideMark/>
          </w:tcPr>
          <w:p w14:paraId="5A384FCE"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3D5A81DB"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12</w:t>
            </w:r>
          </w:p>
        </w:tc>
        <w:tc>
          <w:tcPr>
            <w:tcW w:w="244" w:type="pct"/>
            <w:noWrap/>
            <w:hideMark/>
          </w:tcPr>
          <w:p w14:paraId="5434773D"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3</w:t>
            </w:r>
          </w:p>
        </w:tc>
        <w:tc>
          <w:tcPr>
            <w:tcW w:w="2628" w:type="pct"/>
            <w:hideMark/>
          </w:tcPr>
          <w:p w14:paraId="7BCF4057"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Maintaining technology-neutrality across all modes is key, but this should not lead to inaction on eliminating fossil fuel-based solutions.</w:t>
            </w:r>
          </w:p>
        </w:tc>
        <w:tc>
          <w:tcPr>
            <w:tcW w:w="572" w:type="pct"/>
            <w:noWrap/>
            <w:hideMark/>
          </w:tcPr>
          <w:p w14:paraId="58E439FF"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technology neutrality</w:t>
            </w:r>
          </w:p>
        </w:tc>
      </w:tr>
      <w:tr w:rsidR="006B5A45" w:rsidRPr="00322E35" w14:paraId="4805959D" w14:textId="77777777" w:rsidTr="007E078E">
        <w:trPr>
          <w:trHeight w:val="870"/>
        </w:trPr>
        <w:tc>
          <w:tcPr>
            <w:tcW w:w="1118" w:type="pct"/>
            <w:hideMark/>
          </w:tcPr>
          <w:p w14:paraId="63F80C78"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3E0349DC"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flagship 1</w:t>
            </w:r>
          </w:p>
        </w:tc>
        <w:tc>
          <w:tcPr>
            <w:tcW w:w="244" w:type="pct"/>
            <w:noWrap/>
            <w:hideMark/>
          </w:tcPr>
          <w:p w14:paraId="1F3556D7"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3</w:t>
            </w:r>
          </w:p>
        </w:tc>
        <w:tc>
          <w:tcPr>
            <w:tcW w:w="2628" w:type="pct"/>
            <w:hideMark/>
          </w:tcPr>
          <w:p w14:paraId="5C512862"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FLAGSHIP 1 – BOOSTING THE UPTAKE OF ZERO-EMISSION VEHICLES, RENEWABLE &amp; LOW-CARBON FUELS AND RELATED INFRASTRUCTURE</w:t>
            </w:r>
          </w:p>
        </w:tc>
        <w:tc>
          <w:tcPr>
            <w:tcW w:w="572" w:type="pct"/>
            <w:noWrap/>
            <w:hideMark/>
          </w:tcPr>
          <w:p w14:paraId="30870CDF"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zero-emission aircraft, low-carbon fuels</w:t>
            </w:r>
          </w:p>
        </w:tc>
      </w:tr>
      <w:tr w:rsidR="006B5A45" w:rsidRPr="006B5A45" w14:paraId="722A51D4" w14:textId="77777777" w:rsidTr="007E078E">
        <w:trPr>
          <w:trHeight w:val="1518"/>
        </w:trPr>
        <w:tc>
          <w:tcPr>
            <w:tcW w:w="1118" w:type="pct"/>
            <w:hideMark/>
          </w:tcPr>
          <w:p w14:paraId="19497045"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lastRenderedPageBreak/>
              <w:t>2 SUSTAINABLE MOBILITY – AN IRREVERSIBLE SHIFT TO ZERO-EMISSION MOBILITY</w:t>
            </w:r>
          </w:p>
        </w:tc>
        <w:tc>
          <w:tcPr>
            <w:tcW w:w="438" w:type="pct"/>
            <w:noWrap/>
            <w:hideMark/>
          </w:tcPr>
          <w:p w14:paraId="3164BE71"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20</w:t>
            </w:r>
          </w:p>
        </w:tc>
        <w:tc>
          <w:tcPr>
            <w:tcW w:w="244" w:type="pct"/>
            <w:noWrap/>
            <w:hideMark/>
          </w:tcPr>
          <w:p w14:paraId="00EAB172"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5</w:t>
            </w:r>
          </w:p>
        </w:tc>
        <w:tc>
          <w:tcPr>
            <w:tcW w:w="2628" w:type="pct"/>
            <w:hideMark/>
          </w:tcPr>
          <w:p w14:paraId="46A62553"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Air and waterborne transport have greater </w:t>
            </w:r>
            <w:proofErr w:type="spellStart"/>
            <w:r w:rsidRPr="006B5A45">
              <w:rPr>
                <w:rFonts w:ascii="Calibri" w:eastAsia="Times New Roman" w:hAnsi="Calibri" w:cs="Calibri"/>
                <w:color w:val="000000"/>
                <w:lang w:eastAsia="fi-FI"/>
              </w:rPr>
              <w:t>decarbonisation</w:t>
            </w:r>
            <w:proofErr w:type="spellEnd"/>
            <w:r w:rsidRPr="006B5A45">
              <w:rPr>
                <w:rFonts w:ascii="Calibri" w:eastAsia="Times New Roman" w:hAnsi="Calibri" w:cs="Calibri"/>
                <w:color w:val="000000"/>
                <w:lang w:eastAsia="fi-FI"/>
              </w:rPr>
              <w:t xml:space="preserve"> challenges in the next decades, due to current lack of market ready zero-emission technologies, long development and life cycles of aircraft and vessels, the required significant investments in </w:t>
            </w:r>
            <w:proofErr w:type="spellStart"/>
            <w:r w:rsidRPr="006B5A45">
              <w:rPr>
                <w:rFonts w:ascii="Calibri" w:eastAsia="Times New Roman" w:hAnsi="Calibri" w:cs="Calibri"/>
                <w:color w:val="000000"/>
                <w:lang w:eastAsia="fi-FI"/>
              </w:rPr>
              <w:t>refuelling</w:t>
            </w:r>
            <w:proofErr w:type="spellEnd"/>
            <w:r w:rsidRPr="006B5A45">
              <w:rPr>
                <w:rFonts w:ascii="Calibri" w:eastAsia="Times New Roman" w:hAnsi="Calibri" w:cs="Calibri"/>
                <w:color w:val="000000"/>
                <w:lang w:eastAsia="fi-FI"/>
              </w:rPr>
              <w:t xml:space="preserve"> equipment and infrastructure, and international competition in these sectors.</w:t>
            </w:r>
          </w:p>
        </w:tc>
        <w:tc>
          <w:tcPr>
            <w:tcW w:w="572" w:type="pct"/>
            <w:noWrap/>
            <w:hideMark/>
          </w:tcPr>
          <w:p w14:paraId="6EF2C2DC"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challenges, fleets, infrastructure</w:t>
            </w:r>
          </w:p>
        </w:tc>
      </w:tr>
      <w:tr w:rsidR="006B5A45" w:rsidRPr="006B5A45" w14:paraId="449055F4" w14:textId="77777777" w:rsidTr="007E078E">
        <w:trPr>
          <w:trHeight w:val="904"/>
        </w:trPr>
        <w:tc>
          <w:tcPr>
            <w:tcW w:w="1118" w:type="pct"/>
            <w:hideMark/>
          </w:tcPr>
          <w:p w14:paraId="5C921F09"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6CBD8132"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20</w:t>
            </w:r>
          </w:p>
        </w:tc>
        <w:tc>
          <w:tcPr>
            <w:tcW w:w="244" w:type="pct"/>
            <w:noWrap/>
            <w:hideMark/>
          </w:tcPr>
          <w:p w14:paraId="3D124EB4"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5</w:t>
            </w:r>
          </w:p>
        </w:tc>
        <w:tc>
          <w:tcPr>
            <w:tcW w:w="2628" w:type="pct"/>
            <w:hideMark/>
          </w:tcPr>
          <w:p w14:paraId="02622CD5"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EU in</w:t>
            </w:r>
            <w:r w:rsidRPr="006B5A45">
              <w:rPr>
                <w:rFonts w:ascii="Calibri" w:eastAsia="Times New Roman" w:hAnsi="Calibri" w:cs="Calibri"/>
                <w:lang w:eastAsia="fi-FI"/>
              </w:rPr>
              <w:t>ternational emissions from navigation and aviation have grown by more than 50% since 1990. Action in these sectors is urgently needed, including as they recover from the current crisis.</w:t>
            </w:r>
          </w:p>
        </w:tc>
        <w:tc>
          <w:tcPr>
            <w:tcW w:w="572" w:type="pct"/>
            <w:noWrap/>
            <w:hideMark/>
          </w:tcPr>
          <w:p w14:paraId="0B5E87E7"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aviation emissions</w:t>
            </w:r>
          </w:p>
        </w:tc>
      </w:tr>
      <w:tr w:rsidR="006B5A45" w:rsidRPr="006B5A45" w14:paraId="5A36141F" w14:textId="77777777" w:rsidTr="007E078E">
        <w:trPr>
          <w:trHeight w:val="1445"/>
        </w:trPr>
        <w:tc>
          <w:tcPr>
            <w:tcW w:w="1118" w:type="pct"/>
            <w:hideMark/>
          </w:tcPr>
          <w:p w14:paraId="703E427A"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1F8932DD"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20</w:t>
            </w:r>
          </w:p>
        </w:tc>
        <w:tc>
          <w:tcPr>
            <w:tcW w:w="244" w:type="pct"/>
            <w:noWrap/>
            <w:hideMark/>
          </w:tcPr>
          <w:p w14:paraId="6D711B87"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5</w:t>
            </w:r>
          </w:p>
        </w:tc>
        <w:tc>
          <w:tcPr>
            <w:tcW w:w="2628" w:type="pct"/>
            <w:hideMark/>
          </w:tcPr>
          <w:p w14:paraId="273A02AE"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These modes must have priority access to additional renewable and low-carbon liquid and gaseous fuels, since there is a lack of suitable alternative powertrains in the short term. The </w:t>
            </w:r>
            <w:proofErr w:type="spellStart"/>
            <w:r w:rsidRPr="006B5A45">
              <w:rPr>
                <w:rFonts w:ascii="Calibri" w:eastAsia="Times New Roman" w:hAnsi="Calibri" w:cs="Calibri"/>
                <w:color w:val="000000"/>
                <w:lang w:eastAsia="fi-FI"/>
              </w:rPr>
              <w:t>ReFuelEU</w:t>
            </w:r>
            <w:proofErr w:type="spellEnd"/>
            <w:r w:rsidRPr="006B5A45">
              <w:rPr>
                <w:rFonts w:ascii="Calibri" w:eastAsia="Times New Roman" w:hAnsi="Calibri" w:cs="Calibri"/>
                <w:color w:val="000000"/>
                <w:lang w:eastAsia="fi-FI"/>
              </w:rPr>
              <w:t xml:space="preserve"> Aviation and </w:t>
            </w:r>
            <w:proofErr w:type="spellStart"/>
            <w:r w:rsidRPr="006B5A45">
              <w:rPr>
                <w:rFonts w:ascii="Calibri" w:eastAsia="Times New Roman" w:hAnsi="Calibri" w:cs="Calibri"/>
                <w:color w:val="000000"/>
                <w:lang w:eastAsia="fi-FI"/>
              </w:rPr>
              <w:t>FuelEU</w:t>
            </w:r>
            <w:proofErr w:type="spellEnd"/>
            <w:r w:rsidRPr="006B5A45">
              <w:rPr>
                <w:rFonts w:ascii="Calibri" w:eastAsia="Times New Roman" w:hAnsi="Calibri" w:cs="Calibri"/>
                <w:color w:val="000000"/>
                <w:lang w:eastAsia="fi-FI"/>
              </w:rPr>
              <w:t xml:space="preserve"> Maritime initiatives will boost the production and uptake of sustainable aviation and maritime fuels and address this issue.</w:t>
            </w:r>
          </w:p>
        </w:tc>
        <w:tc>
          <w:tcPr>
            <w:tcW w:w="572" w:type="pct"/>
            <w:noWrap/>
            <w:hideMark/>
          </w:tcPr>
          <w:p w14:paraId="778591C4"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low-carbon fuels</w:t>
            </w:r>
          </w:p>
        </w:tc>
      </w:tr>
      <w:tr w:rsidR="006B5A45" w:rsidRPr="006B5A45" w14:paraId="4D5C9420" w14:textId="77777777" w:rsidTr="007E078E">
        <w:trPr>
          <w:trHeight w:val="870"/>
        </w:trPr>
        <w:tc>
          <w:tcPr>
            <w:tcW w:w="1118" w:type="pct"/>
            <w:hideMark/>
          </w:tcPr>
          <w:p w14:paraId="67AED648"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395F6D03"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21</w:t>
            </w:r>
          </w:p>
        </w:tc>
        <w:tc>
          <w:tcPr>
            <w:tcW w:w="244" w:type="pct"/>
            <w:noWrap/>
            <w:hideMark/>
          </w:tcPr>
          <w:p w14:paraId="1CE5D24D"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5</w:t>
            </w:r>
          </w:p>
        </w:tc>
        <w:tc>
          <w:tcPr>
            <w:tcW w:w="2628" w:type="pct"/>
            <w:hideMark/>
          </w:tcPr>
          <w:p w14:paraId="37C18F04" w14:textId="77777777" w:rsidR="006B5A45" w:rsidRPr="006B5A45" w:rsidRDefault="006B5A45" w:rsidP="006B5A45">
            <w:pPr>
              <w:rPr>
                <w:rFonts w:ascii="Calibri" w:eastAsia="Times New Roman" w:hAnsi="Calibri" w:cs="Calibri"/>
                <w:color w:val="000000"/>
                <w:lang w:eastAsia="fi-FI"/>
              </w:rPr>
            </w:pPr>
            <w:proofErr w:type="gramStart"/>
            <w:r w:rsidRPr="006B5A45">
              <w:rPr>
                <w:rFonts w:ascii="Calibri" w:eastAsia="Times New Roman" w:hAnsi="Calibri" w:cs="Calibri"/>
                <w:color w:val="000000"/>
                <w:lang w:eastAsia="fi-FI"/>
              </w:rPr>
              <w:t>In order to</w:t>
            </w:r>
            <w:proofErr w:type="gramEnd"/>
            <w:r w:rsidRPr="006B5A45">
              <w:rPr>
                <w:rFonts w:ascii="Calibri" w:eastAsia="Times New Roman" w:hAnsi="Calibri" w:cs="Calibri"/>
                <w:color w:val="000000"/>
                <w:lang w:eastAsia="fi-FI"/>
              </w:rPr>
              <w:t xml:space="preserve"> improve the energy efficiency and reduce emissions of aircraft and vessels, ambitious standards for their design and operation must be promoted.</w:t>
            </w:r>
          </w:p>
        </w:tc>
        <w:tc>
          <w:tcPr>
            <w:tcW w:w="572" w:type="pct"/>
            <w:noWrap/>
            <w:hideMark/>
          </w:tcPr>
          <w:p w14:paraId="17986B64"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efficiency</w:t>
            </w:r>
          </w:p>
        </w:tc>
      </w:tr>
      <w:tr w:rsidR="006B5A45" w:rsidRPr="006B5A45" w14:paraId="69B16525" w14:textId="77777777" w:rsidTr="007E078E">
        <w:trPr>
          <w:trHeight w:val="1214"/>
        </w:trPr>
        <w:tc>
          <w:tcPr>
            <w:tcW w:w="1118" w:type="pct"/>
            <w:hideMark/>
          </w:tcPr>
          <w:p w14:paraId="73AB5D53"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102820DB"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21</w:t>
            </w:r>
          </w:p>
        </w:tc>
        <w:tc>
          <w:tcPr>
            <w:tcW w:w="244" w:type="pct"/>
            <w:noWrap/>
            <w:hideMark/>
          </w:tcPr>
          <w:p w14:paraId="6E813404"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5</w:t>
            </w:r>
          </w:p>
        </w:tc>
        <w:tc>
          <w:tcPr>
            <w:tcW w:w="2628" w:type="pct"/>
            <w:hideMark/>
          </w:tcPr>
          <w:p w14:paraId="6DB58213"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The EU must continue working closely with all international </w:t>
            </w:r>
            <w:proofErr w:type="spellStart"/>
            <w:r w:rsidRPr="006B5A45">
              <w:rPr>
                <w:rFonts w:ascii="Calibri" w:eastAsia="Times New Roman" w:hAnsi="Calibri" w:cs="Calibri"/>
                <w:color w:val="000000"/>
                <w:lang w:eastAsia="fi-FI"/>
              </w:rPr>
              <w:t>organisations</w:t>
            </w:r>
            <w:proofErr w:type="spellEnd"/>
            <w:r w:rsidRPr="006B5A45">
              <w:rPr>
                <w:rFonts w:ascii="Calibri" w:eastAsia="Times New Roman" w:hAnsi="Calibri" w:cs="Calibri"/>
                <w:color w:val="000000"/>
                <w:lang w:eastAsia="fi-FI"/>
              </w:rPr>
              <w:t xml:space="preserve">, such as the International Civil Aviation </w:t>
            </w:r>
            <w:proofErr w:type="spellStart"/>
            <w:r w:rsidRPr="006B5A45">
              <w:rPr>
                <w:rFonts w:ascii="Calibri" w:eastAsia="Times New Roman" w:hAnsi="Calibri" w:cs="Calibri"/>
                <w:color w:val="000000"/>
                <w:lang w:eastAsia="fi-FI"/>
              </w:rPr>
              <w:t>Organisation</w:t>
            </w:r>
            <w:proofErr w:type="spellEnd"/>
            <w:r w:rsidRPr="006B5A45">
              <w:rPr>
                <w:rFonts w:ascii="Calibri" w:eastAsia="Times New Roman" w:hAnsi="Calibri" w:cs="Calibri"/>
                <w:color w:val="000000"/>
                <w:lang w:eastAsia="fi-FI"/>
              </w:rPr>
              <w:t xml:space="preserve"> (ICAO) and the International Maritime </w:t>
            </w:r>
            <w:proofErr w:type="spellStart"/>
            <w:r w:rsidRPr="006B5A45">
              <w:rPr>
                <w:rFonts w:ascii="Calibri" w:eastAsia="Times New Roman" w:hAnsi="Calibri" w:cs="Calibri"/>
                <w:color w:val="000000"/>
                <w:lang w:eastAsia="fi-FI"/>
              </w:rPr>
              <w:t>Organisation</w:t>
            </w:r>
            <w:proofErr w:type="spellEnd"/>
            <w:r w:rsidRPr="006B5A45">
              <w:rPr>
                <w:rFonts w:ascii="Calibri" w:eastAsia="Times New Roman" w:hAnsi="Calibri" w:cs="Calibri"/>
                <w:color w:val="000000"/>
                <w:lang w:eastAsia="fi-FI"/>
              </w:rPr>
              <w:t xml:space="preserve"> (IMO), on concrete measures aimed at reaching science-based global emission reduction goals consistent with the Paris Agreement.</w:t>
            </w:r>
          </w:p>
        </w:tc>
        <w:tc>
          <w:tcPr>
            <w:tcW w:w="572" w:type="pct"/>
            <w:noWrap/>
            <w:hideMark/>
          </w:tcPr>
          <w:p w14:paraId="674C0038"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international </w:t>
            </w:r>
            <w:proofErr w:type="spellStart"/>
            <w:r w:rsidRPr="006B5A45">
              <w:rPr>
                <w:rFonts w:ascii="Calibri" w:eastAsia="Times New Roman" w:hAnsi="Calibri" w:cs="Calibri"/>
                <w:color w:val="000000"/>
                <w:lang w:eastAsia="fi-FI"/>
              </w:rPr>
              <w:t>organisations</w:t>
            </w:r>
            <w:proofErr w:type="spellEnd"/>
            <w:r w:rsidRPr="006B5A45">
              <w:rPr>
                <w:rFonts w:ascii="Calibri" w:eastAsia="Times New Roman" w:hAnsi="Calibri" w:cs="Calibri"/>
                <w:color w:val="000000"/>
                <w:lang w:eastAsia="fi-FI"/>
              </w:rPr>
              <w:t>, Paris Agreement</w:t>
            </w:r>
          </w:p>
        </w:tc>
      </w:tr>
      <w:tr w:rsidR="006B5A45" w:rsidRPr="006B5A45" w14:paraId="45399B4E" w14:textId="77777777" w:rsidTr="007E078E">
        <w:trPr>
          <w:trHeight w:val="1541"/>
        </w:trPr>
        <w:tc>
          <w:tcPr>
            <w:tcW w:w="1118" w:type="pct"/>
            <w:hideMark/>
          </w:tcPr>
          <w:p w14:paraId="55821F7F"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7BFF29EB"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21</w:t>
            </w:r>
          </w:p>
        </w:tc>
        <w:tc>
          <w:tcPr>
            <w:tcW w:w="244" w:type="pct"/>
            <w:noWrap/>
            <w:hideMark/>
          </w:tcPr>
          <w:p w14:paraId="06F813F6"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5</w:t>
            </w:r>
          </w:p>
        </w:tc>
        <w:tc>
          <w:tcPr>
            <w:tcW w:w="2628" w:type="pct"/>
            <w:hideMark/>
          </w:tcPr>
          <w:p w14:paraId="762273F2"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 Significant efforts are also needed to develop disruptive technologies to bring zero-emission vessels and aircraft to the market. The Union should create the enabling environment to achieve this, including through adequate carbon pricing policies and research and innovation (R&amp;I) </w:t>
            </w:r>
            <w:proofErr w:type="gramStart"/>
            <w:r w:rsidRPr="006B5A45">
              <w:rPr>
                <w:rFonts w:ascii="Calibri" w:eastAsia="Times New Roman" w:hAnsi="Calibri" w:cs="Calibri"/>
                <w:color w:val="000000"/>
                <w:lang w:eastAsia="fi-FI"/>
              </w:rPr>
              <w:t>in particular through</w:t>
            </w:r>
            <w:proofErr w:type="gramEnd"/>
            <w:r w:rsidRPr="006B5A45">
              <w:rPr>
                <w:rFonts w:ascii="Calibri" w:eastAsia="Times New Roman" w:hAnsi="Calibri" w:cs="Calibri"/>
                <w:color w:val="000000"/>
                <w:lang w:eastAsia="fi-FI"/>
              </w:rPr>
              <w:t xml:space="preserve"> the partnerships that could be put in place under Horizon Europe (such ‘Zero Emission Waterborne Transport’, ‘Clean Aviation’ and ‘Clean Hydrogen’).</w:t>
            </w:r>
          </w:p>
        </w:tc>
        <w:tc>
          <w:tcPr>
            <w:tcW w:w="572" w:type="pct"/>
            <w:noWrap/>
            <w:hideMark/>
          </w:tcPr>
          <w:p w14:paraId="22C6F1DE"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zero-emission aircraft, R&amp;I</w:t>
            </w:r>
          </w:p>
        </w:tc>
      </w:tr>
      <w:tr w:rsidR="006B5A45" w:rsidRPr="006B5A45" w14:paraId="24393618" w14:textId="77777777" w:rsidTr="007E078E">
        <w:trPr>
          <w:trHeight w:val="1450"/>
        </w:trPr>
        <w:tc>
          <w:tcPr>
            <w:tcW w:w="1118" w:type="pct"/>
            <w:hideMark/>
          </w:tcPr>
          <w:p w14:paraId="4E07C804"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1B9122A3"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21</w:t>
            </w:r>
          </w:p>
        </w:tc>
        <w:tc>
          <w:tcPr>
            <w:tcW w:w="244" w:type="pct"/>
            <w:noWrap/>
            <w:hideMark/>
          </w:tcPr>
          <w:p w14:paraId="29EA913F"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5</w:t>
            </w:r>
          </w:p>
        </w:tc>
        <w:tc>
          <w:tcPr>
            <w:tcW w:w="2628" w:type="pct"/>
            <w:hideMark/>
          </w:tcPr>
          <w:p w14:paraId="26D2E30C"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 In addition, more efficient traffic management, such as through the Single European Sky, can bring about substantial environmental gains. These activities are essential items in the ‘basket of measures’ needed to </w:t>
            </w:r>
            <w:proofErr w:type="spellStart"/>
            <w:r w:rsidRPr="006B5A45">
              <w:rPr>
                <w:rFonts w:ascii="Calibri" w:eastAsia="Times New Roman" w:hAnsi="Calibri" w:cs="Calibri"/>
                <w:color w:val="000000"/>
                <w:lang w:eastAsia="fi-FI"/>
              </w:rPr>
              <w:t>decarbonise</w:t>
            </w:r>
            <w:proofErr w:type="spellEnd"/>
            <w:r w:rsidRPr="006B5A45">
              <w:rPr>
                <w:rFonts w:ascii="Calibri" w:eastAsia="Times New Roman" w:hAnsi="Calibri" w:cs="Calibri"/>
                <w:color w:val="000000"/>
                <w:lang w:eastAsia="fi-FI"/>
              </w:rPr>
              <w:t xml:space="preserve"> aviation and maritime transport, where global actions remain critical.</w:t>
            </w:r>
          </w:p>
        </w:tc>
        <w:tc>
          <w:tcPr>
            <w:tcW w:w="572" w:type="pct"/>
            <w:noWrap/>
            <w:hideMark/>
          </w:tcPr>
          <w:p w14:paraId="035D0FF1"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ATM, policy measures</w:t>
            </w:r>
          </w:p>
        </w:tc>
      </w:tr>
      <w:tr w:rsidR="006B5A45" w:rsidRPr="006B5A45" w14:paraId="3B3FC033" w14:textId="77777777" w:rsidTr="007E078E">
        <w:trPr>
          <w:trHeight w:val="1450"/>
        </w:trPr>
        <w:tc>
          <w:tcPr>
            <w:tcW w:w="1118" w:type="pct"/>
            <w:hideMark/>
          </w:tcPr>
          <w:p w14:paraId="41DCEA45"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lastRenderedPageBreak/>
              <w:t>2 SUSTAINABLE MOBILITY – AN IRREVERSIBLE SHIFT TO ZERO-EMISSION MOBILITY</w:t>
            </w:r>
          </w:p>
        </w:tc>
        <w:tc>
          <w:tcPr>
            <w:tcW w:w="438" w:type="pct"/>
            <w:noWrap/>
            <w:hideMark/>
          </w:tcPr>
          <w:p w14:paraId="531431B5"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22</w:t>
            </w:r>
          </w:p>
        </w:tc>
        <w:tc>
          <w:tcPr>
            <w:tcW w:w="244" w:type="pct"/>
            <w:noWrap/>
            <w:hideMark/>
          </w:tcPr>
          <w:p w14:paraId="48C3C206"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5</w:t>
            </w:r>
          </w:p>
        </w:tc>
        <w:tc>
          <w:tcPr>
            <w:tcW w:w="2628" w:type="pct"/>
            <w:hideMark/>
          </w:tcPr>
          <w:p w14:paraId="18F72EC8"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The increased deployment and use of renewable and low-carbon fuels must go </w:t>
            </w:r>
            <w:proofErr w:type="gramStart"/>
            <w:r w:rsidRPr="006B5A45">
              <w:rPr>
                <w:rFonts w:ascii="Calibri" w:eastAsia="Times New Roman" w:hAnsi="Calibri" w:cs="Calibri"/>
                <w:color w:val="000000"/>
                <w:lang w:eastAsia="fi-FI"/>
              </w:rPr>
              <w:t>hand-in-hand</w:t>
            </w:r>
            <w:proofErr w:type="gramEnd"/>
            <w:r w:rsidRPr="006B5A45">
              <w:rPr>
                <w:rFonts w:ascii="Calibri" w:eastAsia="Times New Roman" w:hAnsi="Calibri" w:cs="Calibri"/>
                <w:color w:val="000000"/>
                <w:lang w:eastAsia="fi-FI"/>
              </w:rPr>
              <w:t xml:space="preserve"> with the creation of a comprehensive network of recharging and </w:t>
            </w:r>
            <w:proofErr w:type="spellStart"/>
            <w:r w:rsidRPr="006B5A45">
              <w:rPr>
                <w:rFonts w:ascii="Calibri" w:eastAsia="Times New Roman" w:hAnsi="Calibri" w:cs="Calibri"/>
                <w:color w:val="000000"/>
                <w:lang w:eastAsia="fi-FI"/>
              </w:rPr>
              <w:t>refuelling</w:t>
            </w:r>
            <w:proofErr w:type="spellEnd"/>
            <w:r w:rsidRPr="006B5A45">
              <w:rPr>
                <w:rFonts w:ascii="Calibri" w:eastAsia="Times New Roman" w:hAnsi="Calibri" w:cs="Calibri"/>
                <w:color w:val="000000"/>
                <w:lang w:eastAsia="fi-FI"/>
              </w:rPr>
              <w:t xml:space="preserve"> infrastructure to fully enable the widespread uptake of low- and zero-emission vehicles in all transport modes.</w:t>
            </w:r>
          </w:p>
        </w:tc>
        <w:tc>
          <w:tcPr>
            <w:tcW w:w="572" w:type="pct"/>
            <w:noWrap/>
            <w:hideMark/>
          </w:tcPr>
          <w:p w14:paraId="5DCA76E3"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low-carbon fuels, infrastructure</w:t>
            </w:r>
          </w:p>
        </w:tc>
      </w:tr>
      <w:tr w:rsidR="006B5A45" w:rsidRPr="006B5A45" w14:paraId="3AC8D40C" w14:textId="77777777" w:rsidTr="007E078E">
        <w:trPr>
          <w:trHeight w:val="870"/>
        </w:trPr>
        <w:tc>
          <w:tcPr>
            <w:tcW w:w="1118" w:type="pct"/>
            <w:hideMark/>
          </w:tcPr>
          <w:p w14:paraId="17BD4749"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53647E6E"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flagship 2</w:t>
            </w:r>
          </w:p>
        </w:tc>
        <w:tc>
          <w:tcPr>
            <w:tcW w:w="244" w:type="pct"/>
            <w:noWrap/>
            <w:hideMark/>
          </w:tcPr>
          <w:p w14:paraId="515323AB"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6</w:t>
            </w:r>
          </w:p>
        </w:tc>
        <w:tc>
          <w:tcPr>
            <w:tcW w:w="2628" w:type="pct"/>
            <w:hideMark/>
          </w:tcPr>
          <w:p w14:paraId="7D8C2B90"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FLAGSHIP 2 – CREATING ZERO-EMISSION AIRPORTS AND PORTS</w:t>
            </w:r>
          </w:p>
        </w:tc>
        <w:tc>
          <w:tcPr>
            <w:tcW w:w="572" w:type="pct"/>
            <w:noWrap/>
            <w:hideMark/>
          </w:tcPr>
          <w:p w14:paraId="0570285B"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zero-emission airports</w:t>
            </w:r>
          </w:p>
        </w:tc>
      </w:tr>
      <w:tr w:rsidR="006B5A45" w:rsidRPr="006B5A45" w14:paraId="1816DDE0" w14:textId="77777777" w:rsidTr="007E078E">
        <w:trPr>
          <w:trHeight w:val="870"/>
        </w:trPr>
        <w:tc>
          <w:tcPr>
            <w:tcW w:w="1118" w:type="pct"/>
            <w:hideMark/>
          </w:tcPr>
          <w:p w14:paraId="457B918C"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308B82C0"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24</w:t>
            </w:r>
          </w:p>
        </w:tc>
        <w:tc>
          <w:tcPr>
            <w:tcW w:w="244" w:type="pct"/>
            <w:noWrap/>
            <w:hideMark/>
          </w:tcPr>
          <w:p w14:paraId="7323BFE3"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6</w:t>
            </w:r>
          </w:p>
        </w:tc>
        <w:tc>
          <w:tcPr>
            <w:tcW w:w="2628" w:type="pct"/>
            <w:hideMark/>
          </w:tcPr>
          <w:p w14:paraId="3D8553E3"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Ports and airports are key for our international connectivity, for the European economy, and for their regions. </w:t>
            </w:r>
          </w:p>
        </w:tc>
        <w:tc>
          <w:tcPr>
            <w:tcW w:w="572" w:type="pct"/>
            <w:noWrap/>
            <w:hideMark/>
          </w:tcPr>
          <w:p w14:paraId="3EEFFF03"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airports</w:t>
            </w:r>
          </w:p>
        </w:tc>
      </w:tr>
      <w:tr w:rsidR="006B5A45" w:rsidRPr="006B5A45" w14:paraId="191EF144" w14:textId="77777777" w:rsidTr="007E078E">
        <w:trPr>
          <w:trHeight w:val="1168"/>
        </w:trPr>
        <w:tc>
          <w:tcPr>
            <w:tcW w:w="1118" w:type="pct"/>
            <w:hideMark/>
          </w:tcPr>
          <w:p w14:paraId="404A8E4D"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0741F518"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24</w:t>
            </w:r>
          </w:p>
        </w:tc>
        <w:tc>
          <w:tcPr>
            <w:tcW w:w="244" w:type="pct"/>
            <w:noWrap/>
            <w:hideMark/>
          </w:tcPr>
          <w:p w14:paraId="08645A63"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6</w:t>
            </w:r>
          </w:p>
        </w:tc>
        <w:tc>
          <w:tcPr>
            <w:tcW w:w="2628" w:type="pct"/>
            <w:hideMark/>
          </w:tcPr>
          <w:p w14:paraId="0CEC3214"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In their transition to zero-emission nodes, the best practices followed by the most sustainable airports and ports must become the new normal and enable more sustainable forms of connectivity. Ports and airports should become multimodal mobility and transport hubs, linking all the relevant modes.</w:t>
            </w:r>
          </w:p>
        </w:tc>
        <w:tc>
          <w:tcPr>
            <w:tcW w:w="572" w:type="pct"/>
            <w:noWrap/>
            <w:hideMark/>
          </w:tcPr>
          <w:p w14:paraId="5C49DFE3"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airports, multimodality</w:t>
            </w:r>
          </w:p>
        </w:tc>
      </w:tr>
      <w:tr w:rsidR="006B5A45" w:rsidRPr="00322E35" w14:paraId="54B049C3" w14:textId="77777777" w:rsidTr="007E078E">
        <w:trPr>
          <w:trHeight w:val="1771"/>
        </w:trPr>
        <w:tc>
          <w:tcPr>
            <w:tcW w:w="1118" w:type="pct"/>
            <w:hideMark/>
          </w:tcPr>
          <w:p w14:paraId="531A8376"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3B3223D4"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25</w:t>
            </w:r>
          </w:p>
        </w:tc>
        <w:tc>
          <w:tcPr>
            <w:tcW w:w="244" w:type="pct"/>
            <w:noWrap/>
            <w:hideMark/>
          </w:tcPr>
          <w:p w14:paraId="0D954D51"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6</w:t>
            </w:r>
          </w:p>
        </w:tc>
        <w:tc>
          <w:tcPr>
            <w:tcW w:w="2628" w:type="pct"/>
            <w:hideMark/>
          </w:tcPr>
          <w:p w14:paraId="33C3D2FA"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The Commission will propose measures to make our airports and ports clean, by </w:t>
            </w:r>
            <w:proofErr w:type="spellStart"/>
            <w:r w:rsidRPr="006B5A45">
              <w:rPr>
                <w:rFonts w:ascii="Calibri" w:eastAsia="Times New Roman" w:hAnsi="Calibri" w:cs="Calibri"/>
                <w:color w:val="000000"/>
                <w:lang w:eastAsia="fi-FI"/>
              </w:rPr>
              <w:t>incentivising</w:t>
            </w:r>
            <w:proofErr w:type="spellEnd"/>
            <w:r w:rsidRPr="006B5A45">
              <w:rPr>
                <w:rFonts w:ascii="Calibri" w:eastAsia="Times New Roman" w:hAnsi="Calibri" w:cs="Calibri"/>
                <w:color w:val="000000"/>
                <w:lang w:eastAsia="fi-FI"/>
              </w:rPr>
              <w:t xml:space="preserve"> the deployment of renewable and low-carbon fuels and feeding stationed vessels and aircraft with renewable power instead of fossil energy, </w:t>
            </w:r>
            <w:proofErr w:type="spellStart"/>
            <w:r w:rsidRPr="006B5A45">
              <w:rPr>
                <w:rFonts w:ascii="Calibri" w:eastAsia="Times New Roman" w:hAnsi="Calibri" w:cs="Calibri"/>
                <w:color w:val="000000"/>
                <w:lang w:eastAsia="fi-FI"/>
              </w:rPr>
              <w:t>incentivising</w:t>
            </w:r>
            <w:proofErr w:type="spellEnd"/>
            <w:r w:rsidRPr="006B5A45">
              <w:rPr>
                <w:rFonts w:ascii="Calibri" w:eastAsia="Times New Roman" w:hAnsi="Calibri" w:cs="Calibri"/>
                <w:color w:val="000000"/>
                <w:lang w:eastAsia="fi-FI"/>
              </w:rPr>
              <w:t xml:space="preserve"> the development and use of new, cleaner and quieter aircraft and vessels, revising airport charges, greening ground movements at airports as well as port services and operations, </w:t>
            </w:r>
            <w:proofErr w:type="spellStart"/>
            <w:r w:rsidRPr="006B5A45">
              <w:rPr>
                <w:rFonts w:ascii="Calibri" w:eastAsia="Times New Roman" w:hAnsi="Calibri" w:cs="Calibri"/>
                <w:color w:val="000000"/>
                <w:lang w:eastAsia="fi-FI"/>
              </w:rPr>
              <w:t>optimisation</w:t>
            </w:r>
            <w:proofErr w:type="spellEnd"/>
            <w:r w:rsidRPr="006B5A45">
              <w:rPr>
                <w:rFonts w:ascii="Calibri" w:eastAsia="Times New Roman" w:hAnsi="Calibri" w:cs="Calibri"/>
                <w:color w:val="000000"/>
                <w:lang w:eastAsia="fi-FI"/>
              </w:rPr>
              <w:t xml:space="preserve"> of port calls, and through a wider use of smart traffic management.</w:t>
            </w:r>
          </w:p>
        </w:tc>
        <w:tc>
          <w:tcPr>
            <w:tcW w:w="572" w:type="pct"/>
            <w:noWrap/>
            <w:hideMark/>
          </w:tcPr>
          <w:p w14:paraId="7A817D49"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airports, low-carbon fuels, ATM</w:t>
            </w:r>
          </w:p>
        </w:tc>
      </w:tr>
      <w:tr w:rsidR="006B5A45" w:rsidRPr="00322E35" w14:paraId="6B97CBBA" w14:textId="77777777" w:rsidTr="007E078E">
        <w:trPr>
          <w:trHeight w:val="929"/>
        </w:trPr>
        <w:tc>
          <w:tcPr>
            <w:tcW w:w="1118" w:type="pct"/>
            <w:hideMark/>
          </w:tcPr>
          <w:p w14:paraId="0A0A9B94"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53FF3928"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25</w:t>
            </w:r>
          </w:p>
        </w:tc>
        <w:tc>
          <w:tcPr>
            <w:tcW w:w="244" w:type="pct"/>
            <w:noWrap/>
            <w:hideMark/>
          </w:tcPr>
          <w:p w14:paraId="01409CCF"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6</w:t>
            </w:r>
          </w:p>
        </w:tc>
        <w:tc>
          <w:tcPr>
            <w:tcW w:w="2628" w:type="pct"/>
            <w:hideMark/>
          </w:tcPr>
          <w:p w14:paraId="26CC6C8B"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The Commission will also follow-up on the measures suggested in the European Aviation Safety Agency (EASA) report in relation to the updated analysis of the non-CO2 climate impacts of aviation.</w:t>
            </w:r>
          </w:p>
        </w:tc>
        <w:tc>
          <w:tcPr>
            <w:tcW w:w="572" w:type="pct"/>
            <w:noWrap/>
            <w:hideMark/>
          </w:tcPr>
          <w:p w14:paraId="0B6CE4F2" w14:textId="77777777" w:rsidR="006B5A45" w:rsidRPr="006B5A45" w:rsidRDefault="006B5A45" w:rsidP="006B5A45">
            <w:pPr>
              <w:rPr>
                <w:rFonts w:ascii="Calibri" w:eastAsia="Times New Roman" w:hAnsi="Calibri" w:cs="Calibri"/>
                <w:color w:val="000000"/>
                <w:lang w:val="fr-FR" w:eastAsia="fi-FI"/>
              </w:rPr>
            </w:pPr>
            <w:proofErr w:type="gramStart"/>
            <w:r w:rsidRPr="006B5A45">
              <w:rPr>
                <w:rFonts w:ascii="Calibri" w:eastAsia="Times New Roman" w:hAnsi="Calibri" w:cs="Calibri"/>
                <w:color w:val="000000"/>
                <w:lang w:val="fr-FR" w:eastAsia="fi-FI"/>
              </w:rPr>
              <w:t>aviation</w:t>
            </w:r>
            <w:proofErr w:type="gramEnd"/>
            <w:r w:rsidRPr="006B5A45">
              <w:rPr>
                <w:rFonts w:ascii="Calibri" w:eastAsia="Times New Roman" w:hAnsi="Calibri" w:cs="Calibri"/>
                <w:color w:val="000000"/>
                <w:lang w:val="fr-FR" w:eastAsia="fi-FI"/>
              </w:rPr>
              <w:t xml:space="preserve"> </w:t>
            </w:r>
            <w:proofErr w:type="spellStart"/>
            <w:r w:rsidRPr="006B5A45">
              <w:rPr>
                <w:rFonts w:ascii="Calibri" w:eastAsia="Times New Roman" w:hAnsi="Calibri" w:cs="Calibri"/>
                <w:color w:val="000000"/>
                <w:lang w:val="fr-FR" w:eastAsia="fi-FI"/>
              </w:rPr>
              <w:t>emissions</w:t>
            </w:r>
            <w:proofErr w:type="spellEnd"/>
            <w:r w:rsidRPr="006B5A45">
              <w:rPr>
                <w:rFonts w:ascii="Calibri" w:eastAsia="Times New Roman" w:hAnsi="Calibri" w:cs="Calibri"/>
                <w:color w:val="000000"/>
                <w:lang w:val="fr-FR" w:eastAsia="fi-FI"/>
              </w:rPr>
              <w:t xml:space="preserve">, non-CO2 </w:t>
            </w:r>
            <w:proofErr w:type="spellStart"/>
            <w:r w:rsidRPr="006B5A45">
              <w:rPr>
                <w:rFonts w:ascii="Calibri" w:eastAsia="Times New Roman" w:hAnsi="Calibri" w:cs="Calibri"/>
                <w:color w:val="000000"/>
                <w:lang w:val="fr-FR" w:eastAsia="fi-FI"/>
              </w:rPr>
              <w:t>emissions</w:t>
            </w:r>
            <w:proofErr w:type="spellEnd"/>
          </w:p>
        </w:tc>
      </w:tr>
      <w:tr w:rsidR="006B5A45" w:rsidRPr="006B5A45" w14:paraId="11A9C8C3" w14:textId="77777777" w:rsidTr="007E078E">
        <w:trPr>
          <w:trHeight w:val="984"/>
        </w:trPr>
        <w:tc>
          <w:tcPr>
            <w:tcW w:w="1118" w:type="pct"/>
            <w:hideMark/>
          </w:tcPr>
          <w:p w14:paraId="396F7C6B"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0504EF04"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25</w:t>
            </w:r>
          </w:p>
        </w:tc>
        <w:tc>
          <w:tcPr>
            <w:tcW w:w="244" w:type="pct"/>
            <w:noWrap/>
            <w:hideMark/>
          </w:tcPr>
          <w:p w14:paraId="29520D46"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7</w:t>
            </w:r>
          </w:p>
        </w:tc>
        <w:tc>
          <w:tcPr>
            <w:tcW w:w="2628" w:type="pct"/>
            <w:hideMark/>
          </w:tcPr>
          <w:p w14:paraId="4BD3FF56"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Public and private investment in local renewable energy production, in more sustainable multimodal access and in fleet renewals in aviation and waterborne transport must increase.</w:t>
            </w:r>
          </w:p>
        </w:tc>
        <w:tc>
          <w:tcPr>
            <w:tcW w:w="572" w:type="pct"/>
            <w:noWrap/>
            <w:hideMark/>
          </w:tcPr>
          <w:p w14:paraId="1EF755F8"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low-carbon fuels, investment</w:t>
            </w:r>
          </w:p>
        </w:tc>
      </w:tr>
      <w:tr w:rsidR="006B5A45" w:rsidRPr="006B5A45" w14:paraId="0D203962" w14:textId="77777777" w:rsidTr="007E078E">
        <w:trPr>
          <w:trHeight w:val="870"/>
        </w:trPr>
        <w:tc>
          <w:tcPr>
            <w:tcW w:w="1118" w:type="pct"/>
            <w:hideMark/>
          </w:tcPr>
          <w:p w14:paraId="3987A720"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242338A4"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milestone 3</w:t>
            </w:r>
          </w:p>
        </w:tc>
        <w:tc>
          <w:tcPr>
            <w:tcW w:w="244" w:type="pct"/>
            <w:noWrap/>
            <w:hideMark/>
          </w:tcPr>
          <w:p w14:paraId="7640A006"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7</w:t>
            </w:r>
          </w:p>
        </w:tc>
        <w:tc>
          <w:tcPr>
            <w:tcW w:w="2628" w:type="pct"/>
            <w:hideMark/>
          </w:tcPr>
          <w:p w14:paraId="28480C14"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Zero-emission ocean-going vessels and large zero-emission aircraft will become market ready by 2030 and 2035, respectively.</w:t>
            </w:r>
          </w:p>
        </w:tc>
        <w:tc>
          <w:tcPr>
            <w:tcW w:w="572" w:type="pct"/>
            <w:noWrap/>
            <w:hideMark/>
          </w:tcPr>
          <w:p w14:paraId="6F042584"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zero-emission aircraft</w:t>
            </w:r>
          </w:p>
        </w:tc>
      </w:tr>
      <w:tr w:rsidR="006B5A45" w:rsidRPr="006B5A45" w14:paraId="363BE36E" w14:textId="77777777" w:rsidTr="007E078E">
        <w:trPr>
          <w:trHeight w:val="870"/>
        </w:trPr>
        <w:tc>
          <w:tcPr>
            <w:tcW w:w="1118" w:type="pct"/>
            <w:hideMark/>
          </w:tcPr>
          <w:p w14:paraId="284624F7"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lastRenderedPageBreak/>
              <w:t>2 SUSTAINABLE MOBILITY – AN IRREVERSIBLE SHIFT TO ZERO-EMISSION MOBILITY</w:t>
            </w:r>
          </w:p>
        </w:tc>
        <w:tc>
          <w:tcPr>
            <w:tcW w:w="438" w:type="pct"/>
            <w:noWrap/>
            <w:hideMark/>
          </w:tcPr>
          <w:p w14:paraId="2604F2B2"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section 2.2</w:t>
            </w:r>
          </w:p>
        </w:tc>
        <w:tc>
          <w:tcPr>
            <w:tcW w:w="244" w:type="pct"/>
            <w:noWrap/>
            <w:hideMark/>
          </w:tcPr>
          <w:p w14:paraId="26DF5DC6"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7</w:t>
            </w:r>
          </w:p>
        </w:tc>
        <w:tc>
          <w:tcPr>
            <w:tcW w:w="2628" w:type="pct"/>
            <w:hideMark/>
          </w:tcPr>
          <w:p w14:paraId="621D36DD"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We need to make sustainable alternatives widely available to enable better modal choices</w:t>
            </w:r>
          </w:p>
        </w:tc>
        <w:tc>
          <w:tcPr>
            <w:tcW w:w="572" w:type="pct"/>
            <w:noWrap/>
            <w:hideMark/>
          </w:tcPr>
          <w:p w14:paraId="15CEB67F"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mode shift </w:t>
            </w:r>
          </w:p>
        </w:tc>
      </w:tr>
      <w:tr w:rsidR="006B5A45" w:rsidRPr="00322E35" w14:paraId="2CF096B4" w14:textId="77777777" w:rsidTr="007E078E">
        <w:trPr>
          <w:trHeight w:val="870"/>
        </w:trPr>
        <w:tc>
          <w:tcPr>
            <w:tcW w:w="1118" w:type="pct"/>
            <w:hideMark/>
          </w:tcPr>
          <w:p w14:paraId="3290BCC4"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75A681D1"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flagship 3</w:t>
            </w:r>
          </w:p>
        </w:tc>
        <w:tc>
          <w:tcPr>
            <w:tcW w:w="244" w:type="pct"/>
            <w:noWrap/>
            <w:hideMark/>
          </w:tcPr>
          <w:p w14:paraId="0FCF2E3B"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8</w:t>
            </w:r>
          </w:p>
        </w:tc>
        <w:tc>
          <w:tcPr>
            <w:tcW w:w="2628" w:type="pct"/>
            <w:hideMark/>
          </w:tcPr>
          <w:p w14:paraId="1A2D584A"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FLAGSHIP 3 – MAKING INTERURBAN AND URBAN MOBILITY </w:t>
            </w:r>
            <w:proofErr w:type="gramStart"/>
            <w:r w:rsidRPr="006B5A45">
              <w:rPr>
                <w:rFonts w:ascii="Calibri" w:eastAsia="Times New Roman" w:hAnsi="Calibri" w:cs="Calibri"/>
                <w:color w:val="000000"/>
                <w:lang w:eastAsia="fi-FI"/>
              </w:rPr>
              <w:t>MORE SUSTAINABLE AND HEALTHY</w:t>
            </w:r>
            <w:proofErr w:type="gramEnd"/>
          </w:p>
        </w:tc>
        <w:tc>
          <w:tcPr>
            <w:tcW w:w="572" w:type="pct"/>
            <w:noWrap/>
            <w:hideMark/>
          </w:tcPr>
          <w:p w14:paraId="58A0D3F7" w14:textId="77777777" w:rsidR="006B5A45" w:rsidRPr="006B5A45" w:rsidRDefault="006B5A45" w:rsidP="006B5A45">
            <w:pPr>
              <w:rPr>
                <w:rFonts w:ascii="Calibri" w:eastAsia="Times New Roman" w:hAnsi="Calibri" w:cs="Calibri"/>
                <w:color w:val="000000"/>
                <w:lang w:val="en-GB" w:eastAsia="fi-FI"/>
              </w:rPr>
            </w:pPr>
          </w:p>
        </w:tc>
      </w:tr>
      <w:tr w:rsidR="006B5A45" w:rsidRPr="006B5A45" w14:paraId="0C7E3FE3" w14:textId="77777777" w:rsidTr="007E078E">
        <w:trPr>
          <w:trHeight w:val="1204"/>
        </w:trPr>
        <w:tc>
          <w:tcPr>
            <w:tcW w:w="1118" w:type="pct"/>
            <w:hideMark/>
          </w:tcPr>
          <w:p w14:paraId="24D2476B"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320A870C"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31</w:t>
            </w:r>
          </w:p>
        </w:tc>
        <w:tc>
          <w:tcPr>
            <w:tcW w:w="244" w:type="pct"/>
            <w:noWrap/>
            <w:hideMark/>
          </w:tcPr>
          <w:p w14:paraId="58EBB385"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8</w:t>
            </w:r>
          </w:p>
        </w:tc>
        <w:tc>
          <w:tcPr>
            <w:tcW w:w="2628" w:type="pct"/>
            <w:hideMark/>
          </w:tcPr>
          <w:p w14:paraId="6552DF30"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Decisive action is needed to transform the transport sector into a truly multimodal system of sustainable and smart mobility services. To achieve this, Europe should build a </w:t>
            </w:r>
            <w:proofErr w:type="gramStart"/>
            <w:r w:rsidRPr="006B5A45">
              <w:rPr>
                <w:rFonts w:ascii="Calibri" w:eastAsia="Times New Roman" w:hAnsi="Calibri" w:cs="Calibri"/>
                <w:color w:val="000000"/>
                <w:lang w:eastAsia="fi-FI"/>
              </w:rPr>
              <w:t>high quality</w:t>
            </w:r>
            <w:proofErr w:type="gramEnd"/>
            <w:r w:rsidRPr="006B5A45">
              <w:rPr>
                <w:rFonts w:ascii="Calibri" w:eastAsia="Times New Roman" w:hAnsi="Calibri" w:cs="Calibri"/>
                <w:color w:val="000000"/>
                <w:lang w:eastAsia="fi-FI"/>
              </w:rPr>
              <w:t xml:space="preserve"> transport network with high-speed rail services on short-haul distances and with clean aviation services improving coverage of long-haul routes.</w:t>
            </w:r>
          </w:p>
        </w:tc>
        <w:tc>
          <w:tcPr>
            <w:tcW w:w="572" w:type="pct"/>
            <w:noWrap/>
            <w:hideMark/>
          </w:tcPr>
          <w:p w14:paraId="37492787"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multimodality </w:t>
            </w:r>
          </w:p>
        </w:tc>
      </w:tr>
      <w:tr w:rsidR="006B5A45" w:rsidRPr="006B5A45" w14:paraId="407BC530" w14:textId="77777777" w:rsidTr="007E078E">
        <w:trPr>
          <w:trHeight w:val="995"/>
        </w:trPr>
        <w:tc>
          <w:tcPr>
            <w:tcW w:w="1118" w:type="pct"/>
            <w:hideMark/>
          </w:tcPr>
          <w:p w14:paraId="626592C6"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6DBC8F51"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31</w:t>
            </w:r>
          </w:p>
        </w:tc>
        <w:tc>
          <w:tcPr>
            <w:tcW w:w="244" w:type="pct"/>
            <w:noWrap/>
            <w:hideMark/>
          </w:tcPr>
          <w:p w14:paraId="75D30B03"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8</w:t>
            </w:r>
          </w:p>
        </w:tc>
        <w:tc>
          <w:tcPr>
            <w:tcW w:w="2628" w:type="pct"/>
            <w:hideMark/>
          </w:tcPr>
          <w:p w14:paraId="3C5A6435"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The Commission will work towards creating enabling conditions for transport operators to offer </w:t>
            </w:r>
            <w:proofErr w:type="spellStart"/>
            <w:r w:rsidRPr="006B5A45">
              <w:rPr>
                <w:rFonts w:ascii="Calibri" w:eastAsia="Times New Roman" w:hAnsi="Calibri" w:cs="Calibri"/>
                <w:color w:val="000000"/>
                <w:lang w:eastAsia="fi-FI"/>
              </w:rPr>
              <w:t>travellers</w:t>
            </w:r>
            <w:proofErr w:type="spellEnd"/>
            <w:r w:rsidRPr="006B5A45">
              <w:rPr>
                <w:rFonts w:ascii="Calibri" w:eastAsia="Times New Roman" w:hAnsi="Calibri" w:cs="Calibri"/>
                <w:color w:val="000000"/>
                <w:lang w:eastAsia="fi-FI"/>
              </w:rPr>
              <w:t xml:space="preserve"> by 2030 carbon-neutral choices for scheduled collective travel below 500 km within the EU.</w:t>
            </w:r>
          </w:p>
        </w:tc>
        <w:tc>
          <w:tcPr>
            <w:tcW w:w="572" w:type="pct"/>
            <w:noWrap/>
            <w:hideMark/>
          </w:tcPr>
          <w:p w14:paraId="72C3114E"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individual choices</w:t>
            </w:r>
          </w:p>
        </w:tc>
      </w:tr>
      <w:tr w:rsidR="006B5A45" w:rsidRPr="006B5A45" w14:paraId="7C125E55" w14:textId="77777777" w:rsidTr="007E078E">
        <w:trPr>
          <w:trHeight w:val="1122"/>
        </w:trPr>
        <w:tc>
          <w:tcPr>
            <w:tcW w:w="1118" w:type="pct"/>
            <w:hideMark/>
          </w:tcPr>
          <w:p w14:paraId="674892FC"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663BB180"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31</w:t>
            </w:r>
          </w:p>
        </w:tc>
        <w:tc>
          <w:tcPr>
            <w:tcW w:w="244" w:type="pct"/>
            <w:noWrap/>
            <w:hideMark/>
          </w:tcPr>
          <w:p w14:paraId="1B15612E"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8</w:t>
            </w:r>
          </w:p>
        </w:tc>
        <w:tc>
          <w:tcPr>
            <w:tcW w:w="2628" w:type="pct"/>
            <w:hideMark/>
          </w:tcPr>
          <w:p w14:paraId="1E3DE7D9"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Subject to compliance with competition law, airlines should sell an increasing number of multimodal tickets. Investment should be geared towards upgrading the necessary TEN-T infrastructure to enable the shift towards more sustainable links.</w:t>
            </w:r>
          </w:p>
        </w:tc>
        <w:tc>
          <w:tcPr>
            <w:tcW w:w="572" w:type="pct"/>
            <w:noWrap/>
            <w:hideMark/>
          </w:tcPr>
          <w:p w14:paraId="47F423E8"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multimodality </w:t>
            </w:r>
          </w:p>
        </w:tc>
      </w:tr>
      <w:tr w:rsidR="006B5A45" w:rsidRPr="006B5A45" w14:paraId="457AB2A4" w14:textId="77777777" w:rsidTr="007E078E">
        <w:trPr>
          <w:trHeight w:val="870"/>
        </w:trPr>
        <w:tc>
          <w:tcPr>
            <w:tcW w:w="1118" w:type="pct"/>
            <w:hideMark/>
          </w:tcPr>
          <w:p w14:paraId="67B9E806"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620725D7"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flagship 4</w:t>
            </w:r>
          </w:p>
        </w:tc>
        <w:tc>
          <w:tcPr>
            <w:tcW w:w="244" w:type="pct"/>
            <w:noWrap/>
            <w:hideMark/>
          </w:tcPr>
          <w:p w14:paraId="47438604"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10</w:t>
            </w:r>
          </w:p>
        </w:tc>
        <w:tc>
          <w:tcPr>
            <w:tcW w:w="2628" w:type="pct"/>
            <w:hideMark/>
          </w:tcPr>
          <w:p w14:paraId="04792A4A"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FLAGSHIP 4 – GREENING FREIGHT TRANSPORT</w:t>
            </w:r>
          </w:p>
        </w:tc>
        <w:tc>
          <w:tcPr>
            <w:tcW w:w="572" w:type="pct"/>
            <w:noWrap/>
            <w:hideMark/>
          </w:tcPr>
          <w:p w14:paraId="3757FC66"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freight, logistics</w:t>
            </w:r>
          </w:p>
        </w:tc>
      </w:tr>
      <w:tr w:rsidR="006B5A45" w:rsidRPr="006B5A45" w14:paraId="627B881C" w14:textId="77777777" w:rsidTr="007E078E">
        <w:trPr>
          <w:trHeight w:val="2228"/>
        </w:trPr>
        <w:tc>
          <w:tcPr>
            <w:tcW w:w="1118" w:type="pct"/>
            <w:hideMark/>
          </w:tcPr>
          <w:p w14:paraId="0F241266"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75E29E34"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41</w:t>
            </w:r>
          </w:p>
        </w:tc>
        <w:tc>
          <w:tcPr>
            <w:tcW w:w="244" w:type="pct"/>
            <w:noWrap/>
            <w:hideMark/>
          </w:tcPr>
          <w:p w14:paraId="11DC3837"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10</w:t>
            </w:r>
          </w:p>
        </w:tc>
        <w:tc>
          <w:tcPr>
            <w:tcW w:w="2628" w:type="pct"/>
            <w:hideMark/>
          </w:tcPr>
          <w:p w14:paraId="48654B41"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Multimodal logistics must be part of this transformation, within and beyond urban areas. The growth of e-commerce has significantly changed consumption patterns, but the external costs of millions of deliveries, including the reduction of empty and unnecessary runs, must be factored in. Hence, sustainable urban mobility planning should also include the freight dimension through dedicated sustainable urban logistics plans. These plans will accelerate the deployment of zero-emission solutions already available, including cargo bikes, automated deliveries and drones (unmanned aircraft) and better use of inland waterways into cities.</w:t>
            </w:r>
          </w:p>
        </w:tc>
        <w:tc>
          <w:tcPr>
            <w:tcW w:w="572" w:type="pct"/>
            <w:noWrap/>
            <w:hideMark/>
          </w:tcPr>
          <w:p w14:paraId="7104DC12"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multimodality, logistics, drones</w:t>
            </w:r>
          </w:p>
        </w:tc>
      </w:tr>
      <w:tr w:rsidR="006B5A45" w:rsidRPr="00322E35" w14:paraId="1FC7E71A" w14:textId="77777777" w:rsidTr="007E078E">
        <w:trPr>
          <w:trHeight w:val="870"/>
        </w:trPr>
        <w:tc>
          <w:tcPr>
            <w:tcW w:w="1118" w:type="pct"/>
            <w:hideMark/>
          </w:tcPr>
          <w:p w14:paraId="382197D4"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7BCA6AF1"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milestone 4</w:t>
            </w:r>
          </w:p>
        </w:tc>
        <w:tc>
          <w:tcPr>
            <w:tcW w:w="244" w:type="pct"/>
            <w:noWrap/>
            <w:hideMark/>
          </w:tcPr>
          <w:p w14:paraId="1F7591F8"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11</w:t>
            </w:r>
          </w:p>
        </w:tc>
        <w:tc>
          <w:tcPr>
            <w:tcW w:w="2628" w:type="pct"/>
            <w:hideMark/>
          </w:tcPr>
          <w:p w14:paraId="7C6D98A7"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Scheduled collective travel under 500 km should be carbon-neutral by 2030 within the EU.</w:t>
            </w:r>
          </w:p>
        </w:tc>
        <w:tc>
          <w:tcPr>
            <w:tcW w:w="572" w:type="pct"/>
            <w:noWrap/>
            <w:hideMark/>
          </w:tcPr>
          <w:p w14:paraId="13863C67" w14:textId="77777777" w:rsidR="006B5A45" w:rsidRPr="006B5A45" w:rsidRDefault="006B5A45" w:rsidP="006B5A45">
            <w:pPr>
              <w:rPr>
                <w:rFonts w:ascii="Calibri" w:eastAsia="Times New Roman" w:hAnsi="Calibri" w:cs="Calibri"/>
                <w:color w:val="000000"/>
                <w:lang w:val="en-GB" w:eastAsia="fi-FI"/>
              </w:rPr>
            </w:pPr>
          </w:p>
        </w:tc>
      </w:tr>
      <w:tr w:rsidR="006B5A45" w:rsidRPr="006B5A45" w14:paraId="51013C6A" w14:textId="77777777" w:rsidTr="007E078E">
        <w:trPr>
          <w:trHeight w:val="870"/>
        </w:trPr>
        <w:tc>
          <w:tcPr>
            <w:tcW w:w="1118" w:type="pct"/>
            <w:hideMark/>
          </w:tcPr>
          <w:p w14:paraId="52F9A650"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lastRenderedPageBreak/>
              <w:t>2 SUSTAINABLE MOBILITY – AN IRREVERSIBLE SHIFT TO ZERO-EMISSION MOBILITY</w:t>
            </w:r>
          </w:p>
        </w:tc>
        <w:tc>
          <w:tcPr>
            <w:tcW w:w="438" w:type="pct"/>
            <w:noWrap/>
            <w:hideMark/>
          </w:tcPr>
          <w:p w14:paraId="4E6E2B0C"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47</w:t>
            </w:r>
          </w:p>
        </w:tc>
        <w:tc>
          <w:tcPr>
            <w:tcW w:w="244" w:type="pct"/>
            <w:noWrap/>
            <w:hideMark/>
          </w:tcPr>
          <w:p w14:paraId="737638FB"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11</w:t>
            </w:r>
          </w:p>
        </w:tc>
        <w:tc>
          <w:tcPr>
            <w:tcW w:w="2628" w:type="pct"/>
            <w:hideMark/>
          </w:tcPr>
          <w:p w14:paraId="1974FC48"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The ‘polluter pays’ and ‘user pays’ principles need to be implemented without delay in all transport modes.</w:t>
            </w:r>
          </w:p>
        </w:tc>
        <w:tc>
          <w:tcPr>
            <w:tcW w:w="572" w:type="pct"/>
            <w:noWrap/>
            <w:hideMark/>
          </w:tcPr>
          <w:p w14:paraId="37FF1CD0"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all modes</w:t>
            </w:r>
          </w:p>
        </w:tc>
      </w:tr>
      <w:tr w:rsidR="006B5A45" w:rsidRPr="006B5A45" w14:paraId="7BF45A4E" w14:textId="77777777" w:rsidTr="007E078E">
        <w:trPr>
          <w:trHeight w:val="1529"/>
        </w:trPr>
        <w:tc>
          <w:tcPr>
            <w:tcW w:w="1118" w:type="pct"/>
            <w:hideMark/>
          </w:tcPr>
          <w:p w14:paraId="37779B14"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02852FAD"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48</w:t>
            </w:r>
          </w:p>
        </w:tc>
        <w:tc>
          <w:tcPr>
            <w:tcW w:w="244" w:type="pct"/>
            <w:noWrap/>
            <w:hideMark/>
          </w:tcPr>
          <w:p w14:paraId="4A82B86B"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12</w:t>
            </w:r>
          </w:p>
        </w:tc>
        <w:tc>
          <w:tcPr>
            <w:tcW w:w="2628" w:type="pct"/>
            <w:hideMark/>
          </w:tcPr>
          <w:p w14:paraId="13E9C009"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In particular, the EU ETS is the most important instrument of carbon pricing </w:t>
            </w:r>
            <w:proofErr w:type="gramStart"/>
            <w:r w:rsidRPr="006B5A45">
              <w:rPr>
                <w:rFonts w:ascii="Calibri" w:eastAsia="Times New Roman" w:hAnsi="Calibri" w:cs="Calibri"/>
                <w:color w:val="000000"/>
                <w:lang w:eastAsia="fi-FI"/>
              </w:rPr>
              <w:t>in order to</w:t>
            </w:r>
            <w:proofErr w:type="gramEnd"/>
            <w:r w:rsidRPr="006B5A45">
              <w:rPr>
                <w:rFonts w:ascii="Calibri" w:eastAsia="Times New Roman" w:hAnsi="Calibri" w:cs="Calibri"/>
                <w:color w:val="000000"/>
                <w:lang w:eastAsia="fi-FI"/>
              </w:rPr>
              <w:t xml:space="preserve"> </w:t>
            </w:r>
            <w:proofErr w:type="spellStart"/>
            <w:r w:rsidRPr="006B5A45">
              <w:rPr>
                <w:rFonts w:ascii="Calibri" w:eastAsia="Times New Roman" w:hAnsi="Calibri" w:cs="Calibri"/>
                <w:color w:val="000000"/>
                <w:lang w:eastAsia="fi-FI"/>
              </w:rPr>
              <w:t>internalise</w:t>
            </w:r>
            <w:proofErr w:type="spellEnd"/>
            <w:r w:rsidRPr="006B5A45">
              <w:rPr>
                <w:rFonts w:ascii="Calibri" w:eastAsia="Times New Roman" w:hAnsi="Calibri" w:cs="Calibri"/>
                <w:color w:val="000000"/>
                <w:lang w:eastAsia="fi-FI"/>
              </w:rPr>
              <w:t xml:space="preserve"> the cost of CO2 emissions. The Commission will propose to extend the EU Emission Trading System (EU ETS) to the maritime transport sector. For aviation, a proposal will be made to revise the EU ETS Directive, notably to reduce the ETS allowances allocated for free to airlines.</w:t>
            </w:r>
          </w:p>
        </w:tc>
        <w:tc>
          <w:tcPr>
            <w:tcW w:w="572" w:type="pct"/>
            <w:noWrap/>
            <w:hideMark/>
          </w:tcPr>
          <w:p w14:paraId="0978D79D"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carbon pricing, external costs</w:t>
            </w:r>
          </w:p>
        </w:tc>
      </w:tr>
      <w:tr w:rsidR="006B5A45" w:rsidRPr="006B5A45" w14:paraId="4C375E71" w14:textId="77777777" w:rsidTr="007E078E">
        <w:trPr>
          <w:trHeight w:val="972"/>
        </w:trPr>
        <w:tc>
          <w:tcPr>
            <w:tcW w:w="1118" w:type="pct"/>
            <w:hideMark/>
          </w:tcPr>
          <w:p w14:paraId="68394BFC"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7924E0E1"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48</w:t>
            </w:r>
          </w:p>
        </w:tc>
        <w:tc>
          <w:tcPr>
            <w:tcW w:w="244" w:type="pct"/>
            <w:noWrap/>
            <w:hideMark/>
          </w:tcPr>
          <w:p w14:paraId="16D40BE1"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12</w:t>
            </w:r>
          </w:p>
        </w:tc>
        <w:tc>
          <w:tcPr>
            <w:tcW w:w="2628" w:type="pct"/>
            <w:hideMark/>
          </w:tcPr>
          <w:p w14:paraId="5FD87F31"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The Commission will also propose to implement the ICAO Carbon Offsetting and Reduction Scheme for International Civil Aviation (CORSIA) through revision of the ETS Directive in 2021.</w:t>
            </w:r>
          </w:p>
        </w:tc>
        <w:tc>
          <w:tcPr>
            <w:tcW w:w="572" w:type="pct"/>
            <w:noWrap/>
            <w:hideMark/>
          </w:tcPr>
          <w:p w14:paraId="0F946D72"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international </w:t>
            </w:r>
            <w:proofErr w:type="spellStart"/>
            <w:r w:rsidRPr="006B5A45">
              <w:rPr>
                <w:rFonts w:ascii="Calibri" w:eastAsia="Times New Roman" w:hAnsi="Calibri" w:cs="Calibri"/>
                <w:color w:val="000000"/>
                <w:lang w:eastAsia="fi-FI"/>
              </w:rPr>
              <w:t>organisations</w:t>
            </w:r>
            <w:proofErr w:type="spellEnd"/>
            <w:r w:rsidRPr="006B5A45">
              <w:rPr>
                <w:rFonts w:ascii="Calibri" w:eastAsia="Times New Roman" w:hAnsi="Calibri" w:cs="Calibri"/>
                <w:color w:val="000000"/>
                <w:lang w:eastAsia="fi-FI"/>
              </w:rPr>
              <w:t>, offsetting</w:t>
            </w:r>
          </w:p>
        </w:tc>
      </w:tr>
      <w:tr w:rsidR="006B5A45" w:rsidRPr="006B5A45" w14:paraId="48EF4CEA" w14:textId="77777777" w:rsidTr="007E078E">
        <w:trPr>
          <w:trHeight w:val="986"/>
        </w:trPr>
        <w:tc>
          <w:tcPr>
            <w:tcW w:w="1118" w:type="pct"/>
            <w:hideMark/>
          </w:tcPr>
          <w:p w14:paraId="032EFF74"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3D0AB5EB"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49</w:t>
            </w:r>
          </w:p>
        </w:tc>
        <w:tc>
          <w:tcPr>
            <w:tcW w:w="244" w:type="pct"/>
            <w:noWrap/>
            <w:hideMark/>
          </w:tcPr>
          <w:p w14:paraId="5EF1DBBA"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12</w:t>
            </w:r>
          </w:p>
        </w:tc>
        <w:tc>
          <w:tcPr>
            <w:tcW w:w="2628" w:type="pct"/>
            <w:hideMark/>
          </w:tcPr>
          <w:p w14:paraId="7F8759DD"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Fossil-fuel subsidies should end. [...] As part of the ongoing impact assessment, it is looking closely at current tax exemptions, including for aviation and maritime fuels, and will make proposal on how best to close any loopholes in 2021.</w:t>
            </w:r>
          </w:p>
        </w:tc>
        <w:tc>
          <w:tcPr>
            <w:tcW w:w="572" w:type="pct"/>
            <w:noWrap/>
            <w:hideMark/>
          </w:tcPr>
          <w:p w14:paraId="068F77B0"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taxation</w:t>
            </w:r>
          </w:p>
        </w:tc>
      </w:tr>
      <w:tr w:rsidR="006B5A45" w:rsidRPr="006B5A45" w14:paraId="525ACD82" w14:textId="77777777" w:rsidTr="007E078E">
        <w:trPr>
          <w:trHeight w:val="2262"/>
        </w:trPr>
        <w:tc>
          <w:tcPr>
            <w:tcW w:w="1118" w:type="pct"/>
            <w:hideMark/>
          </w:tcPr>
          <w:p w14:paraId="1F668CC5"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3C331A4A"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51</w:t>
            </w:r>
          </w:p>
        </w:tc>
        <w:tc>
          <w:tcPr>
            <w:tcW w:w="244" w:type="pct"/>
            <w:noWrap/>
            <w:hideMark/>
          </w:tcPr>
          <w:p w14:paraId="0F844F9E"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12</w:t>
            </w:r>
          </w:p>
        </w:tc>
        <w:tc>
          <w:tcPr>
            <w:tcW w:w="2628" w:type="pct"/>
            <w:hideMark/>
          </w:tcPr>
          <w:p w14:paraId="61EF25DB"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Currently, neither individuals planning a trip, nor shippers/logistics operators </w:t>
            </w:r>
            <w:proofErr w:type="spellStart"/>
            <w:r w:rsidRPr="006B5A45">
              <w:rPr>
                <w:rFonts w:ascii="Calibri" w:eastAsia="Times New Roman" w:hAnsi="Calibri" w:cs="Calibri"/>
                <w:color w:val="000000"/>
                <w:lang w:eastAsia="fi-FI"/>
              </w:rPr>
              <w:t>organising</w:t>
            </w:r>
            <w:proofErr w:type="spellEnd"/>
            <w:r w:rsidRPr="006B5A45">
              <w:rPr>
                <w:rFonts w:ascii="Calibri" w:eastAsia="Times New Roman" w:hAnsi="Calibri" w:cs="Calibri"/>
                <w:color w:val="000000"/>
                <w:lang w:eastAsia="fi-FI"/>
              </w:rPr>
              <w:t xml:space="preserve"> a delivery, </w:t>
            </w:r>
            <w:proofErr w:type="gramStart"/>
            <w:r w:rsidRPr="006B5A45">
              <w:rPr>
                <w:rFonts w:ascii="Calibri" w:eastAsia="Times New Roman" w:hAnsi="Calibri" w:cs="Calibri"/>
                <w:color w:val="000000"/>
                <w:lang w:eastAsia="fi-FI"/>
              </w:rPr>
              <w:t>give sufficient consideration to</w:t>
            </w:r>
            <w:proofErr w:type="gramEnd"/>
            <w:r w:rsidRPr="006B5A45">
              <w:rPr>
                <w:rFonts w:ascii="Calibri" w:eastAsia="Times New Roman" w:hAnsi="Calibri" w:cs="Calibri"/>
                <w:color w:val="000000"/>
                <w:lang w:eastAsia="fi-FI"/>
              </w:rPr>
              <w:t xml:space="preserve"> environmental footprint. This is partly because they are not given the right information, including on available alternatives. The most sustainable choice should be clearly indicated. With adequate information on the environmental footprint and a more systematic opportunity for consumers to voluntarily offset their travel, consumers and businesses will be empowered to make more sustainable delivery and transport choices.</w:t>
            </w:r>
          </w:p>
        </w:tc>
        <w:tc>
          <w:tcPr>
            <w:tcW w:w="572" w:type="pct"/>
            <w:noWrap/>
            <w:hideMark/>
          </w:tcPr>
          <w:p w14:paraId="2E8C2B03"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individual choices, passenger information</w:t>
            </w:r>
          </w:p>
        </w:tc>
      </w:tr>
      <w:tr w:rsidR="006B5A45" w:rsidRPr="006B5A45" w14:paraId="0637FD0E" w14:textId="77777777" w:rsidTr="007E078E">
        <w:trPr>
          <w:trHeight w:val="870"/>
        </w:trPr>
        <w:tc>
          <w:tcPr>
            <w:tcW w:w="1118" w:type="pct"/>
            <w:hideMark/>
          </w:tcPr>
          <w:p w14:paraId="008ACFA5"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684C9121"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52</w:t>
            </w:r>
          </w:p>
        </w:tc>
        <w:tc>
          <w:tcPr>
            <w:tcW w:w="244" w:type="pct"/>
            <w:noWrap/>
            <w:hideMark/>
          </w:tcPr>
          <w:p w14:paraId="5C6894ED"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13</w:t>
            </w:r>
          </w:p>
        </w:tc>
        <w:tc>
          <w:tcPr>
            <w:tcW w:w="2628" w:type="pct"/>
            <w:hideMark/>
          </w:tcPr>
          <w:p w14:paraId="332629A8"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Information on the carbon footprint of a specific journey could become a new passenger right </w:t>
            </w:r>
            <w:proofErr w:type="gramStart"/>
            <w:r w:rsidRPr="006B5A45">
              <w:rPr>
                <w:rFonts w:ascii="Calibri" w:eastAsia="Times New Roman" w:hAnsi="Calibri" w:cs="Calibri"/>
                <w:color w:val="000000"/>
                <w:lang w:eastAsia="fi-FI"/>
              </w:rPr>
              <w:t>and in this case</w:t>
            </w:r>
            <w:proofErr w:type="gramEnd"/>
            <w:r w:rsidRPr="006B5A45">
              <w:rPr>
                <w:rFonts w:ascii="Calibri" w:eastAsia="Times New Roman" w:hAnsi="Calibri" w:cs="Calibri"/>
                <w:color w:val="000000"/>
                <w:lang w:eastAsia="fi-FI"/>
              </w:rPr>
              <w:t xml:space="preserve"> should apply to all transport modes.</w:t>
            </w:r>
          </w:p>
        </w:tc>
        <w:tc>
          <w:tcPr>
            <w:tcW w:w="572" w:type="pct"/>
            <w:noWrap/>
            <w:hideMark/>
          </w:tcPr>
          <w:p w14:paraId="5A18D88A"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passenger information</w:t>
            </w:r>
          </w:p>
        </w:tc>
      </w:tr>
      <w:tr w:rsidR="006B5A45" w:rsidRPr="006B5A45" w14:paraId="6F791189" w14:textId="77777777" w:rsidTr="007E078E">
        <w:trPr>
          <w:trHeight w:val="870"/>
        </w:trPr>
        <w:tc>
          <w:tcPr>
            <w:tcW w:w="1118" w:type="pct"/>
            <w:hideMark/>
          </w:tcPr>
          <w:p w14:paraId="2CF3AA2D"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2 SUSTAINABLE MOBILITY – AN IRREVERSIBLE SHIFT TO ZERO-EMISSION MOBILITY</w:t>
            </w:r>
          </w:p>
        </w:tc>
        <w:tc>
          <w:tcPr>
            <w:tcW w:w="438" w:type="pct"/>
            <w:noWrap/>
            <w:hideMark/>
          </w:tcPr>
          <w:p w14:paraId="1AD43AA5"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milestone 10</w:t>
            </w:r>
          </w:p>
        </w:tc>
        <w:tc>
          <w:tcPr>
            <w:tcW w:w="244" w:type="pct"/>
            <w:noWrap/>
            <w:hideMark/>
          </w:tcPr>
          <w:p w14:paraId="5ADA8B8E"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13</w:t>
            </w:r>
          </w:p>
        </w:tc>
        <w:tc>
          <w:tcPr>
            <w:tcW w:w="2628" w:type="pct"/>
            <w:hideMark/>
          </w:tcPr>
          <w:p w14:paraId="0D28A898"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All external costs of transport within the EU will be covered by the transport users at the latest by 2050.</w:t>
            </w:r>
          </w:p>
        </w:tc>
        <w:tc>
          <w:tcPr>
            <w:tcW w:w="572" w:type="pct"/>
            <w:noWrap/>
            <w:hideMark/>
          </w:tcPr>
          <w:p w14:paraId="6BD8992C"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external costs</w:t>
            </w:r>
          </w:p>
        </w:tc>
      </w:tr>
      <w:tr w:rsidR="006B5A45" w:rsidRPr="006B5A45" w14:paraId="6BD3D61E" w14:textId="77777777" w:rsidTr="007E078E">
        <w:trPr>
          <w:trHeight w:val="1048"/>
        </w:trPr>
        <w:tc>
          <w:tcPr>
            <w:tcW w:w="1118" w:type="pct"/>
            <w:hideMark/>
          </w:tcPr>
          <w:p w14:paraId="12A2ABFC"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3 SMART MOBILITY – ACHIEVING SEAMLESS, SAFE AND EFFICIENT CONNECTIVITY</w:t>
            </w:r>
          </w:p>
        </w:tc>
        <w:tc>
          <w:tcPr>
            <w:tcW w:w="438" w:type="pct"/>
            <w:noWrap/>
            <w:hideMark/>
          </w:tcPr>
          <w:p w14:paraId="05AC95BA"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63</w:t>
            </w:r>
          </w:p>
        </w:tc>
        <w:tc>
          <w:tcPr>
            <w:tcW w:w="244" w:type="pct"/>
            <w:noWrap/>
            <w:hideMark/>
          </w:tcPr>
          <w:p w14:paraId="48F8B65E"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15</w:t>
            </w:r>
          </w:p>
        </w:tc>
        <w:tc>
          <w:tcPr>
            <w:tcW w:w="2628" w:type="pct"/>
            <w:hideMark/>
          </w:tcPr>
          <w:p w14:paraId="08791E07"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As for aviation, improving the efficiency of air traffic management (ATM) holds great potential for </w:t>
            </w:r>
            <w:proofErr w:type="spellStart"/>
            <w:r w:rsidRPr="006B5A45">
              <w:rPr>
                <w:rFonts w:ascii="Calibri" w:eastAsia="Times New Roman" w:hAnsi="Calibri" w:cs="Calibri"/>
                <w:color w:val="000000"/>
                <w:lang w:eastAsia="fi-FI"/>
              </w:rPr>
              <w:t>modernisation</w:t>
            </w:r>
            <w:proofErr w:type="spellEnd"/>
            <w:r w:rsidRPr="006B5A45">
              <w:rPr>
                <w:rFonts w:ascii="Calibri" w:eastAsia="Times New Roman" w:hAnsi="Calibri" w:cs="Calibri"/>
                <w:color w:val="000000"/>
                <w:lang w:eastAsia="fi-FI"/>
              </w:rPr>
              <w:t xml:space="preserve"> and sustainability, helping to cut excess fuel burn and CO2 emissions caused by flight inefficiencies and airspace fragmentation.</w:t>
            </w:r>
          </w:p>
        </w:tc>
        <w:tc>
          <w:tcPr>
            <w:tcW w:w="572" w:type="pct"/>
            <w:noWrap/>
            <w:hideMark/>
          </w:tcPr>
          <w:p w14:paraId="298198E8"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ATM</w:t>
            </w:r>
          </w:p>
        </w:tc>
      </w:tr>
      <w:tr w:rsidR="006B5A45" w:rsidRPr="00322E35" w14:paraId="50D8D003" w14:textId="77777777" w:rsidTr="007E078E">
        <w:trPr>
          <w:trHeight w:val="580"/>
        </w:trPr>
        <w:tc>
          <w:tcPr>
            <w:tcW w:w="1118" w:type="pct"/>
            <w:hideMark/>
          </w:tcPr>
          <w:p w14:paraId="38CA34EF"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lastRenderedPageBreak/>
              <w:t>3 SMART MOBILITY – ACHIEVING SEAMLESS, SAFE AND EFFICIENT CONNECTIVITY</w:t>
            </w:r>
          </w:p>
        </w:tc>
        <w:tc>
          <w:tcPr>
            <w:tcW w:w="438" w:type="pct"/>
            <w:noWrap/>
            <w:hideMark/>
          </w:tcPr>
          <w:p w14:paraId="405D8E5D"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flagship 7</w:t>
            </w:r>
          </w:p>
        </w:tc>
        <w:tc>
          <w:tcPr>
            <w:tcW w:w="244" w:type="pct"/>
            <w:noWrap/>
            <w:hideMark/>
          </w:tcPr>
          <w:p w14:paraId="602B61F2"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15</w:t>
            </w:r>
          </w:p>
        </w:tc>
        <w:tc>
          <w:tcPr>
            <w:tcW w:w="2628" w:type="pct"/>
            <w:hideMark/>
          </w:tcPr>
          <w:p w14:paraId="7B596AC9"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FLAGSHIP 7 – INNOVATION, DATA AND ARTIFICIAL INTELLIGENCE FOR SMARTER MOBILITY</w:t>
            </w:r>
          </w:p>
        </w:tc>
        <w:tc>
          <w:tcPr>
            <w:tcW w:w="572" w:type="pct"/>
            <w:noWrap/>
            <w:hideMark/>
          </w:tcPr>
          <w:p w14:paraId="3062941C" w14:textId="77777777" w:rsidR="006B5A45" w:rsidRPr="006B5A45" w:rsidRDefault="006B5A45" w:rsidP="006B5A45">
            <w:pPr>
              <w:rPr>
                <w:rFonts w:ascii="Calibri" w:eastAsia="Times New Roman" w:hAnsi="Calibri" w:cs="Calibri"/>
                <w:color w:val="000000"/>
                <w:lang w:val="en-GB" w:eastAsia="fi-FI"/>
              </w:rPr>
            </w:pPr>
          </w:p>
        </w:tc>
      </w:tr>
      <w:tr w:rsidR="006B5A45" w:rsidRPr="006B5A45" w14:paraId="2F90C88A" w14:textId="77777777" w:rsidTr="007E078E">
        <w:trPr>
          <w:trHeight w:val="2105"/>
        </w:trPr>
        <w:tc>
          <w:tcPr>
            <w:tcW w:w="1118" w:type="pct"/>
            <w:hideMark/>
          </w:tcPr>
          <w:p w14:paraId="28B0D4C3"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3 SMART MOBILITY – ACHIEVING SEAMLESS, SAFE AND EFFICIENT CONNECTIVITY</w:t>
            </w:r>
          </w:p>
        </w:tc>
        <w:tc>
          <w:tcPr>
            <w:tcW w:w="438" w:type="pct"/>
            <w:noWrap/>
            <w:hideMark/>
          </w:tcPr>
          <w:p w14:paraId="22DF163B"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64</w:t>
            </w:r>
          </w:p>
        </w:tc>
        <w:tc>
          <w:tcPr>
            <w:tcW w:w="244" w:type="pct"/>
            <w:noWrap/>
            <w:hideMark/>
          </w:tcPr>
          <w:p w14:paraId="6364A3A8"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15</w:t>
            </w:r>
          </w:p>
        </w:tc>
        <w:tc>
          <w:tcPr>
            <w:tcW w:w="2628" w:type="pct"/>
            <w:hideMark/>
          </w:tcPr>
          <w:p w14:paraId="26E75626"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Proactively shaping our future mobility by developing and validating new technologies and services is key to staying ahead of the curve. [...] We can expect the emergence and wider use of drones (unmanned aircraft) for commercial applications, autonomous vehicles, hyperloop, hydrogen aircraft, electric personal air vehicles, electric waterborne transport and clean urban logistics </w:t>
            </w:r>
            <w:proofErr w:type="gramStart"/>
            <w:r w:rsidRPr="006B5A45">
              <w:rPr>
                <w:rFonts w:ascii="Calibri" w:eastAsia="Times New Roman" w:hAnsi="Calibri" w:cs="Calibri"/>
                <w:color w:val="000000"/>
                <w:lang w:eastAsia="fi-FI"/>
              </w:rPr>
              <w:t>in the near future</w:t>
            </w:r>
            <w:proofErr w:type="gramEnd"/>
            <w:r w:rsidRPr="006B5A45">
              <w:rPr>
                <w:rFonts w:ascii="Calibri" w:eastAsia="Times New Roman" w:hAnsi="Calibri" w:cs="Calibri"/>
                <w:color w:val="000000"/>
                <w:lang w:eastAsia="fi-FI"/>
              </w:rPr>
              <w:t>. An enabling environment for such game-changing mobility technologies is key, so that the EU can become a prime deployment destination for innovators.</w:t>
            </w:r>
          </w:p>
        </w:tc>
        <w:tc>
          <w:tcPr>
            <w:tcW w:w="572" w:type="pct"/>
            <w:noWrap/>
            <w:hideMark/>
          </w:tcPr>
          <w:p w14:paraId="13E0BBC9"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drones, innovation</w:t>
            </w:r>
          </w:p>
        </w:tc>
      </w:tr>
      <w:tr w:rsidR="006B5A45" w:rsidRPr="006B5A45" w14:paraId="5AC6B7B4" w14:textId="77777777" w:rsidTr="007E078E">
        <w:trPr>
          <w:trHeight w:val="1037"/>
        </w:trPr>
        <w:tc>
          <w:tcPr>
            <w:tcW w:w="1118" w:type="pct"/>
            <w:hideMark/>
          </w:tcPr>
          <w:p w14:paraId="606A2AA6"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3 SMART MOBILITY – ACHIEVING SEAMLESS, SAFE AND EFFICIENT CONNECTIVITY</w:t>
            </w:r>
          </w:p>
        </w:tc>
        <w:tc>
          <w:tcPr>
            <w:tcW w:w="438" w:type="pct"/>
            <w:noWrap/>
            <w:hideMark/>
          </w:tcPr>
          <w:p w14:paraId="63F31E4F"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66</w:t>
            </w:r>
          </w:p>
        </w:tc>
        <w:tc>
          <w:tcPr>
            <w:tcW w:w="244" w:type="pct"/>
            <w:noWrap/>
            <w:hideMark/>
          </w:tcPr>
          <w:p w14:paraId="00DEAE25"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15</w:t>
            </w:r>
          </w:p>
        </w:tc>
        <w:tc>
          <w:tcPr>
            <w:tcW w:w="2628" w:type="pct"/>
            <w:hideMark/>
          </w:tcPr>
          <w:p w14:paraId="79CB7510"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The Commission fully supports the deployment of drones and unmanned aircraft, and will further develop the relevant rules, including on the U-space, to make it fit for enhancing safe and sustainable mobility.</w:t>
            </w:r>
          </w:p>
        </w:tc>
        <w:tc>
          <w:tcPr>
            <w:tcW w:w="572" w:type="pct"/>
            <w:noWrap/>
            <w:hideMark/>
          </w:tcPr>
          <w:p w14:paraId="0D56ECCA"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drones </w:t>
            </w:r>
          </w:p>
        </w:tc>
      </w:tr>
      <w:tr w:rsidR="006B5A45" w:rsidRPr="006B5A45" w14:paraId="078DF79A" w14:textId="77777777" w:rsidTr="007E078E">
        <w:trPr>
          <w:trHeight w:val="1973"/>
        </w:trPr>
        <w:tc>
          <w:tcPr>
            <w:tcW w:w="1118" w:type="pct"/>
            <w:hideMark/>
          </w:tcPr>
          <w:p w14:paraId="148268AF"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4 RESILIENT MOBILITY – A MORE RESILIENT SINGLE EUROPEAN TRANSPORT AREA: FOR INCLUSIVE CONNECTIVITY</w:t>
            </w:r>
          </w:p>
        </w:tc>
        <w:tc>
          <w:tcPr>
            <w:tcW w:w="438" w:type="pct"/>
            <w:noWrap/>
            <w:hideMark/>
          </w:tcPr>
          <w:p w14:paraId="69F6B173"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74</w:t>
            </w:r>
          </w:p>
        </w:tc>
        <w:tc>
          <w:tcPr>
            <w:tcW w:w="244" w:type="pct"/>
            <w:noWrap/>
            <w:hideMark/>
          </w:tcPr>
          <w:p w14:paraId="38028B9A"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17</w:t>
            </w:r>
          </w:p>
        </w:tc>
        <w:tc>
          <w:tcPr>
            <w:tcW w:w="2628" w:type="pct"/>
            <w:hideMark/>
          </w:tcPr>
          <w:p w14:paraId="54B27254"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The EU has now an opportunity to build a mobility system that is sustainable, smart, and resilient: a system for future generations. The Commission's previous assessment showed the need for investments at scale and at speed, including substantial public and private investments at national level: the additional investments for 2021-2030 in vehicles (including rolling stock, vessels, and aircraft) and renewable and low carbon fuels infrastructure deployment are estimated at EUR 130 billion per year, compared to the previous decade.</w:t>
            </w:r>
          </w:p>
        </w:tc>
        <w:tc>
          <w:tcPr>
            <w:tcW w:w="572" w:type="pct"/>
            <w:noWrap/>
            <w:hideMark/>
          </w:tcPr>
          <w:p w14:paraId="5CD8E31F"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fleets, infrastructure, investment</w:t>
            </w:r>
          </w:p>
        </w:tc>
      </w:tr>
      <w:tr w:rsidR="006B5A45" w:rsidRPr="006B5A45" w14:paraId="75128413" w14:textId="77777777" w:rsidTr="007E078E">
        <w:trPr>
          <w:trHeight w:val="2396"/>
        </w:trPr>
        <w:tc>
          <w:tcPr>
            <w:tcW w:w="1118" w:type="pct"/>
            <w:hideMark/>
          </w:tcPr>
          <w:p w14:paraId="6C609287"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4 RESILIENT MOBILITY – A MORE RESILIENT SINGLE EUROPEAN TRANSPORT AREA: FOR INCLUSIVE CONNECTIVITY</w:t>
            </w:r>
          </w:p>
        </w:tc>
        <w:tc>
          <w:tcPr>
            <w:tcW w:w="438" w:type="pct"/>
            <w:noWrap/>
            <w:hideMark/>
          </w:tcPr>
          <w:p w14:paraId="4FE23F1A"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80</w:t>
            </w:r>
          </w:p>
        </w:tc>
        <w:tc>
          <w:tcPr>
            <w:tcW w:w="244" w:type="pct"/>
            <w:noWrap/>
            <w:hideMark/>
          </w:tcPr>
          <w:p w14:paraId="359B9E3D"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18</w:t>
            </w:r>
          </w:p>
        </w:tc>
        <w:tc>
          <w:tcPr>
            <w:tcW w:w="2628" w:type="pct"/>
            <w:hideMark/>
          </w:tcPr>
          <w:p w14:paraId="2E12632D"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The successes of the </w:t>
            </w:r>
            <w:proofErr w:type="spellStart"/>
            <w:r w:rsidRPr="006B5A45">
              <w:rPr>
                <w:rFonts w:ascii="Calibri" w:eastAsia="Times New Roman" w:hAnsi="Calibri" w:cs="Calibri"/>
                <w:color w:val="000000"/>
                <w:lang w:eastAsia="fi-FI"/>
              </w:rPr>
              <w:t>Øresund</w:t>
            </w:r>
            <w:proofErr w:type="spellEnd"/>
            <w:r w:rsidRPr="006B5A45">
              <w:rPr>
                <w:rFonts w:ascii="Calibri" w:eastAsia="Times New Roman" w:hAnsi="Calibri" w:cs="Calibri"/>
                <w:color w:val="000000"/>
                <w:lang w:eastAsia="fi-FI"/>
              </w:rPr>
              <w:t xml:space="preserve"> bridge between Denmark and Sweden and the high-speed rail network between Paris-London-Brussels-Amsterdam and Cologne demonstrate the need to complete projects like Rail </w:t>
            </w:r>
            <w:proofErr w:type="spellStart"/>
            <w:r w:rsidRPr="006B5A45">
              <w:rPr>
                <w:rFonts w:ascii="Calibri" w:eastAsia="Times New Roman" w:hAnsi="Calibri" w:cs="Calibri"/>
                <w:color w:val="000000"/>
                <w:lang w:eastAsia="fi-FI"/>
              </w:rPr>
              <w:t>Baltica</w:t>
            </w:r>
            <w:proofErr w:type="spellEnd"/>
            <w:r w:rsidRPr="006B5A45">
              <w:rPr>
                <w:rFonts w:ascii="Calibri" w:eastAsia="Times New Roman" w:hAnsi="Calibri" w:cs="Calibri"/>
                <w:color w:val="000000"/>
                <w:lang w:eastAsia="fi-FI"/>
              </w:rPr>
              <w:t>, Lyon-Torino, Y-</w:t>
            </w:r>
            <w:proofErr w:type="spellStart"/>
            <w:r w:rsidRPr="006B5A45">
              <w:rPr>
                <w:rFonts w:ascii="Calibri" w:eastAsia="Times New Roman" w:hAnsi="Calibri" w:cs="Calibri"/>
                <w:color w:val="000000"/>
                <w:lang w:eastAsia="fi-FI"/>
              </w:rPr>
              <w:t>basque</w:t>
            </w:r>
            <w:proofErr w:type="spellEnd"/>
            <w:r w:rsidRPr="006B5A45">
              <w:rPr>
                <w:rFonts w:ascii="Calibri" w:eastAsia="Times New Roman" w:hAnsi="Calibri" w:cs="Calibri"/>
                <w:color w:val="000000"/>
                <w:lang w:eastAsia="fi-FI"/>
              </w:rPr>
              <w:t>, Fehmarn, Brenner, Dresden-Prague, Vienna-Bratislava-Budapest, Seine-Scheldt and many others, without delay. More cross-border projects will be needed to integrate all Member States into the European rail system of the future, in turn establishing smooth interconnections for cross-border rail travel across Europe. This will be achieved while maintaining accessibility for rural and remote regions.</w:t>
            </w:r>
          </w:p>
        </w:tc>
        <w:tc>
          <w:tcPr>
            <w:tcW w:w="572" w:type="pct"/>
            <w:noWrap/>
            <w:hideMark/>
          </w:tcPr>
          <w:p w14:paraId="12738719"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mode shift, rail</w:t>
            </w:r>
          </w:p>
        </w:tc>
      </w:tr>
      <w:tr w:rsidR="006B5A45" w:rsidRPr="006B5A45" w14:paraId="2A9EA005" w14:textId="77777777" w:rsidTr="007E078E">
        <w:trPr>
          <w:trHeight w:val="2823"/>
        </w:trPr>
        <w:tc>
          <w:tcPr>
            <w:tcW w:w="1118" w:type="pct"/>
            <w:hideMark/>
          </w:tcPr>
          <w:p w14:paraId="6261BD5E"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lastRenderedPageBreak/>
              <w:t>4 RESILIENT MOBILITY – A MORE RESILIENT SINGLE EUROPEAN TRANSPORT AREA: FOR INCLUSIVE CONNECTIVITY</w:t>
            </w:r>
          </w:p>
        </w:tc>
        <w:tc>
          <w:tcPr>
            <w:tcW w:w="438" w:type="pct"/>
            <w:noWrap/>
            <w:hideMark/>
          </w:tcPr>
          <w:p w14:paraId="5AAAB1B6"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81</w:t>
            </w:r>
          </w:p>
        </w:tc>
        <w:tc>
          <w:tcPr>
            <w:tcW w:w="244" w:type="pct"/>
            <w:noWrap/>
            <w:hideMark/>
          </w:tcPr>
          <w:p w14:paraId="617088E7"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19</w:t>
            </w:r>
          </w:p>
        </w:tc>
        <w:tc>
          <w:tcPr>
            <w:tcW w:w="2628" w:type="pct"/>
            <w:hideMark/>
          </w:tcPr>
          <w:p w14:paraId="3540F470"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At the same time, investment must finance the </w:t>
            </w:r>
            <w:proofErr w:type="spellStart"/>
            <w:r w:rsidRPr="006B5A45">
              <w:rPr>
                <w:rFonts w:ascii="Calibri" w:eastAsia="Times New Roman" w:hAnsi="Calibri" w:cs="Calibri"/>
                <w:color w:val="000000"/>
                <w:lang w:eastAsia="fi-FI"/>
              </w:rPr>
              <w:t>modernisation</w:t>
            </w:r>
            <w:proofErr w:type="spellEnd"/>
            <w:r w:rsidRPr="006B5A45">
              <w:rPr>
                <w:rFonts w:ascii="Calibri" w:eastAsia="Times New Roman" w:hAnsi="Calibri" w:cs="Calibri"/>
                <w:color w:val="000000"/>
                <w:lang w:eastAsia="fi-FI"/>
              </w:rPr>
              <w:t xml:space="preserve"> of fleets in all modes. This is necessary to ensure that low and zero emission technology options are deployed, including through retrofitting and appropriate renewal schemes in all transport modes. Increased use of joint and cross-border public procurement within the EU, based on the Most Economically Advantageous Tender principle, can contribute to doing this cost-efficiently. Support for such fleet renewals, while provided in line with the EU’s international obligations on subsidies and with EU State aid rules, will help to preserve a thriving manufacturing ecosystem in areas where Europe has a strategic technological advantage such as the aircraft, train and vessel manufacturing industries.</w:t>
            </w:r>
          </w:p>
        </w:tc>
        <w:tc>
          <w:tcPr>
            <w:tcW w:w="572" w:type="pct"/>
            <w:noWrap/>
            <w:hideMark/>
          </w:tcPr>
          <w:p w14:paraId="17EE4375"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fleets, investment, industry</w:t>
            </w:r>
          </w:p>
        </w:tc>
      </w:tr>
      <w:tr w:rsidR="006B5A45" w:rsidRPr="006B5A45" w14:paraId="353CEDA2" w14:textId="77777777" w:rsidTr="007E078E">
        <w:trPr>
          <w:trHeight w:val="1700"/>
        </w:trPr>
        <w:tc>
          <w:tcPr>
            <w:tcW w:w="1118" w:type="pct"/>
            <w:hideMark/>
          </w:tcPr>
          <w:p w14:paraId="226DA25B"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4 RESILIENT MOBILITY – A MORE RESILIENT SINGLE EUROPEAN TRANSPORT AREA: FOR INCLUSIVE CONNECTIVITY</w:t>
            </w:r>
          </w:p>
        </w:tc>
        <w:tc>
          <w:tcPr>
            <w:tcW w:w="438" w:type="pct"/>
            <w:noWrap/>
            <w:hideMark/>
          </w:tcPr>
          <w:p w14:paraId="62FA3BEC"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86</w:t>
            </w:r>
          </w:p>
        </w:tc>
        <w:tc>
          <w:tcPr>
            <w:tcW w:w="244" w:type="pct"/>
            <w:noWrap/>
            <w:hideMark/>
          </w:tcPr>
          <w:p w14:paraId="34D9B5C9"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19</w:t>
            </w:r>
          </w:p>
        </w:tc>
        <w:tc>
          <w:tcPr>
            <w:tcW w:w="2628" w:type="pct"/>
            <w:hideMark/>
          </w:tcPr>
          <w:p w14:paraId="1F1FACD3"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In aviation, the Commission will propose to revise the Air Services Regulation. While maintaining the highest levels of air safety, the objectives will be to protect consumer interests, to shape a resilient and competitive European air services industry while preserving high quality employment. The </w:t>
            </w:r>
            <w:proofErr w:type="spellStart"/>
            <w:r w:rsidRPr="006B5A45">
              <w:rPr>
                <w:rFonts w:ascii="Calibri" w:eastAsia="Times New Roman" w:hAnsi="Calibri" w:cs="Calibri"/>
                <w:color w:val="000000"/>
                <w:lang w:eastAsia="fi-FI"/>
              </w:rPr>
              <w:t>modernisation</w:t>
            </w:r>
            <w:proofErr w:type="spellEnd"/>
            <w:r w:rsidRPr="006B5A45">
              <w:rPr>
                <w:rFonts w:ascii="Calibri" w:eastAsia="Times New Roman" w:hAnsi="Calibri" w:cs="Calibri"/>
                <w:color w:val="000000"/>
                <w:lang w:eastAsia="fi-FI"/>
              </w:rPr>
              <w:t xml:space="preserve"> of EU rules governing airport charges, slots and computer reservation systems will complement this initiative.</w:t>
            </w:r>
          </w:p>
        </w:tc>
        <w:tc>
          <w:tcPr>
            <w:tcW w:w="572" w:type="pct"/>
            <w:noWrap/>
            <w:hideMark/>
          </w:tcPr>
          <w:p w14:paraId="1D35D519"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industry</w:t>
            </w:r>
          </w:p>
        </w:tc>
      </w:tr>
      <w:tr w:rsidR="006B5A45" w:rsidRPr="006B5A45" w14:paraId="7B746729" w14:textId="77777777" w:rsidTr="007E078E">
        <w:trPr>
          <w:trHeight w:val="930"/>
        </w:trPr>
        <w:tc>
          <w:tcPr>
            <w:tcW w:w="1118" w:type="pct"/>
            <w:hideMark/>
          </w:tcPr>
          <w:p w14:paraId="7D75399D" w14:textId="77777777" w:rsidR="006B5A45" w:rsidRPr="006B5A45" w:rsidRDefault="006B5A45" w:rsidP="006B5A45">
            <w:pPr>
              <w:rPr>
                <w:rFonts w:ascii="Calibri" w:eastAsia="Times New Roman" w:hAnsi="Calibri" w:cs="Calibri"/>
                <w:color w:val="000000"/>
                <w:lang w:val="en-GB" w:eastAsia="fi-FI"/>
              </w:rPr>
            </w:pPr>
            <w:r w:rsidRPr="006B5A45">
              <w:rPr>
                <w:rFonts w:ascii="Calibri" w:eastAsia="Times New Roman" w:hAnsi="Calibri" w:cs="Calibri"/>
                <w:color w:val="000000"/>
                <w:lang w:val="en-GB" w:eastAsia="fi-FI"/>
              </w:rPr>
              <w:t>5 THE EU AS THE WORLD’S CONNECTIVITY HUB</w:t>
            </w:r>
          </w:p>
        </w:tc>
        <w:tc>
          <w:tcPr>
            <w:tcW w:w="438" w:type="pct"/>
            <w:noWrap/>
            <w:hideMark/>
          </w:tcPr>
          <w:p w14:paraId="15302D1B"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106</w:t>
            </w:r>
          </w:p>
        </w:tc>
        <w:tc>
          <w:tcPr>
            <w:tcW w:w="244" w:type="pct"/>
            <w:noWrap/>
            <w:hideMark/>
          </w:tcPr>
          <w:p w14:paraId="743F1C07" w14:textId="77777777" w:rsidR="006B5A45" w:rsidRPr="006B5A45" w:rsidRDefault="006B5A45" w:rsidP="006B5A45">
            <w:pPr>
              <w:jc w:val="right"/>
              <w:rPr>
                <w:rFonts w:ascii="Calibri" w:eastAsia="Times New Roman" w:hAnsi="Calibri" w:cs="Calibri"/>
                <w:color w:val="000000"/>
                <w:lang w:eastAsia="fi-FI"/>
              </w:rPr>
            </w:pPr>
            <w:r w:rsidRPr="006B5A45">
              <w:rPr>
                <w:rFonts w:ascii="Calibri" w:eastAsia="Times New Roman" w:hAnsi="Calibri" w:cs="Calibri"/>
                <w:color w:val="000000"/>
                <w:lang w:eastAsia="fi-FI"/>
              </w:rPr>
              <w:t>23</w:t>
            </w:r>
          </w:p>
        </w:tc>
        <w:tc>
          <w:tcPr>
            <w:tcW w:w="2628" w:type="pct"/>
            <w:hideMark/>
          </w:tcPr>
          <w:p w14:paraId="342333BA"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The EU should also strive, within IMO, ICAO and other international </w:t>
            </w:r>
            <w:proofErr w:type="spellStart"/>
            <w:r w:rsidRPr="006B5A45">
              <w:rPr>
                <w:rFonts w:ascii="Calibri" w:eastAsia="Times New Roman" w:hAnsi="Calibri" w:cs="Calibri"/>
                <w:color w:val="000000"/>
                <w:lang w:eastAsia="fi-FI"/>
              </w:rPr>
              <w:t>organisations</w:t>
            </w:r>
            <w:proofErr w:type="spellEnd"/>
            <w:r w:rsidRPr="006B5A45">
              <w:rPr>
                <w:rFonts w:ascii="Calibri" w:eastAsia="Times New Roman" w:hAnsi="Calibri" w:cs="Calibri"/>
                <w:color w:val="000000"/>
                <w:lang w:eastAsia="fi-FI"/>
              </w:rPr>
              <w:t>, for high standards, including in the field of safety, security, and environmental protection, notably climate change.</w:t>
            </w:r>
          </w:p>
        </w:tc>
        <w:tc>
          <w:tcPr>
            <w:tcW w:w="572" w:type="pct"/>
            <w:noWrap/>
            <w:hideMark/>
          </w:tcPr>
          <w:p w14:paraId="458431B9" w14:textId="77777777" w:rsidR="006B5A45" w:rsidRPr="006B5A45" w:rsidRDefault="006B5A45" w:rsidP="006B5A45">
            <w:pPr>
              <w:rPr>
                <w:rFonts w:ascii="Calibri" w:eastAsia="Times New Roman" w:hAnsi="Calibri" w:cs="Calibri"/>
                <w:color w:val="000000"/>
                <w:lang w:eastAsia="fi-FI"/>
              </w:rPr>
            </w:pPr>
            <w:r w:rsidRPr="006B5A45">
              <w:rPr>
                <w:rFonts w:ascii="Calibri" w:eastAsia="Times New Roman" w:hAnsi="Calibri" w:cs="Calibri"/>
                <w:color w:val="000000"/>
                <w:lang w:eastAsia="fi-FI"/>
              </w:rPr>
              <w:t xml:space="preserve">international </w:t>
            </w:r>
            <w:proofErr w:type="spellStart"/>
            <w:r w:rsidRPr="006B5A45">
              <w:rPr>
                <w:rFonts w:ascii="Calibri" w:eastAsia="Times New Roman" w:hAnsi="Calibri" w:cs="Calibri"/>
                <w:color w:val="000000"/>
                <w:lang w:eastAsia="fi-FI"/>
              </w:rPr>
              <w:t>organisations</w:t>
            </w:r>
            <w:proofErr w:type="spellEnd"/>
          </w:p>
        </w:tc>
      </w:tr>
    </w:tbl>
    <w:p w14:paraId="689EBF32" w14:textId="77777777" w:rsidR="0000026A" w:rsidRDefault="0000026A" w:rsidP="00962B66">
      <w:pPr>
        <w:rPr>
          <w:lang w:val="en-GB"/>
        </w:rPr>
      </w:pPr>
    </w:p>
    <w:p w14:paraId="24F65401" w14:textId="77777777" w:rsidR="0000026A" w:rsidRDefault="0000026A" w:rsidP="0000026A">
      <w:pPr>
        <w:pStyle w:val="Heading1"/>
        <w:rPr>
          <w:lang w:val="en-GB"/>
        </w:rPr>
      </w:pPr>
      <w:r>
        <w:rPr>
          <w:lang w:val="en-GB"/>
        </w:rPr>
        <w:t xml:space="preserve">Finland’s </w:t>
      </w:r>
      <w:r w:rsidRPr="00F03387">
        <w:rPr>
          <w:lang w:val="en-GB"/>
        </w:rPr>
        <w:t>Government resolution on reducing greenhouse gas emissions from aviation</w:t>
      </w:r>
    </w:p>
    <w:p w14:paraId="54BB1137" w14:textId="77777777" w:rsidR="00807C42" w:rsidRPr="00807C42" w:rsidRDefault="00807C42" w:rsidP="00807C42">
      <w:pPr>
        <w:rPr>
          <w:lang w:val="en-GB"/>
        </w:rPr>
      </w:pPr>
    </w:p>
    <w:p w14:paraId="39FDF370" w14:textId="06E36238" w:rsidR="007E078E" w:rsidRPr="007E078E" w:rsidRDefault="007E078E" w:rsidP="007E078E">
      <w:pPr>
        <w:pStyle w:val="Caption"/>
        <w:keepNext/>
        <w:rPr>
          <w:lang w:val="en-GB"/>
        </w:rPr>
      </w:pPr>
      <w:r w:rsidRPr="007E078E">
        <w:rPr>
          <w:lang w:val="en-GB"/>
        </w:rPr>
        <w:t xml:space="preserve">Table </w:t>
      </w:r>
      <w:r>
        <w:rPr>
          <w:lang w:val="en-GB"/>
        </w:rPr>
        <w:t>S.</w:t>
      </w:r>
      <w:r>
        <w:fldChar w:fldCharType="begin"/>
      </w:r>
      <w:r w:rsidRPr="007E078E">
        <w:rPr>
          <w:lang w:val="en-GB"/>
        </w:rPr>
        <w:instrText xml:space="preserve"> SEQ Table \* ARABIC </w:instrText>
      </w:r>
      <w:r>
        <w:fldChar w:fldCharType="separate"/>
      </w:r>
      <w:r w:rsidRPr="007E078E">
        <w:rPr>
          <w:noProof/>
          <w:lang w:val="en-GB"/>
        </w:rPr>
        <w:t>2</w:t>
      </w:r>
      <w:r>
        <w:fldChar w:fldCharType="end"/>
      </w:r>
      <w:r w:rsidRPr="00322E35">
        <w:rPr>
          <w:lang w:val="en-GB"/>
        </w:rPr>
        <w:t xml:space="preserve"> </w:t>
      </w:r>
      <w:r w:rsidRPr="00322E35">
        <w:rPr>
          <w:lang w:val="en-GB"/>
        </w:rPr>
        <w:t xml:space="preserve">References </w:t>
      </w:r>
      <w:r>
        <w:rPr>
          <w:lang w:val="en-GB"/>
        </w:rPr>
        <w:t>found</w:t>
      </w:r>
      <w:r w:rsidRPr="00322E35">
        <w:rPr>
          <w:lang w:val="en-GB"/>
        </w:rPr>
        <w:t xml:space="preserve"> in </w:t>
      </w:r>
      <w:r>
        <w:rPr>
          <w:lang w:val="en-GB"/>
        </w:rPr>
        <w:t>Finland’s Government resolution on reducing greenhouse gas emissions from aviation</w:t>
      </w:r>
    </w:p>
    <w:tbl>
      <w:tblPr>
        <w:tblStyle w:val="TaulukkoRuudukko1"/>
        <w:tblW w:w="5000" w:type="pct"/>
        <w:tblLayout w:type="fixed"/>
        <w:tblLook w:val="04A0" w:firstRow="1" w:lastRow="0" w:firstColumn="1" w:lastColumn="0" w:noHBand="0" w:noVBand="1"/>
      </w:tblPr>
      <w:tblGrid>
        <w:gridCol w:w="2406"/>
        <w:gridCol w:w="850"/>
        <w:gridCol w:w="9356"/>
        <w:gridCol w:w="1948"/>
      </w:tblGrid>
      <w:tr w:rsidR="00807C42" w:rsidRPr="00807C42" w14:paraId="118EFA36" w14:textId="77777777" w:rsidTr="00807C42">
        <w:trPr>
          <w:trHeight w:val="290"/>
        </w:trPr>
        <w:tc>
          <w:tcPr>
            <w:tcW w:w="826" w:type="pct"/>
            <w:hideMark/>
          </w:tcPr>
          <w:p w14:paraId="364263A3" w14:textId="77777777" w:rsidR="00807C42" w:rsidRPr="00807C42" w:rsidRDefault="00807C42" w:rsidP="00807C42">
            <w:pPr>
              <w:rPr>
                <w:rFonts w:ascii="Calibri" w:eastAsia="Times New Roman" w:hAnsi="Calibri" w:cs="Calibri"/>
                <w:b/>
                <w:bCs/>
                <w:color w:val="000000"/>
                <w:lang w:eastAsia="fi-FI"/>
              </w:rPr>
            </w:pPr>
            <w:r w:rsidRPr="00807C42">
              <w:rPr>
                <w:rFonts w:ascii="Calibri" w:eastAsia="Times New Roman" w:hAnsi="Calibri" w:cs="Calibri"/>
                <w:b/>
                <w:bCs/>
                <w:color w:val="000000"/>
                <w:lang w:eastAsia="fi-FI"/>
              </w:rPr>
              <w:t>Section</w:t>
            </w:r>
          </w:p>
        </w:tc>
        <w:tc>
          <w:tcPr>
            <w:tcW w:w="292" w:type="pct"/>
            <w:noWrap/>
            <w:hideMark/>
          </w:tcPr>
          <w:p w14:paraId="2BF52F5F" w14:textId="77777777" w:rsidR="00807C42" w:rsidRPr="00807C42" w:rsidRDefault="00807C42" w:rsidP="00807C42">
            <w:pPr>
              <w:rPr>
                <w:rFonts w:ascii="Calibri" w:eastAsia="Times New Roman" w:hAnsi="Calibri" w:cs="Calibri"/>
                <w:b/>
                <w:bCs/>
                <w:color w:val="000000"/>
                <w:lang w:eastAsia="fi-FI"/>
              </w:rPr>
            </w:pPr>
            <w:r w:rsidRPr="00807C42">
              <w:rPr>
                <w:rFonts w:ascii="Calibri" w:eastAsia="Times New Roman" w:hAnsi="Calibri" w:cs="Calibri"/>
                <w:b/>
                <w:bCs/>
                <w:color w:val="000000"/>
                <w:lang w:eastAsia="fi-FI"/>
              </w:rPr>
              <w:t>Page</w:t>
            </w:r>
          </w:p>
        </w:tc>
        <w:tc>
          <w:tcPr>
            <w:tcW w:w="3213" w:type="pct"/>
            <w:hideMark/>
          </w:tcPr>
          <w:p w14:paraId="78270A1A" w14:textId="77777777" w:rsidR="00807C42" w:rsidRPr="00807C42" w:rsidRDefault="00807C42" w:rsidP="00807C42">
            <w:pPr>
              <w:rPr>
                <w:rFonts w:ascii="Calibri" w:eastAsia="Times New Roman" w:hAnsi="Calibri" w:cs="Calibri"/>
                <w:b/>
                <w:bCs/>
                <w:color w:val="000000"/>
                <w:lang w:eastAsia="fi-FI"/>
              </w:rPr>
            </w:pPr>
            <w:r w:rsidRPr="00807C42">
              <w:rPr>
                <w:rFonts w:ascii="Calibri" w:eastAsia="Times New Roman" w:hAnsi="Calibri" w:cs="Calibri"/>
                <w:b/>
                <w:bCs/>
                <w:color w:val="000000"/>
                <w:lang w:eastAsia="fi-FI"/>
              </w:rPr>
              <w:t>Citation</w:t>
            </w:r>
          </w:p>
        </w:tc>
        <w:tc>
          <w:tcPr>
            <w:tcW w:w="669" w:type="pct"/>
            <w:noWrap/>
            <w:hideMark/>
          </w:tcPr>
          <w:p w14:paraId="0CBB894D" w14:textId="77777777" w:rsidR="00807C42" w:rsidRPr="00807C42" w:rsidRDefault="00807C42" w:rsidP="00807C42">
            <w:pPr>
              <w:rPr>
                <w:rFonts w:ascii="Calibri" w:eastAsia="Times New Roman" w:hAnsi="Calibri" w:cs="Calibri"/>
                <w:b/>
                <w:bCs/>
                <w:color w:val="000000"/>
                <w:lang w:eastAsia="fi-FI"/>
              </w:rPr>
            </w:pPr>
            <w:r w:rsidRPr="00807C42">
              <w:rPr>
                <w:rFonts w:ascii="Calibri" w:eastAsia="Times New Roman" w:hAnsi="Calibri" w:cs="Calibri"/>
                <w:b/>
                <w:bCs/>
                <w:color w:val="000000"/>
                <w:lang w:eastAsia="fi-FI"/>
              </w:rPr>
              <w:t>Keywords</w:t>
            </w:r>
          </w:p>
        </w:tc>
      </w:tr>
      <w:tr w:rsidR="00807C42" w:rsidRPr="00807C42" w14:paraId="1B9C247D" w14:textId="77777777" w:rsidTr="00D15027">
        <w:trPr>
          <w:trHeight w:val="2090"/>
        </w:trPr>
        <w:tc>
          <w:tcPr>
            <w:tcW w:w="826" w:type="pct"/>
            <w:noWrap/>
            <w:hideMark/>
          </w:tcPr>
          <w:p w14:paraId="6477E031"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(Executive Summary)</w:t>
            </w:r>
          </w:p>
        </w:tc>
        <w:tc>
          <w:tcPr>
            <w:tcW w:w="292" w:type="pct"/>
            <w:noWrap/>
            <w:hideMark/>
          </w:tcPr>
          <w:p w14:paraId="65E0A98A"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7</w:t>
            </w:r>
          </w:p>
        </w:tc>
        <w:tc>
          <w:tcPr>
            <w:tcW w:w="3213" w:type="pct"/>
            <w:hideMark/>
          </w:tcPr>
          <w:p w14:paraId="76D508FE"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Air traffic plays an important role in transport within Finland and especially in international connections. Finland’s geographic location makes air transport the most important mode of transport in cross-boundary passenger traffic, also enabling business and leisure travel for Finnish people. Well-functioning air connections also have an impact on the placement and operating preconditions of companies and investments made in Finland, and they are vital for the development of the travel industry, for example. From a financial point of view, air cargo plays a significant role in Finland’s foreign trade [...]</w:t>
            </w:r>
          </w:p>
        </w:tc>
        <w:tc>
          <w:tcPr>
            <w:tcW w:w="669" w:type="pct"/>
            <w:noWrap/>
            <w:hideMark/>
          </w:tcPr>
          <w:p w14:paraId="65C6EDC2"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Finland</w:t>
            </w:r>
          </w:p>
        </w:tc>
      </w:tr>
      <w:tr w:rsidR="00807C42" w:rsidRPr="00807C42" w14:paraId="732E9D68" w14:textId="77777777" w:rsidTr="007E078E">
        <w:trPr>
          <w:trHeight w:val="697"/>
        </w:trPr>
        <w:tc>
          <w:tcPr>
            <w:tcW w:w="826" w:type="pct"/>
            <w:noWrap/>
            <w:hideMark/>
          </w:tcPr>
          <w:p w14:paraId="721C98FC"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lastRenderedPageBreak/>
              <w:t>(Executive Summary)</w:t>
            </w:r>
          </w:p>
        </w:tc>
        <w:tc>
          <w:tcPr>
            <w:tcW w:w="292" w:type="pct"/>
            <w:noWrap/>
            <w:hideMark/>
          </w:tcPr>
          <w:p w14:paraId="4E25F288"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7</w:t>
            </w:r>
          </w:p>
        </w:tc>
        <w:tc>
          <w:tcPr>
            <w:tcW w:w="3213" w:type="pct"/>
            <w:hideMark/>
          </w:tcPr>
          <w:p w14:paraId="20D63655"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As all societal sectors and modes of transport must, however, reduce their greenhouse gas emissions, it is important to examine ways to increase the sustainability of air transport.</w:t>
            </w:r>
          </w:p>
        </w:tc>
        <w:tc>
          <w:tcPr>
            <w:tcW w:w="669" w:type="pct"/>
            <w:noWrap/>
            <w:hideMark/>
          </w:tcPr>
          <w:p w14:paraId="54EF1612"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all modes</w:t>
            </w:r>
          </w:p>
        </w:tc>
      </w:tr>
      <w:tr w:rsidR="00807C42" w:rsidRPr="00807C42" w14:paraId="0AC902F4" w14:textId="77777777" w:rsidTr="007E078E">
        <w:trPr>
          <w:trHeight w:val="1235"/>
        </w:trPr>
        <w:tc>
          <w:tcPr>
            <w:tcW w:w="826" w:type="pct"/>
            <w:noWrap/>
            <w:hideMark/>
          </w:tcPr>
          <w:p w14:paraId="2EC4E044"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(Executive Summary)</w:t>
            </w:r>
          </w:p>
        </w:tc>
        <w:tc>
          <w:tcPr>
            <w:tcW w:w="292" w:type="pct"/>
            <w:noWrap/>
            <w:hideMark/>
          </w:tcPr>
          <w:p w14:paraId="51DC4AFF"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7</w:t>
            </w:r>
          </w:p>
        </w:tc>
        <w:tc>
          <w:tcPr>
            <w:tcW w:w="3213" w:type="pct"/>
            <w:hideMark/>
          </w:tcPr>
          <w:p w14:paraId="0B35FE9E"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Regardless of the significantly advanced energy efficiency of aircraft, emissions from air traffic have increased steeply in Finland and Europe, as well as globally. </w:t>
            </w:r>
            <w:proofErr w:type="gramStart"/>
            <w:r w:rsidRPr="00807C42">
              <w:rPr>
                <w:rFonts w:ascii="Calibri" w:eastAsia="Times New Roman" w:hAnsi="Calibri" w:cs="Calibri"/>
                <w:color w:val="000000"/>
                <w:lang w:val="en-GB" w:eastAsia="fi-FI"/>
              </w:rPr>
              <w:t>In particular, this</w:t>
            </w:r>
            <w:proofErr w:type="gramEnd"/>
            <w:r w:rsidRPr="00807C42">
              <w:rPr>
                <w:rFonts w:ascii="Calibri" w:eastAsia="Times New Roman" w:hAnsi="Calibri" w:cs="Calibri"/>
                <w:color w:val="000000"/>
                <w:lang w:val="en-GB" w:eastAsia="fi-FI"/>
              </w:rPr>
              <w:t xml:space="preserve"> results from the significant increase in vehicle-kilometres, the limited availability of alternative power sources and the minor use of sustainable aviation fuels.</w:t>
            </w:r>
          </w:p>
        </w:tc>
        <w:tc>
          <w:tcPr>
            <w:tcW w:w="669" w:type="pct"/>
            <w:noWrap/>
            <w:hideMark/>
          </w:tcPr>
          <w:p w14:paraId="3175AF0B"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aviation emissions</w:t>
            </w:r>
          </w:p>
        </w:tc>
      </w:tr>
      <w:tr w:rsidR="00807C42" w:rsidRPr="00807C42" w14:paraId="7CC57E44" w14:textId="77777777" w:rsidTr="00D15027">
        <w:trPr>
          <w:trHeight w:val="1265"/>
        </w:trPr>
        <w:tc>
          <w:tcPr>
            <w:tcW w:w="826" w:type="pct"/>
            <w:noWrap/>
            <w:hideMark/>
          </w:tcPr>
          <w:p w14:paraId="29F6A414"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(Executive Summary)</w:t>
            </w:r>
          </w:p>
        </w:tc>
        <w:tc>
          <w:tcPr>
            <w:tcW w:w="292" w:type="pct"/>
            <w:noWrap/>
            <w:hideMark/>
          </w:tcPr>
          <w:p w14:paraId="76015ECA"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7</w:t>
            </w:r>
          </w:p>
        </w:tc>
        <w:tc>
          <w:tcPr>
            <w:tcW w:w="3213" w:type="pct"/>
            <w:hideMark/>
          </w:tcPr>
          <w:p w14:paraId="2D9E6F2F"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On a global scale, the increase in air traffic is maintained by the growing wealth of developing high-population countries, which most likely will also affect air traffic in Finland through increases in travel and transit connections. [...] To achieve the traffic emissions reduction goals and the goals of the Paris Agreement, it is necessary to adopt new measures that reduce emissions from aviation.</w:t>
            </w:r>
          </w:p>
        </w:tc>
        <w:tc>
          <w:tcPr>
            <w:tcW w:w="669" w:type="pct"/>
            <w:noWrap/>
            <w:hideMark/>
          </w:tcPr>
          <w:p w14:paraId="321C2508"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aviation emissions, Paris Agreement</w:t>
            </w:r>
          </w:p>
        </w:tc>
      </w:tr>
      <w:tr w:rsidR="00807C42" w:rsidRPr="00807C42" w14:paraId="3DB49859" w14:textId="77777777" w:rsidTr="007E078E">
        <w:trPr>
          <w:trHeight w:val="445"/>
        </w:trPr>
        <w:tc>
          <w:tcPr>
            <w:tcW w:w="826" w:type="pct"/>
            <w:noWrap/>
            <w:hideMark/>
          </w:tcPr>
          <w:p w14:paraId="2B283026"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(Executive Summary)</w:t>
            </w:r>
          </w:p>
        </w:tc>
        <w:tc>
          <w:tcPr>
            <w:tcW w:w="292" w:type="pct"/>
            <w:noWrap/>
            <w:hideMark/>
          </w:tcPr>
          <w:p w14:paraId="3FCBF99F"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7</w:t>
            </w:r>
          </w:p>
        </w:tc>
        <w:tc>
          <w:tcPr>
            <w:tcW w:w="3213" w:type="pct"/>
            <w:hideMark/>
          </w:tcPr>
          <w:p w14:paraId="0F341E1C"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In an international comparison, Finland is among the most frequent travellers. </w:t>
            </w:r>
          </w:p>
        </w:tc>
        <w:tc>
          <w:tcPr>
            <w:tcW w:w="669" w:type="pct"/>
            <w:noWrap/>
            <w:hideMark/>
          </w:tcPr>
          <w:p w14:paraId="5D73C760"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Finland</w:t>
            </w:r>
          </w:p>
        </w:tc>
      </w:tr>
      <w:tr w:rsidR="00807C42" w:rsidRPr="00807C42" w14:paraId="72CA9B67" w14:textId="77777777" w:rsidTr="007E078E">
        <w:trPr>
          <w:trHeight w:val="1274"/>
        </w:trPr>
        <w:tc>
          <w:tcPr>
            <w:tcW w:w="826" w:type="pct"/>
            <w:noWrap/>
            <w:hideMark/>
          </w:tcPr>
          <w:p w14:paraId="065E0A4A"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(Executive Summary)</w:t>
            </w:r>
          </w:p>
        </w:tc>
        <w:tc>
          <w:tcPr>
            <w:tcW w:w="292" w:type="pct"/>
            <w:noWrap/>
            <w:hideMark/>
          </w:tcPr>
          <w:p w14:paraId="60BD6730"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8</w:t>
            </w:r>
          </w:p>
        </w:tc>
        <w:tc>
          <w:tcPr>
            <w:tcW w:w="3213" w:type="pct"/>
            <w:hideMark/>
          </w:tcPr>
          <w:p w14:paraId="5D2C8004"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Globally, aviation is an intensely competitive sector, which means that global measures within the scope of the International Civil Aviation Organization (ICAO) have the highest impact and distort competition the least. This is why it is important to focus on the preparation and adoption of effective emissions reduction measures in international cooperation. </w:t>
            </w:r>
          </w:p>
        </w:tc>
        <w:tc>
          <w:tcPr>
            <w:tcW w:w="669" w:type="pct"/>
            <w:noWrap/>
            <w:hideMark/>
          </w:tcPr>
          <w:p w14:paraId="0F3802A8"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 xml:space="preserve">international </w:t>
            </w:r>
            <w:proofErr w:type="spellStart"/>
            <w:r w:rsidRPr="00807C42">
              <w:rPr>
                <w:rFonts w:ascii="Calibri" w:eastAsia="Times New Roman" w:hAnsi="Calibri" w:cs="Calibri"/>
                <w:color w:val="000000"/>
                <w:lang w:eastAsia="fi-FI"/>
              </w:rPr>
              <w:t>organisations</w:t>
            </w:r>
            <w:proofErr w:type="spellEnd"/>
          </w:p>
        </w:tc>
      </w:tr>
      <w:tr w:rsidR="00807C42" w:rsidRPr="00807C42" w14:paraId="2EED4F68" w14:textId="77777777" w:rsidTr="007E078E">
        <w:trPr>
          <w:trHeight w:val="980"/>
        </w:trPr>
        <w:tc>
          <w:tcPr>
            <w:tcW w:w="826" w:type="pct"/>
            <w:noWrap/>
            <w:hideMark/>
          </w:tcPr>
          <w:p w14:paraId="0744CDC9"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(Executive Summary)</w:t>
            </w:r>
          </w:p>
        </w:tc>
        <w:tc>
          <w:tcPr>
            <w:tcW w:w="292" w:type="pct"/>
            <w:noWrap/>
            <w:hideMark/>
          </w:tcPr>
          <w:p w14:paraId="75975250"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8</w:t>
            </w:r>
          </w:p>
        </w:tc>
        <w:tc>
          <w:tcPr>
            <w:tcW w:w="3213" w:type="pct"/>
            <w:hideMark/>
          </w:tcPr>
          <w:p w14:paraId="493DAD0A"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The acceptance of global decisions can, however, be promoted and accelerated not only through active influencing, but also by showing leadership and ambition. As a result, global measures must be supplemented by means of national and EU measures.</w:t>
            </w:r>
          </w:p>
        </w:tc>
        <w:tc>
          <w:tcPr>
            <w:tcW w:w="669" w:type="pct"/>
            <w:noWrap/>
            <w:hideMark/>
          </w:tcPr>
          <w:p w14:paraId="5E243AB6"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national and EU measures</w:t>
            </w:r>
          </w:p>
        </w:tc>
      </w:tr>
      <w:tr w:rsidR="00807C42" w:rsidRPr="00807C42" w14:paraId="1CB7F5E0" w14:textId="77777777" w:rsidTr="007E078E">
        <w:trPr>
          <w:trHeight w:val="1264"/>
        </w:trPr>
        <w:tc>
          <w:tcPr>
            <w:tcW w:w="826" w:type="pct"/>
            <w:noWrap/>
            <w:hideMark/>
          </w:tcPr>
          <w:p w14:paraId="24D63645"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(Executive Summary)</w:t>
            </w:r>
          </w:p>
        </w:tc>
        <w:tc>
          <w:tcPr>
            <w:tcW w:w="292" w:type="pct"/>
            <w:noWrap/>
            <w:hideMark/>
          </w:tcPr>
          <w:p w14:paraId="48ECBD13"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8</w:t>
            </w:r>
          </w:p>
        </w:tc>
        <w:tc>
          <w:tcPr>
            <w:tcW w:w="3213" w:type="pct"/>
            <w:hideMark/>
          </w:tcPr>
          <w:p w14:paraId="3D1E4ABC"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Following the principles of green recovery, national and international policy measures must, however, be adopted to ensure that the expected increases in air traffic do not jeopardise the achievement of climate goals. This calls for a significant decrease in aviation emissions from the pre-pandemic level, already before 2030.</w:t>
            </w:r>
          </w:p>
        </w:tc>
        <w:tc>
          <w:tcPr>
            <w:tcW w:w="669" w:type="pct"/>
            <w:noWrap/>
            <w:hideMark/>
          </w:tcPr>
          <w:p w14:paraId="4E25D70D"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aviation emissions, targets, projections</w:t>
            </w:r>
          </w:p>
        </w:tc>
      </w:tr>
      <w:tr w:rsidR="00807C42" w:rsidRPr="00807C42" w14:paraId="4BAB7B1B" w14:textId="77777777" w:rsidTr="00807C42">
        <w:trPr>
          <w:trHeight w:val="1450"/>
        </w:trPr>
        <w:tc>
          <w:tcPr>
            <w:tcW w:w="826" w:type="pct"/>
            <w:noWrap/>
            <w:hideMark/>
          </w:tcPr>
          <w:p w14:paraId="0327AE0F"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1 Current state and expected development of greenhouse gas emissions from aviation</w:t>
            </w:r>
          </w:p>
        </w:tc>
        <w:tc>
          <w:tcPr>
            <w:tcW w:w="292" w:type="pct"/>
            <w:noWrap/>
            <w:hideMark/>
          </w:tcPr>
          <w:p w14:paraId="244D1825"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9</w:t>
            </w:r>
          </w:p>
        </w:tc>
        <w:tc>
          <w:tcPr>
            <w:tcW w:w="3213" w:type="pct"/>
            <w:hideMark/>
          </w:tcPr>
          <w:p w14:paraId="3CA3FABE"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In 2018, emissions from domestic aviation accounted for less than two per cent of total traffic emissions, and the volume of emissions has decreased by 33 per cent between 2005 and 2019. Furthermore, domestic aviation emissions are not expected to grow significantly </w:t>
            </w:r>
            <w:proofErr w:type="gramStart"/>
            <w:r w:rsidRPr="00807C42">
              <w:rPr>
                <w:rFonts w:ascii="Calibri" w:eastAsia="Times New Roman" w:hAnsi="Calibri" w:cs="Calibri"/>
                <w:color w:val="000000"/>
                <w:lang w:val="en-GB" w:eastAsia="fi-FI"/>
              </w:rPr>
              <w:t>in the near future</w:t>
            </w:r>
            <w:proofErr w:type="gramEnd"/>
            <w:r w:rsidRPr="00807C42">
              <w:rPr>
                <w:rFonts w:ascii="Calibri" w:eastAsia="Times New Roman" w:hAnsi="Calibri" w:cs="Calibri"/>
                <w:color w:val="000000"/>
                <w:lang w:val="en-GB" w:eastAsia="fi-FI"/>
              </w:rPr>
              <w:t>, because vehicle-kilometres are estimated to remain roughly at the current level.</w:t>
            </w:r>
          </w:p>
        </w:tc>
        <w:tc>
          <w:tcPr>
            <w:tcW w:w="669" w:type="pct"/>
            <w:noWrap/>
            <w:hideMark/>
          </w:tcPr>
          <w:p w14:paraId="79D71772"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domestic aviation</w:t>
            </w:r>
          </w:p>
        </w:tc>
      </w:tr>
      <w:tr w:rsidR="00807C42" w:rsidRPr="00807C42" w14:paraId="5CE6C034" w14:textId="77777777" w:rsidTr="007E078E">
        <w:trPr>
          <w:trHeight w:val="1264"/>
        </w:trPr>
        <w:tc>
          <w:tcPr>
            <w:tcW w:w="826" w:type="pct"/>
            <w:noWrap/>
            <w:hideMark/>
          </w:tcPr>
          <w:p w14:paraId="3BFB677E"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lastRenderedPageBreak/>
              <w:t>1 Current state and expected development of greenhouse gas emissions from aviation</w:t>
            </w:r>
          </w:p>
        </w:tc>
        <w:tc>
          <w:tcPr>
            <w:tcW w:w="292" w:type="pct"/>
            <w:noWrap/>
            <w:hideMark/>
          </w:tcPr>
          <w:p w14:paraId="36BE24F7"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9</w:t>
            </w:r>
          </w:p>
        </w:tc>
        <w:tc>
          <w:tcPr>
            <w:tcW w:w="3213" w:type="pct"/>
            <w:hideMark/>
          </w:tcPr>
          <w:p w14:paraId="379CE98E"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Instead, the volume and emissions of outgoing international flights from Finland have increased considerably, nearly 13 times higher than domestic aviation emissions in 2019. From 2005 to 2019, total emissions increased by 74 per cent, mainly due to increased long-distance flight routes to Asia and North America and the expansion of Helsinki Airport into a significant European transit airport.</w:t>
            </w:r>
          </w:p>
        </w:tc>
        <w:tc>
          <w:tcPr>
            <w:tcW w:w="669" w:type="pct"/>
            <w:noWrap/>
            <w:hideMark/>
          </w:tcPr>
          <w:p w14:paraId="19B8AD8D"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international flights</w:t>
            </w:r>
          </w:p>
        </w:tc>
      </w:tr>
      <w:tr w:rsidR="00807C42" w:rsidRPr="00807C42" w14:paraId="4E7FD4E0" w14:textId="77777777" w:rsidTr="007E078E">
        <w:trPr>
          <w:trHeight w:val="1707"/>
        </w:trPr>
        <w:tc>
          <w:tcPr>
            <w:tcW w:w="826" w:type="pct"/>
            <w:noWrap/>
            <w:hideMark/>
          </w:tcPr>
          <w:p w14:paraId="12AD406A"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1 Current state and expected development of greenhouse gas emissions from aviation</w:t>
            </w:r>
          </w:p>
        </w:tc>
        <w:tc>
          <w:tcPr>
            <w:tcW w:w="292" w:type="pct"/>
            <w:noWrap/>
            <w:hideMark/>
          </w:tcPr>
          <w:p w14:paraId="1B8CDA2F"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9</w:t>
            </w:r>
          </w:p>
        </w:tc>
        <w:tc>
          <w:tcPr>
            <w:tcW w:w="3213" w:type="pct"/>
            <w:hideMark/>
          </w:tcPr>
          <w:p w14:paraId="059AEEFB"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During the preparation of the roadmap for fossil-free transport, it was estimated that domestic and outgoing international flights will increase by 15–20 per cent and emissions by 20–25 per cent by 2030, compared with the 2018 level, provided that no new emissions reduction measures are adopted. Considering the expected deceleration in the increase in transport during the 2030s and the accelerating electrification of aircraft, it is estimated that the flight volume will increase by 30–40 per cent and emissions by 25–40 per cent by 2045, compared with the 2018 level. </w:t>
            </w:r>
          </w:p>
        </w:tc>
        <w:tc>
          <w:tcPr>
            <w:tcW w:w="669" w:type="pct"/>
            <w:noWrap/>
            <w:hideMark/>
          </w:tcPr>
          <w:p w14:paraId="23CEC59D"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projections, aviation emissions</w:t>
            </w:r>
          </w:p>
        </w:tc>
      </w:tr>
      <w:tr w:rsidR="00807C42" w:rsidRPr="00807C42" w14:paraId="63D92B58" w14:textId="77777777" w:rsidTr="007E078E">
        <w:trPr>
          <w:trHeight w:val="1817"/>
        </w:trPr>
        <w:tc>
          <w:tcPr>
            <w:tcW w:w="826" w:type="pct"/>
            <w:noWrap/>
            <w:hideMark/>
          </w:tcPr>
          <w:p w14:paraId="0F89C211"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1 Current state and expected development of greenhouse gas emissions from aviation</w:t>
            </w:r>
          </w:p>
        </w:tc>
        <w:tc>
          <w:tcPr>
            <w:tcW w:w="292" w:type="pct"/>
            <w:noWrap/>
            <w:hideMark/>
          </w:tcPr>
          <w:p w14:paraId="32E6B681"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9</w:t>
            </w:r>
          </w:p>
        </w:tc>
        <w:tc>
          <w:tcPr>
            <w:tcW w:w="3213" w:type="pct"/>
            <w:hideMark/>
          </w:tcPr>
          <w:p w14:paraId="57F452C5"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In the EU, aviation accounted for 3.6 per cent of all CO2 emissions and 13.4 per cent of total emissions in the transport sector in 2017. Emissions increased by 16 per cent from 2005, and they are expected to increase by another 21–37 per cent by 20404. Aviation accounts for roughly 2.5 per cent of global CO2 emissions. The ICAO estimates that, regardless of the annual improvements in energy efficiency, fuel consumption in international aviation (roughly 65 per cent of all air traffic) will be 2.2–3.1 higher by 2045 than in 20155.</w:t>
            </w:r>
          </w:p>
        </w:tc>
        <w:tc>
          <w:tcPr>
            <w:tcW w:w="669" w:type="pct"/>
            <w:noWrap/>
            <w:hideMark/>
          </w:tcPr>
          <w:p w14:paraId="53183C96"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projections, aviation emissions</w:t>
            </w:r>
          </w:p>
        </w:tc>
      </w:tr>
      <w:tr w:rsidR="00807C42" w:rsidRPr="00322E35" w14:paraId="0B655712" w14:textId="77777777" w:rsidTr="007E078E">
        <w:trPr>
          <w:trHeight w:val="1559"/>
        </w:trPr>
        <w:tc>
          <w:tcPr>
            <w:tcW w:w="826" w:type="pct"/>
            <w:noWrap/>
            <w:hideMark/>
          </w:tcPr>
          <w:p w14:paraId="23077E8B"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1 Current state and expected development of greenhouse gas emissions from aviation</w:t>
            </w:r>
          </w:p>
        </w:tc>
        <w:tc>
          <w:tcPr>
            <w:tcW w:w="292" w:type="pct"/>
            <w:noWrap/>
            <w:hideMark/>
          </w:tcPr>
          <w:p w14:paraId="718E5310"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10</w:t>
            </w:r>
          </w:p>
        </w:tc>
        <w:tc>
          <w:tcPr>
            <w:tcW w:w="3213" w:type="pct"/>
            <w:hideMark/>
          </w:tcPr>
          <w:p w14:paraId="7C159255"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It should also be noted that aviation generates other emissions in addition to carbon dioxide, such as nitrogen and sulphur oxides, unburnt hydrocarbons, particulates and water vapour, some of which increase global warming, while others reduce it. Combined, these emissions accelerate global warming and, according to a recent study, 66 per cent of the total impact of aviation, increasing global warming, comes from emissions other than carbon dioxide. </w:t>
            </w:r>
          </w:p>
        </w:tc>
        <w:tc>
          <w:tcPr>
            <w:tcW w:w="669" w:type="pct"/>
            <w:noWrap/>
            <w:hideMark/>
          </w:tcPr>
          <w:p w14:paraId="629BBB17" w14:textId="77777777" w:rsidR="00807C42" w:rsidRPr="00807C42" w:rsidRDefault="00807C42" w:rsidP="00807C42">
            <w:pPr>
              <w:rPr>
                <w:rFonts w:ascii="Calibri" w:eastAsia="Times New Roman" w:hAnsi="Calibri" w:cs="Calibri"/>
                <w:color w:val="000000"/>
                <w:lang w:val="fr-FR" w:eastAsia="fi-FI"/>
              </w:rPr>
            </w:pPr>
            <w:proofErr w:type="gramStart"/>
            <w:r w:rsidRPr="00807C42">
              <w:rPr>
                <w:rFonts w:ascii="Calibri" w:eastAsia="Times New Roman" w:hAnsi="Calibri" w:cs="Calibri"/>
                <w:color w:val="000000"/>
                <w:lang w:val="fr-FR" w:eastAsia="fi-FI"/>
              </w:rPr>
              <w:t>aviation</w:t>
            </w:r>
            <w:proofErr w:type="gramEnd"/>
            <w:r w:rsidRPr="00807C42">
              <w:rPr>
                <w:rFonts w:ascii="Calibri" w:eastAsia="Times New Roman" w:hAnsi="Calibri" w:cs="Calibri"/>
                <w:color w:val="000000"/>
                <w:lang w:val="fr-FR" w:eastAsia="fi-FI"/>
              </w:rPr>
              <w:t xml:space="preserve"> </w:t>
            </w:r>
            <w:proofErr w:type="spellStart"/>
            <w:r w:rsidRPr="00807C42">
              <w:rPr>
                <w:rFonts w:ascii="Calibri" w:eastAsia="Times New Roman" w:hAnsi="Calibri" w:cs="Calibri"/>
                <w:color w:val="000000"/>
                <w:lang w:val="fr-FR" w:eastAsia="fi-FI"/>
              </w:rPr>
              <w:t>emissions</w:t>
            </w:r>
            <w:proofErr w:type="spellEnd"/>
            <w:r w:rsidRPr="00807C42">
              <w:rPr>
                <w:rFonts w:ascii="Calibri" w:eastAsia="Times New Roman" w:hAnsi="Calibri" w:cs="Calibri"/>
                <w:color w:val="000000"/>
                <w:lang w:val="fr-FR" w:eastAsia="fi-FI"/>
              </w:rPr>
              <w:t xml:space="preserve">, non-CO2 </w:t>
            </w:r>
            <w:proofErr w:type="spellStart"/>
            <w:r w:rsidRPr="00807C42">
              <w:rPr>
                <w:rFonts w:ascii="Calibri" w:eastAsia="Times New Roman" w:hAnsi="Calibri" w:cs="Calibri"/>
                <w:color w:val="000000"/>
                <w:lang w:val="fr-FR" w:eastAsia="fi-FI"/>
              </w:rPr>
              <w:t>emissions</w:t>
            </w:r>
            <w:proofErr w:type="spellEnd"/>
          </w:p>
        </w:tc>
      </w:tr>
      <w:tr w:rsidR="00807C42" w:rsidRPr="00807C42" w14:paraId="7BEFA9BC" w14:textId="77777777" w:rsidTr="00807C42">
        <w:trPr>
          <w:trHeight w:val="1740"/>
        </w:trPr>
        <w:tc>
          <w:tcPr>
            <w:tcW w:w="826" w:type="pct"/>
            <w:noWrap/>
            <w:hideMark/>
          </w:tcPr>
          <w:p w14:paraId="67A3D075"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1 Current state and expected development of greenhouse gas emissions from aviation</w:t>
            </w:r>
          </w:p>
        </w:tc>
        <w:tc>
          <w:tcPr>
            <w:tcW w:w="292" w:type="pct"/>
            <w:noWrap/>
            <w:hideMark/>
          </w:tcPr>
          <w:p w14:paraId="1280FF02"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10</w:t>
            </w:r>
          </w:p>
        </w:tc>
        <w:tc>
          <w:tcPr>
            <w:tcW w:w="3213" w:type="pct"/>
            <w:hideMark/>
          </w:tcPr>
          <w:p w14:paraId="79C3B5C8"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While more research is required of these emissions and the occurrence and measurement of their impact, it is clear </w:t>
            </w:r>
            <w:proofErr w:type="gramStart"/>
            <w:r w:rsidRPr="00807C42">
              <w:rPr>
                <w:rFonts w:ascii="Calibri" w:eastAsia="Times New Roman" w:hAnsi="Calibri" w:cs="Calibri"/>
                <w:color w:val="000000"/>
                <w:lang w:val="en-GB" w:eastAsia="fi-FI"/>
              </w:rPr>
              <w:t>on the basis of</w:t>
            </w:r>
            <w:proofErr w:type="gramEnd"/>
            <w:r w:rsidRPr="00807C42">
              <w:rPr>
                <w:rFonts w:ascii="Calibri" w:eastAsia="Times New Roman" w:hAnsi="Calibri" w:cs="Calibri"/>
                <w:color w:val="000000"/>
                <w:lang w:val="en-GB" w:eastAsia="fi-FI"/>
              </w:rPr>
              <w:t xml:space="preserve"> the aforementioned study that the use of sustainable aviation fuels can reduce not only carbon dioxide emissions, but also other emissions that increase global warming. This further increases the importance of the rapid adoption of more sustainable aviation fuels.</w:t>
            </w:r>
          </w:p>
        </w:tc>
        <w:tc>
          <w:tcPr>
            <w:tcW w:w="669" w:type="pct"/>
            <w:noWrap/>
            <w:hideMark/>
          </w:tcPr>
          <w:p w14:paraId="6421B37D"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non-CO2 emissions, SAF</w:t>
            </w:r>
          </w:p>
        </w:tc>
      </w:tr>
      <w:tr w:rsidR="00807C42" w:rsidRPr="00807C42" w14:paraId="3A461509" w14:textId="77777777" w:rsidTr="00D15027">
        <w:trPr>
          <w:trHeight w:val="2116"/>
        </w:trPr>
        <w:tc>
          <w:tcPr>
            <w:tcW w:w="826" w:type="pct"/>
            <w:noWrap/>
            <w:hideMark/>
          </w:tcPr>
          <w:p w14:paraId="6893EF97"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lastRenderedPageBreak/>
              <w:t>2 Goals and measures to reduce greenhouse gas emissions from aviation</w:t>
            </w:r>
          </w:p>
        </w:tc>
        <w:tc>
          <w:tcPr>
            <w:tcW w:w="292" w:type="pct"/>
            <w:noWrap/>
            <w:hideMark/>
          </w:tcPr>
          <w:p w14:paraId="0E5B6D18"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11</w:t>
            </w:r>
          </w:p>
        </w:tc>
        <w:tc>
          <w:tcPr>
            <w:tcW w:w="3213" w:type="pct"/>
            <w:hideMark/>
          </w:tcPr>
          <w:p w14:paraId="6474E125"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Finland is committed to the goals of the ICAO and the EU to reduce emissions from aviation. While Finland has not had any separate numerical targets based on these goals, the opportunities to reduce emissions from domestic and outgoing international flights were assessed during the preparation of the roadmap for fossil-free transport. Finland is committed to the goals of the ICAO and the EU to reduce emissions from aviation. While Finland has not had any separate numerical targets based on these goals, the opportunities to reduce emissions from domestic and outgoing international flights were assessed during the preparation of the roadmap for fossil-free transport.</w:t>
            </w:r>
          </w:p>
        </w:tc>
        <w:tc>
          <w:tcPr>
            <w:tcW w:w="669" w:type="pct"/>
            <w:noWrap/>
            <w:hideMark/>
          </w:tcPr>
          <w:p w14:paraId="72EE47D1"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targets</w:t>
            </w:r>
          </w:p>
        </w:tc>
      </w:tr>
      <w:tr w:rsidR="00807C42" w:rsidRPr="00807C42" w14:paraId="1E20E2C5" w14:textId="77777777" w:rsidTr="007E078E">
        <w:trPr>
          <w:trHeight w:val="1124"/>
        </w:trPr>
        <w:tc>
          <w:tcPr>
            <w:tcW w:w="826" w:type="pct"/>
            <w:noWrap/>
            <w:hideMark/>
          </w:tcPr>
          <w:p w14:paraId="354FFC77"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2 Goals and measures to reduce greenhouse gas emissions from aviation</w:t>
            </w:r>
          </w:p>
        </w:tc>
        <w:tc>
          <w:tcPr>
            <w:tcW w:w="292" w:type="pct"/>
            <w:noWrap/>
            <w:hideMark/>
          </w:tcPr>
          <w:p w14:paraId="5895293C"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11</w:t>
            </w:r>
          </w:p>
        </w:tc>
        <w:tc>
          <w:tcPr>
            <w:tcW w:w="3213" w:type="pct"/>
            <w:hideMark/>
          </w:tcPr>
          <w:p w14:paraId="6D5BD1FD"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To achieve this goal, the distribution obligation for sustainable aviation fuels must be adopted as defined in Prime Minister Sanna Marin’s Government Programme (targeting 30 per cent by 2030).</w:t>
            </w:r>
          </w:p>
        </w:tc>
        <w:tc>
          <w:tcPr>
            <w:tcW w:w="669" w:type="pct"/>
            <w:noWrap/>
            <w:hideMark/>
          </w:tcPr>
          <w:p w14:paraId="7693C607"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SAF, distribution obligation</w:t>
            </w:r>
          </w:p>
        </w:tc>
      </w:tr>
      <w:tr w:rsidR="00807C42" w:rsidRPr="00807C42" w14:paraId="571066C8" w14:textId="77777777" w:rsidTr="007E078E">
        <w:trPr>
          <w:trHeight w:val="1268"/>
        </w:trPr>
        <w:tc>
          <w:tcPr>
            <w:tcW w:w="826" w:type="pct"/>
            <w:noWrap/>
            <w:hideMark/>
          </w:tcPr>
          <w:p w14:paraId="4E57F2B2"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2 Goals and measures to reduce greenhouse gas emissions from aviation</w:t>
            </w:r>
          </w:p>
        </w:tc>
        <w:tc>
          <w:tcPr>
            <w:tcW w:w="292" w:type="pct"/>
            <w:noWrap/>
            <w:hideMark/>
          </w:tcPr>
          <w:p w14:paraId="1F06827D"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11</w:t>
            </w:r>
          </w:p>
        </w:tc>
        <w:tc>
          <w:tcPr>
            <w:tcW w:w="3213" w:type="pct"/>
            <w:hideMark/>
          </w:tcPr>
          <w:p w14:paraId="57C8B77F"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Correspondingly, emissions could be reduced by 35–60 per cent by 2045, depending on the level of the distribution obligation for sustainable aviation fuels, which should be 50–70 per cent to achieve the </w:t>
            </w:r>
            <w:proofErr w:type="gramStart"/>
            <w:r w:rsidRPr="00807C42">
              <w:rPr>
                <w:rFonts w:ascii="Calibri" w:eastAsia="Times New Roman" w:hAnsi="Calibri" w:cs="Calibri"/>
                <w:color w:val="000000"/>
                <w:lang w:val="en-GB" w:eastAsia="fi-FI"/>
              </w:rPr>
              <w:t>aforementioned emissions reductions</w:t>
            </w:r>
            <w:proofErr w:type="gramEnd"/>
            <w:r w:rsidRPr="00807C42">
              <w:rPr>
                <w:rFonts w:ascii="Calibri" w:eastAsia="Times New Roman" w:hAnsi="Calibri" w:cs="Calibri"/>
                <w:color w:val="000000"/>
                <w:lang w:val="en-GB" w:eastAsia="fi-FI"/>
              </w:rPr>
              <w:t xml:space="preserve"> and therefore probably higher than potential international obligations.</w:t>
            </w:r>
          </w:p>
        </w:tc>
        <w:tc>
          <w:tcPr>
            <w:tcW w:w="669" w:type="pct"/>
            <w:noWrap/>
            <w:hideMark/>
          </w:tcPr>
          <w:p w14:paraId="4A3464EB"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targets, SAF, distribution obligation</w:t>
            </w:r>
          </w:p>
        </w:tc>
      </w:tr>
      <w:tr w:rsidR="00807C42" w:rsidRPr="00807C42" w14:paraId="346A8DC3" w14:textId="77777777" w:rsidTr="00D15027">
        <w:trPr>
          <w:trHeight w:val="1827"/>
        </w:trPr>
        <w:tc>
          <w:tcPr>
            <w:tcW w:w="826" w:type="pct"/>
            <w:noWrap/>
            <w:hideMark/>
          </w:tcPr>
          <w:p w14:paraId="697D91F9"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2 Goals and measures to reduce greenhouse gas emissions from aviation</w:t>
            </w:r>
          </w:p>
        </w:tc>
        <w:tc>
          <w:tcPr>
            <w:tcW w:w="292" w:type="pct"/>
            <w:noWrap/>
            <w:hideMark/>
          </w:tcPr>
          <w:p w14:paraId="1155F9EB"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11</w:t>
            </w:r>
          </w:p>
        </w:tc>
        <w:tc>
          <w:tcPr>
            <w:tcW w:w="3213" w:type="pct"/>
            <w:hideMark/>
          </w:tcPr>
          <w:p w14:paraId="2A615489"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The EU does not have any actual goal to reduce emissions from aviation. However, aviation is the only mode of transport within the scope of emissions trading at present and is therefore part of the emissions reduction goals in the emissions trading sector. Currently, this is 43 per cent of 2005 levels by 2030, but it will be increased because in December 2020 the European Council approved a binding net reduction target for greenhouse gas emissions within the EU of at least 55 per cent of the 1990 level by 2030. </w:t>
            </w:r>
          </w:p>
        </w:tc>
        <w:tc>
          <w:tcPr>
            <w:tcW w:w="669" w:type="pct"/>
            <w:noWrap/>
            <w:hideMark/>
          </w:tcPr>
          <w:p w14:paraId="72F4CD07"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targets, ETS</w:t>
            </w:r>
          </w:p>
        </w:tc>
      </w:tr>
      <w:tr w:rsidR="00807C42" w:rsidRPr="00807C42" w14:paraId="1031D5A6" w14:textId="77777777" w:rsidTr="00807C42">
        <w:trPr>
          <w:trHeight w:val="1160"/>
        </w:trPr>
        <w:tc>
          <w:tcPr>
            <w:tcW w:w="826" w:type="pct"/>
            <w:noWrap/>
            <w:hideMark/>
          </w:tcPr>
          <w:p w14:paraId="3E2A94E2"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2 Goals and measures to reduce greenhouse gas emissions from aviation</w:t>
            </w:r>
          </w:p>
        </w:tc>
        <w:tc>
          <w:tcPr>
            <w:tcW w:w="292" w:type="pct"/>
            <w:noWrap/>
            <w:hideMark/>
          </w:tcPr>
          <w:p w14:paraId="029E69F6"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11</w:t>
            </w:r>
          </w:p>
        </w:tc>
        <w:tc>
          <w:tcPr>
            <w:tcW w:w="3213" w:type="pct"/>
            <w:hideMark/>
          </w:tcPr>
          <w:p w14:paraId="1253BD44"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The ICAO has set carbon-neutral growth as a goal for international aviation from 2020 onwards and a two per cent annual improvement in fuel efficiency by 2050. However, the ICAO estimates that it is unlikely that </w:t>
            </w:r>
            <w:proofErr w:type="gramStart"/>
            <w:r w:rsidRPr="00807C42">
              <w:rPr>
                <w:rFonts w:ascii="Calibri" w:eastAsia="Times New Roman" w:hAnsi="Calibri" w:cs="Calibri"/>
                <w:color w:val="000000"/>
                <w:lang w:val="en-GB" w:eastAsia="fi-FI"/>
              </w:rPr>
              <w:t>both of these</w:t>
            </w:r>
            <w:proofErr w:type="gramEnd"/>
            <w:r w:rsidRPr="00807C42">
              <w:rPr>
                <w:rFonts w:ascii="Calibri" w:eastAsia="Times New Roman" w:hAnsi="Calibri" w:cs="Calibri"/>
                <w:color w:val="000000"/>
                <w:lang w:val="en-GB" w:eastAsia="fi-FI"/>
              </w:rPr>
              <w:t xml:space="preserve"> goals can be achieved.</w:t>
            </w:r>
          </w:p>
        </w:tc>
        <w:tc>
          <w:tcPr>
            <w:tcW w:w="669" w:type="pct"/>
            <w:noWrap/>
            <w:hideMark/>
          </w:tcPr>
          <w:p w14:paraId="31908457"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 xml:space="preserve">international </w:t>
            </w:r>
            <w:proofErr w:type="spellStart"/>
            <w:r w:rsidRPr="00807C42">
              <w:rPr>
                <w:rFonts w:ascii="Calibri" w:eastAsia="Times New Roman" w:hAnsi="Calibri" w:cs="Calibri"/>
                <w:color w:val="000000"/>
                <w:lang w:eastAsia="fi-FI"/>
              </w:rPr>
              <w:t>organisations</w:t>
            </w:r>
            <w:proofErr w:type="spellEnd"/>
            <w:r w:rsidRPr="00807C42">
              <w:rPr>
                <w:rFonts w:ascii="Calibri" w:eastAsia="Times New Roman" w:hAnsi="Calibri" w:cs="Calibri"/>
                <w:color w:val="000000"/>
                <w:lang w:eastAsia="fi-FI"/>
              </w:rPr>
              <w:t>, targets, CORSIA, efficiency</w:t>
            </w:r>
          </w:p>
        </w:tc>
      </w:tr>
      <w:tr w:rsidR="00807C42" w:rsidRPr="00807C42" w14:paraId="7C05AEAB" w14:textId="77777777" w:rsidTr="00D15027">
        <w:trPr>
          <w:trHeight w:val="1974"/>
        </w:trPr>
        <w:tc>
          <w:tcPr>
            <w:tcW w:w="826" w:type="pct"/>
            <w:noWrap/>
            <w:hideMark/>
          </w:tcPr>
          <w:p w14:paraId="7A79F201"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2 Goals and measures to reduce greenhouse gas emissions from aviation</w:t>
            </w:r>
          </w:p>
        </w:tc>
        <w:tc>
          <w:tcPr>
            <w:tcW w:w="292" w:type="pct"/>
            <w:noWrap/>
            <w:hideMark/>
          </w:tcPr>
          <w:p w14:paraId="3345FBF6"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12</w:t>
            </w:r>
          </w:p>
        </w:tc>
        <w:tc>
          <w:tcPr>
            <w:tcW w:w="3213" w:type="pct"/>
            <w:hideMark/>
          </w:tcPr>
          <w:p w14:paraId="1EDFDFEA"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The standard methods to reduce aviation emissions include the introduction of new technologies (the next aircraft generation may be up to 25 per cent more energy efficient than its predecessor), operational improvements (e.g., the development of airspace management and airfield operations), and sustainable aviation fuels. In addition, emissions can be reduced by means of pricing, either through various taxes or market mechanisms. In the ICAO and the EU, Finland has supported agreements on ambitious measures to reduce aviation emissions.</w:t>
            </w:r>
          </w:p>
        </w:tc>
        <w:tc>
          <w:tcPr>
            <w:tcW w:w="669" w:type="pct"/>
            <w:noWrap/>
            <w:hideMark/>
          </w:tcPr>
          <w:p w14:paraId="0D9DDBCB"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policy measures</w:t>
            </w:r>
          </w:p>
        </w:tc>
      </w:tr>
      <w:tr w:rsidR="00807C42" w:rsidRPr="00807C42" w14:paraId="57415AF4" w14:textId="77777777" w:rsidTr="007E078E">
        <w:trPr>
          <w:trHeight w:val="1548"/>
        </w:trPr>
        <w:tc>
          <w:tcPr>
            <w:tcW w:w="826" w:type="pct"/>
            <w:noWrap/>
            <w:hideMark/>
          </w:tcPr>
          <w:p w14:paraId="1717E7F9"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lastRenderedPageBreak/>
              <w:t>2 Goals and measures to reduce greenhouse gas emissions from aviation</w:t>
            </w:r>
          </w:p>
        </w:tc>
        <w:tc>
          <w:tcPr>
            <w:tcW w:w="292" w:type="pct"/>
            <w:noWrap/>
            <w:hideMark/>
          </w:tcPr>
          <w:p w14:paraId="0B2B0BEF"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12</w:t>
            </w:r>
          </w:p>
        </w:tc>
        <w:tc>
          <w:tcPr>
            <w:tcW w:w="3213" w:type="pct"/>
            <w:hideMark/>
          </w:tcPr>
          <w:p w14:paraId="0D7591F4"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In this resolution, the measures to reduce greenhouse gas emissions from aviation have been divided according to whether they concern a transition to alternative power sources and fuels (Chapter 2.1), increases in the energy efficiency of the transport system and modes of transport (Chapter 2.2) or pricing (Chapter 2.3). Guidelines concerning international cooperation have been discussed under each theme, together with national measures. </w:t>
            </w:r>
          </w:p>
        </w:tc>
        <w:tc>
          <w:tcPr>
            <w:tcW w:w="669" w:type="pct"/>
            <w:noWrap/>
            <w:hideMark/>
          </w:tcPr>
          <w:p w14:paraId="726CE95C"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 xml:space="preserve">policy measures, international </w:t>
            </w:r>
            <w:proofErr w:type="spellStart"/>
            <w:r w:rsidRPr="00807C42">
              <w:rPr>
                <w:rFonts w:ascii="Calibri" w:eastAsia="Times New Roman" w:hAnsi="Calibri" w:cs="Calibri"/>
                <w:color w:val="000000"/>
                <w:lang w:eastAsia="fi-FI"/>
              </w:rPr>
              <w:t>organisations</w:t>
            </w:r>
            <w:proofErr w:type="spellEnd"/>
          </w:p>
        </w:tc>
      </w:tr>
      <w:tr w:rsidR="00807C42" w:rsidRPr="00807C42" w14:paraId="74207AF4" w14:textId="77777777" w:rsidTr="00807C42">
        <w:trPr>
          <w:trHeight w:val="1160"/>
        </w:trPr>
        <w:tc>
          <w:tcPr>
            <w:tcW w:w="826" w:type="pct"/>
            <w:noWrap/>
            <w:hideMark/>
          </w:tcPr>
          <w:p w14:paraId="3D114402"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2 Goals and measures to reduce greenhouse gas emissions from aviation</w:t>
            </w:r>
          </w:p>
        </w:tc>
        <w:tc>
          <w:tcPr>
            <w:tcW w:w="292" w:type="pct"/>
            <w:noWrap/>
            <w:hideMark/>
          </w:tcPr>
          <w:p w14:paraId="5A6AC656"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12</w:t>
            </w:r>
          </w:p>
        </w:tc>
        <w:tc>
          <w:tcPr>
            <w:tcW w:w="3213" w:type="pct"/>
            <w:hideMark/>
          </w:tcPr>
          <w:p w14:paraId="4D47ACBB"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val="en-GB" w:eastAsia="fi-FI"/>
              </w:rPr>
              <w:t xml:space="preserve">Through the implementation of the measures listed in this resolution, the Government aims to reduce the emissions of domestic and outgoing international flights by 15 per cent from the 2018 level by 2030 and by 50 per cent by 2045. </w:t>
            </w:r>
            <w:r w:rsidRPr="00807C42">
              <w:rPr>
                <w:rFonts w:ascii="Calibri" w:eastAsia="Times New Roman" w:hAnsi="Calibri" w:cs="Calibri"/>
                <w:color w:val="000000"/>
                <w:lang w:eastAsia="fi-FI"/>
              </w:rPr>
              <w:t>Domestic aviation should be emissions-free by 2045.</w:t>
            </w:r>
          </w:p>
        </w:tc>
        <w:tc>
          <w:tcPr>
            <w:tcW w:w="669" w:type="pct"/>
            <w:noWrap/>
            <w:hideMark/>
          </w:tcPr>
          <w:p w14:paraId="51BA5374"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targets</w:t>
            </w:r>
          </w:p>
        </w:tc>
      </w:tr>
      <w:tr w:rsidR="00807C42" w:rsidRPr="00807C42" w14:paraId="2B0182ED" w14:textId="77777777" w:rsidTr="00807C42">
        <w:trPr>
          <w:trHeight w:val="1450"/>
        </w:trPr>
        <w:tc>
          <w:tcPr>
            <w:tcW w:w="826" w:type="pct"/>
            <w:noWrap/>
            <w:hideMark/>
          </w:tcPr>
          <w:p w14:paraId="049EF01D"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2 Goals and measures to reduce greenhouse gas emissions from aviation</w:t>
            </w:r>
          </w:p>
        </w:tc>
        <w:tc>
          <w:tcPr>
            <w:tcW w:w="292" w:type="pct"/>
            <w:noWrap/>
            <w:hideMark/>
          </w:tcPr>
          <w:p w14:paraId="606E4321"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12</w:t>
            </w:r>
          </w:p>
        </w:tc>
        <w:tc>
          <w:tcPr>
            <w:tcW w:w="3213" w:type="pct"/>
            <w:hideMark/>
          </w:tcPr>
          <w:p w14:paraId="0112247B"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Regarding the achievement of the goals, CO2 emissions from aviation registered in statistics are only </w:t>
            </w:r>
            <w:proofErr w:type="gramStart"/>
            <w:r w:rsidRPr="00807C42">
              <w:rPr>
                <w:rFonts w:ascii="Calibri" w:eastAsia="Times New Roman" w:hAnsi="Calibri" w:cs="Calibri"/>
                <w:color w:val="000000"/>
                <w:lang w:val="en-GB" w:eastAsia="fi-FI"/>
              </w:rPr>
              <w:t>taken into account</w:t>
            </w:r>
            <w:proofErr w:type="gramEnd"/>
            <w:r w:rsidRPr="00807C42">
              <w:rPr>
                <w:rFonts w:ascii="Calibri" w:eastAsia="Times New Roman" w:hAnsi="Calibri" w:cs="Calibri"/>
                <w:color w:val="000000"/>
                <w:lang w:val="en-GB" w:eastAsia="fi-FI"/>
              </w:rPr>
              <w:t>, including emissions reductions during the lifecycle of sustainable aviation fuels. Any indirect emissions reductions resulting from different market mechanisms in other sectors are not included in the goals.</w:t>
            </w:r>
          </w:p>
        </w:tc>
        <w:tc>
          <w:tcPr>
            <w:tcW w:w="669" w:type="pct"/>
            <w:noWrap/>
            <w:hideMark/>
          </w:tcPr>
          <w:p w14:paraId="300E2DD8"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targets, lifecycle emissions</w:t>
            </w:r>
          </w:p>
        </w:tc>
      </w:tr>
      <w:tr w:rsidR="00807C42" w:rsidRPr="00807C42" w14:paraId="75C8E1BF" w14:textId="77777777" w:rsidTr="00C13F1A">
        <w:trPr>
          <w:trHeight w:val="1338"/>
        </w:trPr>
        <w:tc>
          <w:tcPr>
            <w:tcW w:w="826" w:type="pct"/>
            <w:noWrap/>
            <w:hideMark/>
          </w:tcPr>
          <w:p w14:paraId="0431C80C"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2 Goals and measures to reduce greenhouse gas emissions from aviation</w:t>
            </w:r>
          </w:p>
        </w:tc>
        <w:tc>
          <w:tcPr>
            <w:tcW w:w="292" w:type="pct"/>
            <w:noWrap/>
            <w:hideMark/>
          </w:tcPr>
          <w:p w14:paraId="04D4218C"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12</w:t>
            </w:r>
          </w:p>
        </w:tc>
        <w:tc>
          <w:tcPr>
            <w:tcW w:w="3213" w:type="pct"/>
            <w:hideMark/>
          </w:tcPr>
          <w:p w14:paraId="59179947"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The implementation of the resolution must be monitored closely to ensure that climate measures in aviation are in line with the global average temperature increase of 1.5 degrees Celsius set as a goal in the Paris Agreement. Achieving this is likely to require that the global warming potential of aviation be </w:t>
            </w:r>
            <w:proofErr w:type="gramStart"/>
            <w:r w:rsidRPr="00807C42">
              <w:rPr>
                <w:rFonts w:ascii="Calibri" w:eastAsia="Times New Roman" w:hAnsi="Calibri" w:cs="Calibri"/>
                <w:color w:val="000000"/>
                <w:lang w:val="en-GB" w:eastAsia="fi-FI"/>
              </w:rPr>
              <w:t>completely eliminated</w:t>
            </w:r>
            <w:proofErr w:type="gramEnd"/>
            <w:r w:rsidRPr="00807C42">
              <w:rPr>
                <w:rFonts w:ascii="Calibri" w:eastAsia="Times New Roman" w:hAnsi="Calibri" w:cs="Calibri"/>
                <w:color w:val="000000"/>
                <w:lang w:val="en-GB" w:eastAsia="fi-FI"/>
              </w:rPr>
              <w:t xml:space="preserve"> by 2050.</w:t>
            </w:r>
          </w:p>
        </w:tc>
        <w:tc>
          <w:tcPr>
            <w:tcW w:w="669" w:type="pct"/>
            <w:noWrap/>
            <w:hideMark/>
          </w:tcPr>
          <w:p w14:paraId="79601314"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Paris Agreement</w:t>
            </w:r>
          </w:p>
        </w:tc>
      </w:tr>
      <w:tr w:rsidR="00807C42" w:rsidRPr="00807C42" w14:paraId="0090979B" w14:textId="77777777" w:rsidTr="00C13F1A">
        <w:trPr>
          <w:trHeight w:val="1004"/>
        </w:trPr>
        <w:tc>
          <w:tcPr>
            <w:tcW w:w="826" w:type="pct"/>
            <w:noWrap/>
            <w:hideMark/>
          </w:tcPr>
          <w:p w14:paraId="4AEC0A0E"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2.1 Promoting alternative power sources</w:t>
            </w:r>
          </w:p>
        </w:tc>
        <w:tc>
          <w:tcPr>
            <w:tcW w:w="292" w:type="pct"/>
            <w:noWrap/>
            <w:hideMark/>
          </w:tcPr>
          <w:p w14:paraId="5C4A9F0A"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12</w:t>
            </w:r>
          </w:p>
        </w:tc>
        <w:tc>
          <w:tcPr>
            <w:tcW w:w="3213" w:type="pct"/>
            <w:hideMark/>
          </w:tcPr>
          <w:p w14:paraId="35C42850"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The lack of alternative power sources in aviation and the slow electrification due to the insufficient energy density of batteries highlight the importance of the adoption of sustainable aviation fuels. According to current knowledge, liquid aviation fuels will be used extensively at least until the 2050s.</w:t>
            </w:r>
          </w:p>
        </w:tc>
        <w:tc>
          <w:tcPr>
            <w:tcW w:w="669" w:type="pct"/>
            <w:noWrap/>
            <w:hideMark/>
          </w:tcPr>
          <w:p w14:paraId="414B4B32"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SAF, technological readiness</w:t>
            </w:r>
          </w:p>
        </w:tc>
      </w:tr>
      <w:tr w:rsidR="00807C42" w:rsidRPr="00807C42" w14:paraId="456987AD" w14:textId="77777777" w:rsidTr="00C13F1A">
        <w:trPr>
          <w:trHeight w:val="960"/>
        </w:trPr>
        <w:tc>
          <w:tcPr>
            <w:tcW w:w="826" w:type="pct"/>
            <w:noWrap/>
            <w:hideMark/>
          </w:tcPr>
          <w:p w14:paraId="27C928CA"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2.1 Promoting alternative power sources</w:t>
            </w:r>
          </w:p>
        </w:tc>
        <w:tc>
          <w:tcPr>
            <w:tcW w:w="292" w:type="pct"/>
            <w:noWrap/>
            <w:hideMark/>
          </w:tcPr>
          <w:p w14:paraId="6B2E83B4"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12</w:t>
            </w:r>
          </w:p>
        </w:tc>
        <w:tc>
          <w:tcPr>
            <w:tcW w:w="3213" w:type="pct"/>
            <w:hideMark/>
          </w:tcPr>
          <w:p w14:paraId="727F84AD"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In various contexts, the ICAO has urged its member countries to adopt effective policy measures to reduce emissions by using sustainable aviation fuels, but the ICAO is not expected to issue any global obligations for their adoption </w:t>
            </w:r>
            <w:proofErr w:type="gramStart"/>
            <w:r w:rsidRPr="00807C42">
              <w:rPr>
                <w:rFonts w:ascii="Calibri" w:eastAsia="Times New Roman" w:hAnsi="Calibri" w:cs="Calibri"/>
                <w:color w:val="000000"/>
                <w:lang w:val="en-GB" w:eastAsia="fi-FI"/>
              </w:rPr>
              <w:t>in the near future</w:t>
            </w:r>
            <w:proofErr w:type="gramEnd"/>
            <w:r w:rsidRPr="00807C42">
              <w:rPr>
                <w:rFonts w:ascii="Calibri" w:eastAsia="Times New Roman" w:hAnsi="Calibri" w:cs="Calibri"/>
                <w:color w:val="000000"/>
                <w:lang w:val="en-GB" w:eastAsia="fi-FI"/>
              </w:rPr>
              <w:t xml:space="preserve">. </w:t>
            </w:r>
          </w:p>
        </w:tc>
        <w:tc>
          <w:tcPr>
            <w:tcW w:w="669" w:type="pct"/>
            <w:noWrap/>
            <w:hideMark/>
          </w:tcPr>
          <w:p w14:paraId="2111DD75"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 xml:space="preserve">international </w:t>
            </w:r>
            <w:proofErr w:type="spellStart"/>
            <w:r w:rsidRPr="00807C42">
              <w:rPr>
                <w:rFonts w:ascii="Calibri" w:eastAsia="Times New Roman" w:hAnsi="Calibri" w:cs="Calibri"/>
                <w:color w:val="000000"/>
                <w:lang w:eastAsia="fi-FI"/>
              </w:rPr>
              <w:t>organisations</w:t>
            </w:r>
            <w:proofErr w:type="spellEnd"/>
            <w:r w:rsidRPr="00807C42">
              <w:rPr>
                <w:rFonts w:ascii="Calibri" w:eastAsia="Times New Roman" w:hAnsi="Calibri" w:cs="Calibri"/>
                <w:color w:val="000000"/>
                <w:lang w:eastAsia="fi-FI"/>
              </w:rPr>
              <w:t>, SAF</w:t>
            </w:r>
          </w:p>
        </w:tc>
      </w:tr>
      <w:tr w:rsidR="00807C42" w:rsidRPr="00807C42" w14:paraId="1BCB4A86" w14:textId="77777777" w:rsidTr="00807C42">
        <w:trPr>
          <w:trHeight w:val="1450"/>
        </w:trPr>
        <w:tc>
          <w:tcPr>
            <w:tcW w:w="826" w:type="pct"/>
            <w:noWrap/>
            <w:hideMark/>
          </w:tcPr>
          <w:p w14:paraId="5D072903"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2.1 Promoting alternative power sources</w:t>
            </w:r>
          </w:p>
        </w:tc>
        <w:tc>
          <w:tcPr>
            <w:tcW w:w="292" w:type="pct"/>
            <w:noWrap/>
            <w:hideMark/>
          </w:tcPr>
          <w:p w14:paraId="76BD33E0"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12</w:t>
            </w:r>
          </w:p>
        </w:tc>
        <w:tc>
          <w:tcPr>
            <w:tcW w:w="3213" w:type="pct"/>
            <w:hideMark/>
          </w:tcPr>
          <w:p w14:paraId="537C05C5"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Instead, the European Commission is preparing the </w:t>
            </w:r>
            <w:proofErr w:type="spellStart"/>
            <w:r w:rsidRPr="00807C42">
              <w:rPr>
                <w:rFonts w:ascii="Calibri" w:eastAsia="Times New Roman" w:hAnsi="Calibri" w:cs="Calibri"/>
                <w:color w:val="000000"/>
                <w:lang w:val="en-GB" w:eastAsia="fi-FI"/>
              </w:rPr>
              <w:t>ReFuelEU</w:t>
            </w:r>
            <w:proofErr w:type="spellEnd"/>
            <w:r w:rsidRPr="00807C42">
              <w:rPr>
                <w:rFonts w:ascii="Calibri" w:eastAsia="Times New Roman" w:hAnsi="Calibri" w:cs="Calibri"/>
                <w:color w:val="000000"/>
                <w:lang w:val="en-GB" w:eastAsia="fi-FI"/>
              </w:rPr>
              <w:t xml:space="preserve"> Aviation initiative to increase the currently low use of sustainable aviation fuels in the EU. As preliminary options, the Commission has presented the distribution obligation, a higher number of different incentives and the adoption of a centralised auction mechanism for sustainable aviation fuels, for example.</w:t>
            </w:r>
          </w:p>
        </w:tc>
        <w:tc>
          <w:tcPr>
            <w:tcW w:w="669" w:type="pct"/>
            <w:noWrap/>
            <w:hideMark/>
          </w:tcPr>
          <w:p w14:paraId="57F637E6"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EU, SAF, distribution obligation</w:t>
            </w:r>
          </w:p>
        </w:tc>
      </w:tr>
      <w:tr w:rsidR="00807C42" w:rsidRPr="00807C42" w14:paraId="26783424" w14:textId="77777777" w:rsidTr="00C13F1A">
        <w:trPr>
          <w:trHeight w:val="1548"/>
        </w:trPr>
        <w:tc>
          <w:tcPr>
            <w:tcW w:w="826" w:type="pct"/>
            <w:noWrap/>
            <w:hideMark/>
          </w:tcPr>
          <w:p w14:paraId="7354C1E8"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lastRenderedPageBreak/>
              <w:t>2.1 Promoting alternative power sources</w:t>
            </w:r>
          </w:p>
        </w:tc>
        <w:tc>
          <w:tcPr>
            <w:tcW w:w="292" w:type="pct"/>
            <w:noWrap/>
            <w:hideMark/>
          </w:tcPr>
          <w:p w14:paraId="159FCC82"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13</w:t>
            </w:r>
          </w:p>
        </w:tc>
        <w:tc>
          <w:tcPr>
            <w:tcW w:w="3213" w:type="pct"/>
            <w:hideMark/>
          </w:tcPr>
          <w:p w14:paraId="2E754802"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In the Government Programme, the aim is to reduce emissions from aviation by adopting a blending obligation for sustainable aviation fuels, and the target for the ratio of renewables has been set at 30 per cent by 2030. According to the roadmap working group’s estimates, the blending or distribution obligation is the most effective national policy instrument to increase the ratio of sustainable aviation fuels in traffic both in the short term and the long term.</w:t>
            </w:r>
          </w:p>
        </w:tc>
        <w:tc>
          <w:tcPr>
            <w:tcW w:w="669" w:type="pct"/>
            <w:noWrap/>
            <w:hideMark/>
          </w:tcPr>
          <w:p w14:paraId="645831B7"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SAF, distribution obligation</w:t>
            </w:r>
          </w:p>
        </w:tc>
      </w:tr>
      <w:tr w:rsidR="00807C42" w:rsidRPr="00807C42" w14:paraId="77A69F2E" w14:textId="77777777" w:rsidTr="00C13F1A">
        <w:trPr>
          <w:trHeight w:val="988"/>
        </w:trPr>
        <w:tc>
          <w:tcPr>
            <w:tcW w:w="826" w:type="pct"/>
            <w:noWrap/>
            <w:hideMark/>
          </w:tcPr>
          <w:p w14:paraId="61066E5E"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2.1 Promoting alternative power sources</w:t>
            </w:r>
          </w:p>
        </w:tc>
        <w:tc>
          <w:tcPr>
            <w:tcW w:w="292" w:type="pct"/>
            <w:noWrap/>
            <w:hideMark/>
          </w:tcPr>
          <w:p w14:paraId="4EC4E516"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13</w:t>
            </w:r>
          </w:p>
        </w:tc>
        <w:tc>
          <w:tcPr>
            <w:tcW w:w="3213" w:type="pct"/>
            <w:hideMark/>
          </w:tcPr>
          <w:p w14:paraId="72956E22"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The significance of electric fuels in reducing emissions from aviation is very high in the long term, as it would be otherwise difficult to effectively reduce emissions from long-distance flights, in particular.</w:t>
            </w:r>
          </w:p>
        </w:tc>
        <w:tc>
          <w:tcPr>
            <w:tcW w:w="669" w:type="pct"/>
            <w:noWrap/>
            <w:hideMark/>
          </w:tcPr>
          <w:p w14:paraId="69AEF2D4"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SAF</w:t>
            </w:r>
          </w:p>
        </w:tc>
      </w:tr>
      <w:tr w:rsidR="00807C42" w:rsidRPr="00322E35" w14:paraId="6AC3D771" w14:textId="77777777" w:rsidTr="00C13F1A">
        <w:trPr>
          <w:trHeight w:val="1258"/>
        </w:trPr>
        <w:tc>
          <w:tcPr>
            <w:tcW w:w="826" w:type="pct"/>
            <w:noWrap/>
            <w:hideMark/>
          </w:tcPr>
          <w:p w14:paraId="7AFBF33D"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2.1 Promoting alternative power sources</w:t>
            </w:r>
          </w:p>
        </w:tc>
        <w:tc>
          <w:tcPr>
            <w:tcW w:w="292" w:type="pct"/>
            <w:noWrap/>
            <w:hideMark/>
          </w:tcPr>
          <w:p w14:paraId="2EAF5C4E"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14</w:t>
            </w:r>
          </w:p>
        </w:tc>
        <w:tc>
          <w:tcPr>
            <w:tcW w:w="3213" w:type="pct"/>
            <w:hideMark/>
          </w:tcPr>
          <w:p w14:paraId="1874DA9B"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Alongside the adoption of a national distribution obligation, it would be important to promote the adoption of ambitious international obligations in the EU and the ICAO.</w:t>
            </w:r>
          </w:p>
        </w:tc>
        <w:tc>
          <w:tcPr>
            <w:tcW w:w="669" w:type="pct"/>
            <w:noWrap/>
            <w:hideMark/>
          </w:tcPr>
          <w:p w14:paraId="55F31D9C" w14:textId="77777777" w:rsidR="00807C42" w:rsidRPr="00807C42" w:rsidRDefault="00807C42" w:rsidP="00807C42">
            <w:pPr>
              <w:rPr>
                <w:rFonts w:ascii="Calibri" w:eastAsia="Times New Roman" w:hAnsi="Calibri" w:cs="Calibri"/>
                <w:color w:val="000000"/>
                <w:lang w:val="fr-FR" w:eastAsia="fi-FI"/>
              </w:rPr>
            </w:pPr>
            <w:r w:rsidRPr="00807C42">
              <w:rPr>
                <w:rFonts w:ascii="Calibri" w:eastAsia="Times New Roman" w:hAnsi="Calibri" w:cs="Calibri"/>
                <w:color w:val="000000"/>
                <w:lang w:val="fr-FR" w:eastAsia="fi-FI"/>
              </w:rPr>
              <w:t>EU, international organisations, distribution obligation</w:t>
            </w:r>
          </w:p>
        </w:tc>
      </w:tr>
      <w:tr w:rsidR="00807C42" w:rsidRPr="00807C42" w14:paraId="05B68968" w14:textId="77777777" w:rsidTr="00C13F1A">
        <w:trPr>
          <w:trHeight w:val="1559"/>
        </w:trPr>
        <w:tc>
          <w:tcPr>
            <w:tcW w:w="826" w:type="pct"/>
            <w:noWrap/>
            <w:hideMark/>
          </w:tcPr>
          <w:p w14:paraId="33C7CCA6"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2.1 Promoting alternative power sources</w:t>
            </w:r>
          </w:p>
        </w:tc>
        <w:tc>
          <w:tcPr>
            <w:tcW w:w="292" w:type="pct"/>
            <w:noWrap/>
            <w:hideMark/>
          </w:tcPr>
          <w:p w14:paraId="1302BB2C"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14</w:t>
            </w:r>
          </w:p>
        </w:tc>
        <w:tc>
          <w:tcPr>
            <w:tcW w:w="3213" w:type="pct"/>
            <w:hideMark/>
          </w:tcPr>
          <w:p w14:paraId="6AD349AB"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The availability and costs of renewable fuels must also be assessed accurately so that policy measures for different modes of transport can be targeted </w:t>
            </w:r>
            <w:proofErr w:type="gramStart"/>
            <w:r w:rsidRPr="00807C42">
              <w:rPr>
                <w:rFonts w:ascii="Calibri" w:eastAsia="Times New Roman" w:hAnsi="Calibri" w:cs="Calibri"/>
                <w:color w:val="000000"/>
                <w:lang w:val="en-GB" w:eastAsia="fi-FI"/>
              </w:rPr>
              <w:t>correctly</w:t>
            </w:r>
            <w:proofErr w:type="gramEnd"/>
            <w:r w:rsidRPr="00807C42">
              <w:rPr>
                <w:rFonts w:ascii="Calibri" w:eastAsia="Times New Roman" w:hAnsi="Calibri" w:cs="Calibri"/>
                <w:color w:val="000000"/>
                <w:lang w:val="en-GB" w:eastAsia="fi-FI"/>
              </w:rPr>
              <w:t xml:space="preserve"> and climate benefits can be maximised cost-effectively. Similarly, it is necessary to provide incentives to increase the development and production of sustainable aviation fuels through credible long-term national and international measures.</w:t>
            </w:r>
          </w:p>
        </w:tc>
        <w:tc>
          <w:tcPr>
            <w:tcW w:w="669" w:type="pct"/>
            <w:noWrap/>
            <w:hideMark/>
          </w:tcPr>
          <w:p w14:paraId="46BE1849"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SAF, investments</w:t>
            </w:r>
          </w:p>
        </w:tc>
      </w:tr>
      <w:tr w:rsidR="00807C42" w:rsidRPr="00807C42" w14:paraId="3FFB1D37" w14:textId="77777777" w:rsidTr="00C13F1A">
        <w:trPr>
          <w:trHeight w:val="844"/>
        </w:trPr>
        <w:tc>
          <w:tcPr>
            <w:tcW w:w="826" w:type="pct"/>
            <w:noWrap/>
            <w:hideMark/>
          </w:tcPr>
          <w:p w14:paraId="1CDDB4D5"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2.1 Promoting alternative power sources</w:t>
            </w:r>
          </w:p>
        </w:tc>
        <w:tc>
          <w:tcPr>
            <w:tcW w:w="292" w:type="pct"/>
            <w:noWrap/>
            <w:hideMark/>
          </w:tcPr>
          <w:p w14:paraId="006F1A76"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15</w:t>
            </w:r>
          </w:p>
        </w:tc>
        <w:tc>
          <w:tcPr>
            <w:tcW w:w="3213" w:type="pct"/>
            <w:hideMark/>
          </w:tcPr>
          <w:p w14:paraId="4156D47E"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(measures 1-8)</w:t>
            </w:r>
          </w:p>
        </w:tc>
        <w:tc>
          <w:tcPr>
            <w:tcW w:w="669" w:type="pct"/>
            <w:noWrap/>
            <w:hideMark/>
          </w:tcPr>
          <w:p w14:paraId="3B22C562" w14:textId="77777777" w:rsidR="00807C42" w:rsidRPr="00807C42" w:rsidRDefault="00807C42" w:rsidP="00807C42">
            <w:pPr>
              <w:rPr>
                <w:rFonts w:ascii="Calibri" w:eastAsia="Times New Roman" w:hAnsi="Calibri" w:cs="Calibri"/>
                <w:color w:val="000000"/>
                <w:lang w:eastAsia="fi-FI"/>
              </w:rPr>
            </w:pPr>
          </w:p>
        </w:tc>
      </w:tr>
      <w:tr w:rsidR="00807C42" w:rsidRPr="00807C42" w14:paraId="03893313" w14:textId="77777777" w:rsidTr="00C13F1A">
        <w:trPr>
          <w:trHeight w:val="1153"/>
        </w:trPr>
        <w:tc>
          <w:tcPr>
            <w:tcW w:w="826" w:type="pct"/>
            <w:noWrap/>
            <w:hideMark/>
          </w:tcPr>
          <w:p w14:paraId="53FE0A8D"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2.2 Increasing the energy efficiency of the transport system and modes of transport</w:t>
            </w:r>
          </w:p>
        </w:tc>
        <w:tc>
          <w:tcPr>
            <w:tcW w:w="292" w:type="pct"/>
            <w:noWrap/>
            <w:hideMark/>
          </w:tcPr>
          <w:p w14:paraId="53E79F4F"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16</w:t>
            </w:r>
          </w:p>
        </w:tc>
        <w:tc>
          <w:tcPr>
            <w:tcW w:w="3213" w:type="pct"/>
            <w:hideMark/>
          </w:tcPr>
          <w:p w14:paraId="77D77C9A"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In air transport, the energy efficiency of the transport system can be increased</w:t>
            </w:r>
            <w:proofErr w:type="gramStart"/>
            <w:r w:rsidRPr="00807C42">
              <w:rPr>
                <w:rFonts w:ascii="Calibri" w:eastAsia="Times New Roman" w:hAnsi="Calibri" w:cs="Calibri"/>
                <w:color w:val="000000"/>
                <w:lang w:val="en-GB" w:eastAsia="fi-FI"/>
              </w:rPr>
              <w:t>, in particular, by</w:t>
            </w:r>
            <w:proofErr w:type="gramEnd"/>
            <w:r w:rsidRPr="00807C42">
              <w:rPr>
                <w:rFonts w:ascii="Calibri" w:eastAsia="Times New Roman" w:hAnsi="Calibri" w:cs="Calibri"/>
                <w:color w:val="000000"/>
                <w:lang w:val="en-GB" w:eastAsia="fi-FI"/>
              </w:rPr>
              <w:t xml:space="preserve"> improving the functioning of airspace and by adopting various flight and operating methods that reduce emissions.</w:t>
            </w:r>
          </w:p>
        </w:tc>
        <w:tc>
          <w:tcPr>
            <w:tcW w:w="669" w:type="pct"/>
            <w:noWrap/>
            <w:hideMark/>
          </w:tcPr>
          <w:p w14:paraId="20D41729"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ATM</w:t>
            </w:r>
          </w:p>
        </w:tc>
      </w:tr>
      <w:tr w:rsidR="00807C42" w:rsidRPr="00807C42" w14:paraId="75FE3BE7" w14:textId="77777777" w:rsidTr="00C13F1A">
        <w:trPr>
          <w:trHeight w:val="1228"/>
        </w:trPr>
        <w:tc>
          <w:tcPr>
            <w:tcW w:w="826" w:type="pct"/>
            <w:noWrap/>
            <w:hideMark/>
          </w:tcPr>
          <w:p w14:paraId="5D425DE6"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2.2 Increasing the energy efficiency of the transport system and modes of transport</w:t>
            </w:r>
          </w:p>
        </w:tc>
        <w:tc>
          <w:tcPr>
            <w:tcW w:w="292" w:type="pct"/>
            <w:noWrap/>
            <w:hideMark/>
          </w:tcPr>
          <w:p w14:paraId="561933A5"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16</w:t>
            </w:r>
          </w:p>
        </w:tc>
        <w:tc>
          <w:tcPr>
            <w:tcW w:w="3213" w:type="pct"/>
            <w:hideMark/>
          </w:tcPr>
          <w:p w14:paraId="1FDF1AC8"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However, unmanned aviation solutions can help to achieve emission reductions in the transport system, particularly as an environmentally friendlier option to replace road transport.</w:t>
            </w:r>
          </w:p>
        </w:tc>
        <w:tc>
          <w:tcPr>
            <w:tcW w:w="669" w:type="pct"/>
            <w:noWrap/>
            <w:hideMark/>
          </w:tcPr>
          <w:p w14:paraId="4D133C54"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drones</w:t>
            </w:r>
          </w:p>
        </w:tc>
      </w:tr>
      <w:tr w:rsidR="00807C42" w:rsidRPr="00807C42" w14:paraId="3F7B5C35" w14:textId="77777777" w:rsidTr="00C13F1A">
        <w:trPr>
          <w:trHeight w:val="697"/>
        </w:trPr>
        <w:tc>
          <w:tcPr>
            <w:tcW w:w="826" w:type="pct"/>
            <w:noWrap/>
            <w:hideMark/>
          </w:tcPr>
          <w:p w14:paraId="663FA3FA"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2.2 Increasing the energy efficiency of the </w:t>
            </w:r>
            <w:r w:rsidRPr="00807C42">
              <w:rPr>
                <w:rFonts w:ascii="Calibri" w:eastAsia="Times New Roman" w:hAnsi="Calibri" w:cs="Calibri"/>
                <w:color w:val="000000"/>
                <w:lang w:val="en-GB" w:eastAsia="fi-FI"/>
              </w:rPr>
              <w:lastRenderedPageBreak/>
              <w:t>transport system and modes of transport</w:t>
            </w:r>
          </w:p>
        </w:tc>
        <w:tc>
          <w:tcPr>
            <w:tcW w:w="292" w:type="pct"/>
            <w:noWrap/>
            <w:hideMark/>
          </w:tcPr>
          <w:p w14:paraId="3282A029"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lastRenderedPageBreak/>
              <w:t>16</w:t>
            </w:r>
          </w:p>
        </w:tc>
        <w:tc>
          <w:tcPr>
            <w:tcW w:w="3213" w:type="pct"/>
            <w:hideMark/>
          </w:tcPr>
          <w:p w14:paraId="584725C7" w14:textId="77777777" w:rsidR="00807C42" w:rsidRPr="00807C42" w:rsidRDefault="00807C42" w:rsidP="00807C42">
            <w:pPr>
              <w:rPr>
                <w:rFonts w:ascii="Calibri" w:eastAsia="Times New Roman" w:hAnsi="Calibri" w:cs="Calibri"/>
                <w:color w:val="000000"/>
                <w:lang w:val="en-GB" w:eastAsia="fi-FI"/>
              </w:rPr>
            </w:pPr>
            <w:proofErr w:type="spellStart"/>
            <w:r w:rsidRPr="00807C42">
              <w:rPr>
                <w:rFonts w:ascii="Calibri" w:eastAsia="Times New Roman" w:hAnsi="Calibri" w:cs="Calibri"/>
                <w:color w:val="000000"/>
                <w:lang w:val="en-GB" w:eastAsia="fi-FI"/>
              </w:rPr>
              <w:t>Finavia</w:t>
            </w:r>
            <w:proofErr w:type="spellEnd"/>
            <w:r w:rsidRPr="00807C42">
              <w:rPr>
                <w:rFonts w:ascii="Calibri" w:eastAsia="Times New Roman" w:hAnsi="Calibri" w:cs="Calibri"/>
                <w:color w:val="000000"/>
                <w:lang w:val="en-GB" w:eastAsia="fi-FI"/>
              </w:rPr>
              <w:t xml:space="preserve"> Corporation operates and maintains 21 airports in Finland. [...] As a result of </w:t>
            </w:r>
            <w:proofErr w:type="spellStart"/>
            <w:r w:rsidRPr="00807C42">
              <w:rPr>
                <w:rFonts w:ascii="Calibri" w:eastAsia="Times New Roman" w:hAnsi="Calibri" w:cs="Calibri"/>
                <w:color w:val="000000"/>
                <w:lang w:val="en-GB" w:eastAsia="fi-FI"/>
              </w:rPr>
              <w:t>Finavia’s</w:t>
            </w:r>
            <w:proofErr w:type="spellEnd"/>
            <w:r w:rsidRPr="00807C42">
              <w:rPr>
                <w:rFonts w:ascii="Calibri" w:eastAsia="Times New Roman" w:hAnsi="Calibri" w:cs="Calibri"/>
                <w:color w:val="000000"/>
                <w:lang w:val="en-GB" w:eastAsia="fi-FI"/>
              </w:rPr>
              <w:t xml:space="preserve"> emissions reduction measures and emissions off-setting, the airport network’s operations are carbon neutral.</w:t>
            </w:r>
          </w:p>
        </w:tc>
        <w:tc>
          <w:tcPr>
            <w:tcW w:w="669" w:type="pct"/>
            <w:noWrap/>
            <w:hideMark/>
          </w:tcPr>
          <w:p w14:paraId="3C8117D0"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airports</w:t>
            </w:r>
          </w:p>
        </w:tc>
      </w:tr>
      <w:tr w:rsidR="00807C42" w:rsidRPr="00807C42" w14:paraId="5D7869DB" w14:textId="77777777" w:rsidTr="00D15027">
        <w:trPr>
          <w:trHeight w:val="1551"/>
        </w:trPr>
        <w:tc>
          <w:tcPr>
            <w:tcW w:w="826" w:type="pct"/>
            <w:noWrap/>
            <w:hideMark/>
          </w:tcPr>
          <w:p w14:paraId="14511EDF"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2.2 Increasing the energy efficiency of the transport system and modes of transport</w:t>
            </w:r>
          </w:p>
        </w:tc>
        <w:tc>
          <w:tcPr>
            <w:tcW w:w="292" w:type="pct"/>
            <w:noWrap/>
            <w:hideMark/>
          </w:tcPr>
          <w:p w14:paraId="071A0A56"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17</w:t>
            </w:r>
          </w:p>
        </w:tc>
        <w:tc>
          <w:tcPr>
            <w:tcW w:w="3213" w:type="pct"/>
            <w:hideMark/>
          </w:tcPr>
          <w:p w14:paraId="0D0B36FF"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 xml:space="preserve">In the interface of air transport and other modes of transport, total emissions of the transport system can be reduced by developing sustainable travel chains and new logistics solutions enabled by unmanned aviation. By actively </w:t>
            </w:r>
            <w:proofErr w:type="gramStart"/>
            <w:r w:rsidRPr="00807C42">
              <w:rPr>
                <w:rFonts w:ascii="Calibri" w:eastAsia="Times New Roman" w:hAnsi="Calibri" w:cs="Calibri"/>
                <w:color w:val="000000"/>
                <w:lang w:val="en-GB" w:eastAsia="fi-FI"/>
              </w:rPr>
              <w:t>opening up</w:t>
            </w:r>
            <w:proofErr w:type="gramEnd"/>
            <w:r w:rsidRPr="00807C42">
              <w:rPr>
                <w:rFonts w:ascii="Calibri" w:eastAsia="Times New Roman" w:hAnsi="Calibri" w:cs="Calibri"/>
                <w:color w:val="000000"/>
                <w:lang w:val="en-GB" w:eastAsia="fi-FI"/>
              </w:rPr>
              <w:t xml:space="preserve"> data interfaces and engaging in cooperation for the use of data, it is possible to increase the popularity of sustainable passenger services and ensure seamless logistics between line haul transport and hubs.</w:t>
            </w:r>
          </w:p>
        </w:tc>
        <w:tc>
          <w:tcPr>
            <w:tcW w:w="669" w:type="pct"/>
            <w:noWrap/>
            <w:hideMark/>
          </w:tcPr>
          <w:p w14:paraId="02499F7F"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airports, hubs, logistics</w:t>
            </w:r>
          </w:p>
        </w:tc>
      </w:tr>
      <w:tr w:rsidR="00807C42" w:rsidRPr="00807C42" w14:paraId="5FC86104" w14:textId="77777777" w:rsidTr="00D15027">
        <w:trPr>
          <w:trHeight w:val="1262"/>
        </w:trPr>
        <w:tc>
          <w:tcPr>
            <w:tcW w:w="826" w:type="pct"/>
            <w:noWrap/>
            <w:hideMark/>
          </w:tcPr>
          <w:p w14:paraId="64DC626E"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2.2 Increasing the energy efficiency of the transport system and modes of transport</w:t>
            </w:r>
          </w:p>
        </w:tc>
        <w:tc>
          <w:tcPr>
            <w:tcW w:w="292" w:type="pct"/>
            <w:noWrap/>
            <w:hideMark/>
          </w:tcPr>
          <w:p w14:paraId="75B90CDF"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17</w:t>
            </w:r>
          </w:p>
        </w:tc>
        <w:tc>
          <w:tcPr>
            <w:tcW w:w="3213" w:type="pct"/>
            <w:hideMark/>
          </w:tcPr>
          <w:p w14:paraId="572FAAF7"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Improving the energy efficiency of aircraft is an important part of the reduction of aviation emissions but, due to the magnitude of the expected increase in vehicle-kilometres and the required reductions in greenhouse gas emissions, the introduction of new technologies alone is not enough, as indicated by the development of aviation emissions in Finland.</w:t>
            </w:r>
          </w:p>
        </w:tc>
        <w:tc>
          <w:tcPr>
            <w:tcW w:w="669" w:type="pct"/>
            <w:noWrap/>
            <w:hideMark/>
          </w:tcPr>
          <w:p w14:paraId="5ABEAB8F"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efficiency</w:t>
            </w:r>
          </w:p>
        </w:tc>
      </w:tr>
      <w:tr w:rsidR="00807C42" w:rsidRPr="00807C42" w14:paraId="21E6AFD8" w14:textId="77777777" w:rsidTr="00C13F1A">
        <w:trPr>
          <w:trHeight w:val="1272"/>
        </w:trPr>
        <w:tc>
          <w:tcPr>
            <w:tcW w:w="826" w:type="pct"/>
            <w:noWrap/>
            <w:hideMark/>
          </w:tcPr>
          <w:p w14:paraId="759889E4"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2.2 Increasing the energy efficiency of the transport system and modes of transport</w:t>
            </w:r>
          </w:p>
        </w:tc>
        <w:tc>
          <w:tcPr>
            <w:tcW w:w="292" w:type="pct"/>
            <w:noWrap/>
            <w:hideMark/>
          </w:tcPr>
          <w:p w14:paraId="77EEEDEE"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17, 18</w:t>
            </w:r>
          </w:p>
        </w:tc>
        <w:tc>
          <w:tcPr>
            <w:tcW w:w="3213" w:type="pct"/>
            <w:hideMark/>
          </w:tcPr>
          <w:p w14:paraId="242AB847"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(measures 9-16)</w:t>
            </w:r>
          </w:p>
        </w:tc>
        <w:tc>
          <w:tcPr>
            <w:tcW w:w="669" w:type="pct"/>
            <w:noWrap/>
            <w:hideMark/>
          </w:tcPr>
          <w:p w14:paraId="15EC362A" w14:textId="77777777" w:rsidR="00807C42" w:rsidRPr="00807C42" w:rsidRDefault="00807C42" w:rsidP="00807C42">
            <w:pPr>
              <w:rPr>
                <w:rFonts w:ascii="Calibri" w:eastAsia="Times New Roman" w:hAnsi="Calibri" w:cs="Calibri"/>
                <w:color w:val="000000"/>
                <w:lang w:eastAsia="fi-FI"/>
              </w:rPr>
            </w:pPr>
          </w:p>
        </w:tc>
      </w:tr>
      <w:tr w:rsidR="00807C42" w:rsidRPr="00807C42" w14:paraId="320E3DBC" w14:textId="77777777" w:rsidTr="00C13F1A">
        <w:trPr>
          <w:trHeight w:val="709"/>
        </w:trPr>
        <w:tc>
          <w:tcPr>
            <w:tcW w:w="826" w:type="pct"/>
            <w:noWrap/>
            <w:hideMark/>
          </w:tcPr>
          <w:p w14:paraId="2A03E29B"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2.3 Pricing</w:t>
            </w:r>
          </w:p>
        </w:tc>
        <w:tc>
          <w:tcPr>
            <w:tcW w:w="292" w:type="pct"/>
            <w:noWrap/>
            <w:hideMark/>
          </w:tcPr>
          <w:p w14:paraId="72190EFA"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18</w:t>
            </w:r>
          </w:p>
        </w:tc>
        <w:tc>
          <w:tcPr>
            <w:tcW w:w="3213" w:type="pct"/>
            <w:hideMark/>
          </w:tcPr>
          <w:p w14:paraId="46606F47"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Air transport has been a pioneer in the introduction of international pricing and market mechanisms. Air transport was the first mode of transport to join the EU’s emissions trading system in 2012.</w:t>
            </w:r>
          </w:p>
        </w:tc>
        <w:tc>
          <w:tcPr>
            <w:tcW w:w="669" w:type="pct"/>
            <w:noWrap/>
            <w:hideMark/>
          </w:tcPr>
          <w:p w14:paraId="7C99C457"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ETS</w:t>
            </w:r>
          </w:p>
        </w:tc>
      </w:tr>
      <w:tr w:rsidR="00807C42" w:rsidRPr="00807C42" w14:paraId="47B2071E" w14:textId="77777777" w:rsidTr="00807C42">
        <w:trPr>
          <w:trHeight w:val="870"/>
        </w:trPr>
        <w:tc>
          <w:tcPr>
            <w:tcW w:w="826" w:type="pct"/>
            <w:noWrap/>
            <w:hideMark/>
          </w:tcPr>
          <w:p w14:paraId="60D53D40"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2.3 Pricing</w:t>
            </w:r>
          </w:p>
        </w:tc>
        <w:tc>
          <w:tcPr>
            <w:tcW w:w="292" w:type="pct"/>
            <w:noWrap/>
            <w:hideMark/>
          </w:tcPr>
          <w:p w14:paraId="6F9BAC38"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18</w:t>
            </w:r>
          </w:p>
        </w:tc>
        <w:tc>
          <w:tcPr>
            <w:tcW w:w="3213" w:type="pct"/>
            <w:hideMark/>
          </w:tcPr>
          <w:p w14:paraId="422AD6BB"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Through the decision of the ICAO’s meeting in 2016, international aviation became the first industrial sector which decided to adopt a global market mechanism for emissions.</w:t>
            </w:r>
          </w:p>
        </w:tc>
        <w:tc>
          <w:tcPr>
            <w:tcW w:w="669" w:type="pct"/>
            <w:noWrap/>
            <w:hideMark/>
          </w:tcPr>
          <w:p w14:paraId="007C9D7A"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 xml:space="preserve">international </w:t>
            </w:r>
            <w:proofErr w:type="spellStart"/>
            <w:r w:rsidRPr="00807C42">
              <w:rPr>
                <w:rFonts w:ascii="Calibri" w:eastAsia="Times New Roman" w:hAnsi="Calibri" w:cs="Calibri"/>
                <w:color w:val="000000"/>
                <w:lang w:eastAsia="fi-FI"/>
              </w:rPr>
              <w:t>organisations</w:t>
            </w:r>
            <w:proofErr w:type="spellEnd"/>
            <w:r w:rsidRPr="00807C42">
              <w:rPr>
                <w:rFonts w:ascii="Calibri" w:eastAsia="Times New Roman" w:hAnsi="Calibri" w:cs="Calibri"/>
                <w:color w:val="000000"/>
                <w:lang w:eastAsia="fi-FI"/>
              </w:rPr>
              <w:t>, CORSIA</w:t>
            </w:r>
          </w:p>
        </w:tc>
      </w:tr>
      <w:tr w:rsidR="00807C42" w:rsidRPr="00807C42" w14:paraId="3BBB3C6A" w14:textId="77777777" w:rsidTr="00C13F1A">
        <w:trPr>
          <w:trHeight w:val="944"/>
        </w:trPr>
        <w:tc>
          <w:tcPr>
            <w:tcW w:w="826" w:type="pct"/>
            <w:noWrap/>
            <w:hideMark/>
          </w:tcPr>
          <w:p w14:paraId="78DFCB1E"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2.3 Pricing</w:t>
            </w:r>
          </w:p>
        </w:tc>
        <w:tc>
          <w:tcPr>
            <w:tcW w:w="292" w:type="pct"/>
            <w:noWrap/>
            <w:hideMark/>
          </w:tcPr>
          <w:p w14:paraId="3C803615"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19</w:t>
            </w:r>
          </w:p>
        </w:tc>
        <w:tc>
          <w:tcPr>
            <w:tcW w:w="3213" w:type="pct"/>
            <w:hideMark/>
          </w:tcPr>
          <w:p w14:paraId="1DA7AAF5"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There have also been discussions in the EU over the adoption of an EU-wide tax on flights or fuel. According to the Government Programme, Finland has an open approach to the development of broader regional taxation.</w:t>
            </w:r>
          </w:p>
        </w:tc>
        <w:tc>
          <w:tcPr>
            <w:tcW w:w="669" w:type="pct"/>
            <w:noWrap/>
            <w:hideMark/>
          </w:tcPr>
          <w:p w14:paraId="44563EFD"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taxation</w:t>
            </w:r>
          </w:p>
        </w:tc>
      </w:tr>
      <w:tr w:rsidR="00807C42" w:rsidRPr="00807C42" w14:paraId="695BA080" w14:textId="77777777" w:rsidTr="00D15027">
        <w:trPr>
          <w:trHeight w:val="1504"/>
        </w:trPr>
        <w:tc>
          <w:tcPr>
            <w:tcW w:w="826" w:type="pct"/>
            <w:noWrap/>
            <w:hideMark/>
          </w:tcPr>
          <w:p w14:paraId="1A9E9417"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2.3 Pricing</w:t>
            </w:r>
          </w:p>
        </w:tc>
        <w:tc>
          <w:tcPr>
            <w:tcW w:w="292" w:type="pct"/>
            <w:noWrap/>
            <w:hideMark/>
          </w:tcPr>
          <w:p w14:paraId="50A3E842"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19</w:t>
            </w:r>
          </w:p>
        </w:tc>
        <w:tc>
          <w:tcPr>
            <w:tcW w:w="3213" w:type="pct"/>
            <w:hideMark/>
          </w:tcPr>
          <w:p w14:paraId="3B1204C4"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Promoting the pricing of global greenhouse gas emissions from international aviation would, when dimensioned correctly, most likely be an effective way to reduce aviation emissions, as it would help, for example, to promote the transition from fossil kerosene to sustainable aviation fuels. [...] However, it is highly unlikely that tax solutions, for example, would be supported widely among the ICAO’s member countries.</w:t>
            </w:r>
          </w:p>
        </w:tc>
        <w:tc>
          <w:tcPr>
            <w:tcW w:w="669" w:type="pct"/>
            <w:noWrap/>
            <w:hideMark/>
          </w:tcPr>
          <w:p w14:paraId="3D4DB669"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 xml:space="preserve">taxation, carbon pricing, international </w:t>
            </w:r>
            <w:proofErr w:type="spellStart"/>
            <w:r w:rsidRPr="00807C42">
              <w:rPr>
                <w:rFonts w:ascii="Calibri" w:eastAsia="Times New Roman" w:hAnsi="Calibri" w:cs="Calibri"/>
                <w:color w:val="000000"/>
                <w:lang w:eastAsia="fi-FI"/>
              </w:rPr>
              <w:t>organisations</w:t>
            </w:r>
            <w:proofErr w:type="spellEnd"/>
          </w:p>
        </w:tc>
      </w:tr>
      <w:tr w:rsidR="00807C42" w:rsidRPr="00807C42" w14:paraId="3A6FEDCA" w14:textId="77777777" w:rsidTr="00C13F1A">
        <w:trPr>
          <w:trHeight w:val="697"/>
        </w:trPr>
        <w:tc>
          <w:tcPr>
            <w:tcW w:w="826" w:type="pct"/>
            <w:noWrap/>
            <w:hideMark/>
          </w:tcPr>
          <w:p w14:paraId="78365E28"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2.3 Pricing</w:t>
            </w:r>
          </w:p>
        </w:tc>
        <w:tc>
          <w:tcPr>
            <w:tcW w:w="292" w:type="pct"/>
            <w:noWrap/>
            <w:hideMark/>
          </w:tcPr>
          <w:p w14:paraId="58C72AE0"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19</w:t>
            </w:r>
          </w:p>
        </w:tc>
        <w:tc>
          <w:tcPr>
            <w:tcW w:w="3213" w:type="pct"/>
            <w:hideMark/>
          </w:tcPr>
          <w:p w14:paraId="6BC4C770"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Nevertheless, Finland should, in international cooperation, draw attention to carbon pricing and effective global measures that promote the transition from fossil to renewable fuels.</w:t>
            </w:r>
          </w:p>
        </w:tc>
        <w:tc>
          <w:tcPr>
            <w:tcW w:w="669" w:type="pct"/>
            <w:noWrap/>
            <w:hideMark/>
          </w:tcPr>
          <w:p w14:paraId="7723FB63"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carbon pricing</w:t>
            </w:r>
          </w:p>
        </w:tc>
      </w:tr>
      <w:tr w:rsidR="00807C42" w:rsidRPr="00807C42" w14:paraId="26022C91" w14:textId="77777777" w:rsidTr="00D15027">
        <w:trPr>
          <w:trHeight w:val="2373"/>
        </w:trPr>
        <w:tc>
          <w:tcPr>
            <w:tcW w:w="826" w:type="pct"/>
            <w:noWrap/>
            <w:hideMark/>
          </w:tcPr>
          <w:p w14:paraId="37E02C9F"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lastRenderedPageBreak/>
              <w:t>2.3 Pricing</w:t>
            </w:r>
          </w:p>
        </w:tc>
        <w:tc>
          <w:tcPr>
            <w:tcW w:w="292" w:type="pct"/>
            <w:noWrap/>
            <w:hideMark/>
          </w:tcPr>
          <w:p w14:paraId="2E1C9838"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19</w:t>
            </w:r>
          </w:p>
        </w:tc>
        <w:tc>
          <w:tcPr>
            <w:tcW w:w="3213" w:type="pct"/>
            <w:hideMark/>
          </w:tcPr>
          <w:p w14:paraId="1A0868A0" w14:textId="77777777" w:rsidR="00807C42" w:rsidRPr="00807C42" w:rsidRDefault="00807C42" w:rsidP="00807C42">
            <w:pPr>
              <w:rPr>
                <w:rFonts w:ascii="Calibri" w:eastAsia="Times New Roman" w:hAnsi="Calibri" w:cs="Calibri"/>
                <w:color w:val="000000"/>
                <w:lang w:val="en-GB" w:eastAsia="fi-FI"/>
              </w:rPr>
            </w:pPr>
            <w:r w:rsidRPr="00807C42">
              <w:rPr>
                <w:rFonts w:ascii="Calibri" w:eastAsia="Times New Roman" w:hAnsi="Calibri" w:cs="Calibri"/>
                <w:color w:val="000000"/>
                <w:lang w:val="en-GB" w:eastAsia="fi-FI"/>
              </w:rPr>
              <w:t>Finland has no air passenger tax, and its application has not been investigated in more detail, but an initiative concerning taxation has been submitted to the Parliament. [...] Based on indicative estimates, emissions reductions achieved through a national tax would be modest relative to the negative impact of such taxation on air transport and Finland’s accessibility, as well as the increased use of sustainable aviation fuels. However, a national study of a tax on flights should be prepared to draw a more detailed overview of the matter, especially considering the special characteristics of Finland’s air traffic, different emissions reduction alternatives and the initiative submitted to the Parliament.</w:t>
            </w:r>
          </w:p>
        </w:tc>
        <w:tc>
          <w:tcPr>
            <w:tcW w:w="669" w:type="pct"/>
            <w:noWrap/>
            <w:hideMark/>
          </w:tcPr>
          <w:p w14:paraId="4FA27227"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taxation</w:t>
            </w:r>
          </w:p>
        </w:tc>
      </w:tr>
      <w:tr w:rsidR="00807C42" w:rsidRPr="00807C42" w14:paraId="7EBD46A6" w14:textId="77777777" w:rsidTr="00C13F1A">
        <w:trPr>
          <w:trHeight w:val="448"/>
        </w:trPr>
        <w:tc>
          <w:tcPr>
            <w:tcW w:w="826" w:type="pct"/>
            <w:noWrap/>
            <w:hideMark/>
          </w:tcPr>
          <w:p w14:paraId="5E716E47"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2.3 Pricing</w:t>
            </w:r>
          </w:p>
        </w:tc>
        <w:tc>
          <w:tcPr>
            <w:tcW w:w="292" w:type="pct"/>
            <w:noWrap/>
            <w:hideMark/>
          </w:tcPr>
          <w:p w14:paraId="40A09473" w14:textId="77777777" w:rsidR="00807C42" w:rsidRPr="00807C42" w:rsidRDefault="00807C42" w:rsidP="00807C42">
            <w:pPr>
              <w:jc w:val="right"/>
              <w:rPr>
                <w:rFonts w:ascii="Calibri" w:eastAsia="Times New Roman" w:hAnsi="Calibri" w:cs="Calibri"/>
                <w:color w:val="000000"/>
                <w:lang w:eastAsia="fi-FI"/>
              </w:rPr>
            </w:pPr>
            <w:r w:rsidRPr="00807C42">
              <w:rPr>
                <w:rFonts w:ascii="Calibri" w:eastAsia="Times New Roman" w:hAnsi="Calibri" w:cs="Calibri"/>
                <w:color w:val="000000"/>
                <w:lang w:eastAsia="fi-FI"/>
              </w:rPr>
              <w:t>20</w:t>
            </w:r>
          </w:p>
        </w:tc>
        <w:tc>
          <w:tcPr>
            <w:tcW w:w="3213" w:type="pct"/>
            <w:hideMark/>
          </w:tcPr>
          <w:p w14:paraId="6B6BE6E0" w14:textId="77777777" w:rsidR="00807C42" w:rsidRPr="00807C42" w:rsidRDefault="00807C42" w:rsidP="00807C42">
            <w:pPr>
              <w:rPr>
                <w:rFonts w:ascii="Calibri" w:eastAsia="Times New Roman" w:hAnsi="Calibri" w:cs="Calibri"/>
                <w:color w:val="000000"/>
                <w:lang w:eastAsia="fi-FI"/>
              </w:rPr>
            </w:pPr>
            <w:r w:rsidRPr="00807C42">
              <w:rPr>
                <w:rFonts w:ascii="Calibri" w:eastAsia="Times New Roman" w:hAnsi="Calibri" w:cs="Calibri"/>
                <w:color w:val="000000"/>
                <w:lang w:eastAsia="fi-FI"/>
              </w:rPr>
              <w:t>(measures 17-23)</w:t>
            </w:r>
          </w:p>
        </w:tc>
        <w:tc>
          <w:tcPr>
            <w:tcW w:w="669" w:type="pct"/>
            <w:noWrap/>
            <w:hideMark/>
          </w:tcPr>
          <w:p w14:paraId="25851D2E" w14:textId="77777777" w:rsidR="00807C42" w:rsidRPr="00807C42" w:rsidRDefault="00807C42" w:rsidP="00807C42">
            <w:pPr>
              <w:rPr>
                <w:rFonts w:ascii="Calibri" w:eastAsia="Times New Roman" w:hAnsi="Calibri" w:cs="Calibri"/>
                <w:color w:val="000000"/>
                <w:lang w:eastAsia="fi-FI"/>
              </w:rPr>
            </w:pPr>
          </w:p>
        </w:tc>
      </w:tr>
    </w:tbl>
    <w:p w14:paraId="5255626F" w14:textId="77777777" w:rsidR="0000026A" w:rsidRPr="0000026A" w:rsidRDefault="0000026A" w:rsidP="00962B66">
      <w:pPr>
        <w:rPr>
          <w:lang w:val="en-GB"/>
        </w:rPr>
      </w:pPr>
    </w:p>
    <w:sectPr w:rsidR="0000026A" w:rsidRPr="0000026A" w:rsidSect="00807C42">
      <w:footerReference w:type="default" r:id="rId8"/>
      <w:type w:val="continuous"/>
      <w:pgSz w:w="16838" w:h="11906" w:orient="landscape" w:code="9"/>
      <w:pgMar w:top="1134" w:right="1134" w:bottom="1134" w:left="1134" w:header="284"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E8752F" w14:textId="77777777" w:rsidR="00846B70" w:rsidRDefault="00846B70" w:rsidP="00892B23">
      <w:r>
        <w:separator/>
      </w:r>
    </w:p>
  </w:endnote>
  <w:endnote w:type="continuationSeparator" w:id="0">
    <w:p w14:paraId="7BC8E884" w14:textId="77777777" w:rsidR="00846B70" w:rsidRDefault="00846B70" w:rsidP="00892B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oppins Medium">
    <w:altName w:val="Poppins Medium"/>
    <w:panose1 w:val="00000600000000000000"/>
    <w:charset w:val="00"/>
    <w:family w:val="auto"/>
    <w:pitch w:val="variable"/>
    <w:sig w:usb0="00008007" w:usb1="00000000" w:usb2="00000000" w:usb3="00000000" w:csb0="00000093"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AD6C3" w14:textId="77777777" w:rsidR="0033780E" w:rsidRDefault="003378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C7DA4B" w14:textId="77777777" w:rsidR="00846B70" w:rsidRDefault="00846B70" w:rsidP="00892B23">
      <w:r>
        <w:separator/>
      </w:r>
    </w:p>
  </w:footnote>
  <w:footnote w:type="continuationSeparator" w:id="0">
    <w:p w14:paraId="1AC3C8F3" w14:textId="77777777" w:rsidR="00846B70" w:rsidRDefault="00846B70" w:rsidP="00892B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9A47B0"/>
    <w:multiLevelType w:val="hybridMultilevel"/>
    <w:tmpl w:val="05F005E2"/>
    <w:lvl w:ilvl="0" w:tplc="68EA6754">
      <w:start w:val="1"/>
      <w:numFmt w:val="decimal"/>
      <w:lvlText w:val="%1."/>
      <w:lvlJc w:val="left"/>
      <w:pPr>
        <w:ind w:left="360" w:hanging="360"/>
      </w:pPr>
      <w:rPr>
        <w:rFonts w:ascii="Poppins Medium" w:hAnsi="Poppins Medium" w:hint="default"/>
        <w:b/>
        <w:i w:val="0"/>
        <w:sz w:val="26"/>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num w:numId="1" w16cid:durableId="1691561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47"/>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B66"/>
    <w:rsid w:val="0000026A"/>
    <w:rsid w:val="00013C18"/>
    <w:rsid w:val="000A7EAD"/>
    <w:rsid w:val="000B601B"/>
    <w:rsid w:val="000E56DC"/>
    <w:rsid w:val="00192E52"/>
    <w:rsid w:val="001B6337"/>
    <w:rsid w:val="00217AD3"/>
    <w:rsid w:val="0027338C"/>
    <w:rsid w:val="002B5BAB"/>
    <w:rsid w:val="00304121"/>
    <w:rsid w:val="00322E35"/>
    <w:rsid w:val="00333ABE"/>
    <w:rsid w:val="00335BC5"/>
    <w:rsid w:val="0033780E"/>
    <w:rsid w:val="00345FF3"/>
    <w:rsid w:val="00357276"/>
    <w:rsid w:val="003B42F6"/>
    <w:rsid w:val="003B4605"/>
    <w:rsid w:val="003D38BA"/>
    <w:rsid w:val="004122DB"/>
    <w:rsid w:val="00426269"/>
    <w:rsid w:val="004C0E02"/>
    <w:rsid w:val="00513378"/>
    <w:rsid w:val="00554BAA"/>
    <w:rsid w:val="00562EF4"/>
    <w:rsid w:val="00563497"/>
    <w:rsid w:val="00585DF3"/>
    <w:rsid w:val="005A1F3A"/>
    <w:rsid w:val="005B785C"/>
    <w:rsid w:val="005D574B"/>
    <w:rsid w:val="005E6935"/>
    <w:rsid w:val="00623137"/>
    <w:rsid w:val="006834E4"/>
    <w:rsid w:val="006863CA"/>
    <w:rsid w:val="006B2664"/>
    <w:rsid w:val="006B5A45"/>
    <w:rsid w:val="006C7FD7"/>
    <w:rsid w:val="00742862"/>
    <w:rsid w:val="00787CE4"/>
    <w:rsid w:val="007A1B9F"/>
    <w:rsid w:val="007E078E"/>
    <w:rsid w:val="00807C42"/>
    <w:rsid w:val="00845536"/>
    <w:rsid w:val="00846B70"/>
    <w:rsid w:val="00872B35"/>
    <w:rsid w:val="00892B23"/>
    <w:rsid w:val="008A45BC"/>
    <w:rsid w:val="009268B2"/>
    <w:rsid w:val="0093075F"/>
    <w:rsid w:val="009322BF"/>
    <w:rsid w:val="00962B66"/>
    <w:rsid w:val="00A166F7"/>
    <w:rsid w:val="00A45F14"/>
    <w:rsid w:val="00AB0848"/>
    <w:rsid w:val="00AF64FA"/>
    <w:rsid w:val="00B175BD"/>
    <w:rsid w:val="00B2492C"/>
    <w:rsid w:val="00BA57CC"/>
    <w:rsid w:val="00C01BAA"/>
    <w:rsid w:val="00C02C1C"/>
    <w:rsid w:val="00C13F1A"/>
    <w:rsid w:val="00C14A1F"/>
    <w:rsid w:val="00C52521"/>
    <w:rsid w:val="00C653F6"/>
    <w:rsid w:val="00CB4B4C"/>
    <w:rsid w:val="00D15027"/>
    <w:rsid w:val="00D272E7"/>
    <w:rsid w:val="00D77858"/>
    <w:rsid w:val="00DC497A"/>
    <w:rsid w:val="00DD39FE"/>
    <w:rsid w:val="00DD4C57"/>
    <w:rsid w:val="00E9403B"/>
    <w:rsid w:val="00EA0280"/>
    <w:rsid w:val="00EA4178"/>
    <w:rsid w:val="00EB71E6"/>
    <w:rsid w:val="00EC7C10"/>
    <w:rsid w:val="00ED5DFA"/>
    <w:rsid w:val="00EE4AA9"/>
    <w:rsid w:val="00EF1F7B"/>
    <w:rsid w:val="00FB3030"/>
    <w:rsid w:val="00FB3124"/>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FA3896"/>
  <w15:chartTrackingRefBased/>
  <w15:docId w15:val="{334C1742-0A1A-4FBF-AFDB-F9965397E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HAnsi"/>
        <w:sz w:val="24"/>
        <w:szCs w:val="24"/>
        <w:lang w:val="fi-FI"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780E"/>
    <w:rPr>
      <w:rFonts w:ascii="Arial" w:hAnsi="Arial"/>
    </w:rPr>
  </w:style>
  <w:style w:type="paragraph" w:styleId="Heading1">
    <w:name w:val="heading 1"/>
    <w:basedOn w:val="Normal"/>
    <w:next w:val="Normal"/>
    <w:link w:val="Heading1Char"/>
    <w:autoRedefine/>
    <w:uiPriority w:val="9"/>
    <w:qFormat/>
    <w:rsid w:val="00787CE4"/>
    <w:pPr>
      <w:keepNext/>
      <w:keepLines/>
      <w:spacing w:before="240"/>
      <w:outlineLvl w:val="0"/>
    </w:pPr>
    <w:rPr>
      <w:rFonts w:asciiTheme="majorHAnsi" w:eastAsiaTheme="majorEastAsia" w:hAnsiTheme="majorHAnsi" w:cstheme="majorBidi"/>
      <w:b/>
      <w:color w:val="005854"/>
      <w:sz w:val="32"/>
      <w:szCs w:val="32"/>
    </w:rPr>
  </w:style>
  <w:style w:type="paragraph" w:styleId="Heading2">
    <w:name w:val="heading 2"/>
    <w:basedOn w:val="Normal"/>
    <w:next w:val="Normal"/>
    <w:link w:val="Heading2Char"/>
    <w:autoRedefine/>
    <w:uiPriority w:val="9"/>
    <w:unhideWhenUsed/>
    <w:qFormat/>
    <w:rsid w:val="00333ABE"/>
    <w:pPr>
      <w:keepNext/>
      <w:keepLines/>
      <w:spacing w:before="40"/>
      <w:outlineLvl w:val="1"/>
    </w:pPr>
    <w:rPr>
      <w:rFonts w:ascii="Century Gothic" w:eastAsiaTheme="majorEastAsia" w:hAnsi="Century Gothic" w:cstheme="majorBidi"/>
      <w:b/>
      <w:i/>
      <w:color w:val="005854"/>
      <w:sz w:val="28"/>
      <w:szCs w:val="26"/>
    </w:rPr>
  </w:style>
  <w:style w:type="paragraph" w:styleId="Heading3">
    <w:name w:val="heading 3"/>
    <w:basedOn w:val="Normal"/>
    <w:next w:val="Normal"/>
    <w:link w:val="Heading3Char"/>
    <w:autoRedefine/>
    <w:uiPriority w:val="9"/>
    <w:unhideWhenUsed/>
    <w:qFormat/>
    <w:rsid w:val="00333ABE"/>
    <w:pPr>
      <w:keepNext/>
      <w:keepLines/>
      <w:spacing w:before="40"/>
      <w:outlineLvl w:val="2"/>
    </w:pPr>
    <w:rPr>
      <w:rFonts w:asciiTheme="majorHAnsi" w:eastAsiaTheme="majorEastAsia" w:hAnsiTheme="majorHAnsi" w:cstheme="majorBidi"/>
      <w:color w:val="005854"/>
    </w:rPr>
  </w:style>
  <w:style w:type="paragraph" w:styleId="Heading4">
    <w:name w:val="heading 4"/>
    <w:basedOn w:val="Normal"/>
    <w:next w:val="Normal"/>
    <w:link w:val="Heading4Char"/>
    <w:uiPriority w:val="9"/>
    <w:semiHidden/>
    <w:unhideWhenUsed/>
    <w:qFormat/>
    <w:rsid w:val="0000026A"/>
    <w:pPr>
      <w:keepNext/>
      <w:keepLines/>
      <w:spacing w:before="40"/>
      <w:ind w:left="864" w:hanging="864"/>
      <w:jc w:val="both"/>
      <w:outlineLvl w:val="3"/>
    </w:pPr>
    <w:rPr>
      <w:rFonts w:asciiTheme="majorHAnsi" w:eastAsiaTheme="majorEastAsia" w:hAnsiTheme="majorHAnsi" w:cstheme="majorBidi"/>
      <w:i/>
      <w:iCs/>
      <w:color w:val="B1AE9F" w:themeColor="accent1" w:themeShade="BF"/>
    </w:rPr>
  </w:style>
  <w:style w:type="paragraph" w:styleId="Heading5">
    <w:name w:val="heading 5"/>
    <w:basedOn w:val="Normal"/>
    <w:next w:val="Normal"/>
    <w:link w:val="Heading5Char"/>
    <w:uiPriority w:val="9"/>
    <w:semiHidden/>
    <w:unhideWhenUsed/>
    <w:qFormat/>
    <w:rsid w:val="0000026A"/>
    <w:pPr>
      <w:keepNext/>
      <w:keepLines/>
      <w:spacing w:before="40"/>
      <w:ind w:left="1008" w:hanging="1008"/>
      <w:jc w:val="both"/>
      <w:outlineLvl w:val="4"/>
    </w:pPr>
    <w:rPr>
      <w:rFonts w:asciiTheme="majorHAnsi" w:eastAsiaTheme="majorEastAsia" w:hAnsiTheme="majorHAnsi" w:cstheme="majorBidi"/>
      <w:color w:val="B1AE9F" w:themeColor="accent1" w:themeShade="BF"/>
    </w:rPr>
  </w:style>
  <w:style w:type="paragraph" w:styleId="Heading6">
    <w:name w:val="heading 6"/>
    <w:basedOn w:val="Normal"/>
    <w:next w:val="Normal"/>
    <w:link w:val="Heading6Char"/>
    <w:uiPriority w:val="9"/>
    <w:semiHidden/>
    <w:unhideWhenUsed/>
    <w:qFormat/>
    <w:rsid w:val="0000026A"/>
    <w:pPr>
      <w:keepNext/>
      <w:keepLines/>
      <w:spacing w:before="40"/>
      <w:ind w:left="1152" w:hanging="1152"/>
      <w:jc w:val="both"/>
      <w:outlineLvl w:val="5"/>
    </w:pPr>
    <w:rPr>
      <w:rFonts w:asciiTheme="majorHAnsi" w:eastAsiaTheme="majorEastAsia" w:hAnsiTheme="majorHAnsi" w:cstheme="majorBidi"/>
      <w:color w:val="7B7764" w:themeColor="accent1" w:themeShade="7F"/>
    </w:rPr>
  </w:style>
  <w:style w:type="paragraph" w:styleId="Heading7">
    <w:name w:val="heading 7"/>
    <w:basedOn w:val="Normal"/>
    <w:next w:val="Normal"/>
    <w:link w:val="Heading7Char"/>
    <w:uiPriority w:val="9"/>
    <w:semiHidden/>
    <w:unhideWhenUsed/>
    <w:qFormat/>
    <w:rsid w:val="0000026A"/>
    <w:pPr>
      <w:keepNext/>
      <w:keepLines/>
      <w:spacing w:before="40"/>
      <w:ind w:left="1296" w:hanging="1296"/>
      <w:jc w:val="both"/>
      <w:outlineLvl w:val="6"/>
    </w:pPr>
    <w:rPr>
      <w:rFonts w:asciiTheme="majorHAnsi" w:eastAsiaTheme="majorEastAsia" w:hAnsiTheme="majorHAnsi" w:cstheme="majorBidi"/>
      <w:i/>
      <w:iCs/>
      <w:color w:val="7B7764" w:themeColor="accent1" w:themeShade="7F"/>
    </w:rPr>
  </w:style>
  <w:style w:type="paragraph" w:styleId="Heading8">
    <w:name w:val="heading 8"/>
    <w:basedOn w:val="Normal"/>
    <w:next w:val="Normal"/>
    <w:link w:val="Heading8Char"/>
    <w:uiPriority w:val="9"/>
    <w:semiHidden/>
    <w:unhideWhenUsed/>
    <w:qFormat/>
    <w:rsid w:val="0000026A"/>
    <w:pPr>
      <w:keepNext/>
      <w:keepLines/>
      <w:spacing w:before="40"/>
      <w:ind w:left="1440" w:hanging="1440"/>
      <w:jc w:val="both"/>
      <w:outlineLvl w:val="7"/>
    </w:pPr>
    <w:rPr>
      <w:rFonts w:asciiTheme="majorHAnsi" w:eastAsiaTheme="majorEastAsia" w:hAnsiTheme="majorHAnsi" w:cstheme="majorBidi"/>
      <w:color w:val="009891" w:themeColor="text1" w:themeTint="D8"/>
      <w:sz w:val="21"/>
      <w:szCs w:val="21"/>
    </w:rPr>
  </w:style>
  <w:style w:type="paragraph" w:styleId="Heading9">
    <w:name w:val="heading 9"/>
    <w:basedOn w:val="Normal"/>
    <w:next w:val="Normal"/>
    <w:link w:val="Heading9Char"/>
    <w:uiPriority w:val="9"/>
    <w:semiHidden/>
    <w:unhideWhenUsed/>
    <w:qFormat/>
    <w:rsid w:val="0000026A"/>
    <w:pPr>
      <w:keepNext/>
      <w:keepLines/>
      <w:spacing w:before="40"/>
      <w:ind w:left="1584" w:hanging="1584"/>
      <w:jc w:val="both"/>
      <w:outlineLvl w:val="8"/>
    </w:pPr>
    <w:rPr>
      <w:rFonts w:asciiTheme="majorHAnsi" w:eastAsiaTheme="majorEastAsia" w:hAnsiTheme="majorHAnsi" w:cstheme="majorBidi"/>
      <w:i/>
      <w:iCs/>
      <w:color w:val="009891"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7CE4"/>
    <w:rPr>
      <w:rFonts w:asciiTheme="majorHAnsi" w:eastAsiaTheme="majorEastAsia" w:hAnsiTheme="majorHAnsi" w:cstheme="majorBidi"/>
      <w:b/>
      <w:color w:val="005854"/>
      <w:sz w:val="32"/>
      <w:szCs w:val="32"/>
    </w:rPr>
  </w:style>
  <w:style w:type="character" w:customStyle="1" w:styleId="Heading2Char">
    <w:name w:val="Heading 2 Char"/>
    <w:basedOn w:val="DefaultParagraphFont"/>
    <w:link w:val="Heading2"/>
    <w:uiPriority w:val="9"/>
    <w:rsid w:val="00333ABE"/>
    <w:rPr>
      <w:rFonts w:ascii="Century Gothic" w:eastAsiaTheme="majorEastAsia" w:hAnsi="Century Gothic" w:cstheme="majorBidi"/>
      <w:b/>
      <w:i/>
      <w:color w:val="005854"/>
      <w:sz w:val="28"/>
      <w:szCs w:val="26"/>
    </w:rPr>
  </w:style>
  <w:style w:type="paragraph" w:styleId="Title">
    <w:name w:val="Title"/>
    <w:basedOn w:val="Normal"/>
    <w:next w:val="Normal"/>
    <w:link w:val="TitleChar"/>
    <w:autoRedefine/>
    <w:uiPriority w:val="10"/>
    <w:qFormat/>
    <w:rsid w:val="00562EF4"/>
    <w:pPr>
      <w:contextualSpacing/>
    </w:pPr>
    <w:rPr>
      <w:rFonts w:eastAsiaTheme="majorEastAsia" w:cstheme="majorHAnsi"/>
      <w:color w:val="005854"/>
      <w:kern w:val="28"/>
      <w:sz w:val="28"/>
      <w:szCs w:val="56"/>
    </w:rPr>
  </w:style>
  <w:style w:type="character" w:customStyle="1" w:styleId="TitleChar">
    <w:name w:val="Title Char"/>
    <w:basedOn w:val="DefaultParagraphFont"/>
    <w:link w:val="Title"/>
    <w:uiPriority w:val="10"/>
    <w:rsid w:val="00562EF4"/>
    <w:rPr>
      <w:rFonts w:ascii="Arial" w:eastAsiaTheme="majorEastAsia" w:hAnsi="Arial" w:cstheme="majorHAnsi"/>
      <w:color w:val="005854"/>
      <w:kern w:val="28"/>
      <w:sz w:val="28"/>
      <w:szCs w:val="56"/>
    </w:rPr>
  </w:style>
  <w:style w:type="paragraph" w:styleId="Subtitle">
    <w:name w:val="Subtitle"/>
    <w:aliases w:val="Alaotsikko ilman numerointia"/>
    <w:basedOn w:val="Normal"/>
    <w:next w:val="Normal"/>
    <w:link w:val="SubtitleChar"/>
    <w:autoRedefine/>
    <w:uiPriority w:val="11"/>
    <w:qFormat/>
    <w:rsid w:val="00562EF4"/>
    <w:pPr>
      <w:numPr>
        <w:ilvl w:val="1"/>
      </w:numPr>
    </w:pPr>
    <w:rPr>
      <w:rFonts w:eastAsiaTheme="minorEastAsia"/>
      <w:b/>
      <w:color w:val="005854"/>
      <w:spacing w:val="15"/>
    </w:rPr>
  </w:style>
  <w:style w:type="character" w:customStyle="1" w:styleId="SubtitleChar">
    <w:name w:val="Subtitle Char"/>
    <w:aliases w:val="Alaotsikko ilman numerointia Char"/>
    <w:basedOn w:val="DefaultParagraphFont"/>
    <w:link w:val="Subtitle"/>
    <w:uiPriority w:val="11"/>
    <w:rsid w:val="00562EF4"/>
    <w:rPr>
      <w:rFonts w:ascii="Arial" w:eastAsiaTheme="minorEastAsia" w:hAnsi="Arial"/>
      <w:b/>
      <w:color w:val="005854"/>
      <w:spacing w:val="15"/>
    </w:rPr>
  </w:style>
  <w:style w:type="paragraph" w:styleId="Header">
    <w:name w:val="header"/>
    <w:basedOn w:val="Normal"/>
    <w:link w:val="HeaderChar"/>
    <w:uiPriority w:val="99"/>
    <w:unhideWhenUsed/>
    <w:rsid w:val="00892B23"/>
    <w:pPr>
      <w:tabs>
        <w:tab w:val="center" w:pos="4819"/>
        <w:tab w:val="right" w:pos="9638"/>
      </w:tabs>
    </w:pPr>
  </w:style>
  <w:style w:type="character" w:customStyle="1" w:styleId="HeaderChar">
    <w:name w:val="Header Char"/>
    <w:basedOn w:val="DefaultParagraphFont"/>
    <w:link w:val="Header"/>
    <w:uiPriority w:val="99"/>
    <w:rsid w:val="00892B23"/>
  </w:style>
  <w:style w:type="paragraph" w:styleId="Footer">
    <w:name w:val="footer"/>
    <w:basedOn w:val="Normal"/>
    <w:link w:val="FooterChar"/>
    <w:uiPriority w:val="99"/>
    <w:unhideWhenUsed/>
    <w:rsid w:val="00892B23"/>
    <w:pPr>
      <w:tabs>
        <w:tab w:val="center" w:pos="4819"/>
        <w:tab w:val="right" w:pos="9638"/>
      </w:tabs>
    </w:pPr>
  </w:style>
  <w:style w:type="character" w:customStyle="1" w:styleId="FooterChar">
    <w:name w:val="Footer Char"/>
    <w:basedOn w:val="DefaultParagraphFont"/>
    <w:link w:val="Footer"/>
    <w:uiPriority w:val="99"/>
    <w:rsid w:val="00892B23"/>
  </w:style>
  <w:style w:type="table" w:styleId="TableGrid">
    <w:name w:val="Table Grid"/>
    <w:basedOn w:val="TableNormal"/>
    <w:uiPriority w:val="59"/>
    <w:rsid w:val="00892B23"/>
    <w:rPr>
      <w:rFonts w:cs="Times New Roman"/>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3B42F6"/>
    <w:rPr>
      <w:color w:val="0000FF"/>
      <w:u w:val="single"/>
    </w:rPr>
  </w:style>
  <w:style w:type="paragraph" w:styleId="PlainText">
    <w:name w:val="Plain Text"/>
    <w:basedOn w:val="Normal"/>
    <w:link w:val="PlainTextChar"/>
    <w:uiPriority w:val="99"/>
    <w:unhideWhenUsed/>
    <w:rsid w:val="003B42F6"/>
    <w:pPr>
      <w:ind w:left="567"/>
    </w:pPr>
    <w:rPr>
      <w:rFonts w:ascii="Calibri" w:hAnsi="Calibri" w:cs="Consolas"/>
      <w:color w:val="00C1B8" w:themeColor="text1" w:themeTint="BF"/>
      <w:sz w:val="22"/>
      <w:szCs w:val="21"/>
    </w:rPr>
  </w:style>
  <w:style w:type="character" w:customStyle="1" w:styleId="PlainTextChar">
    <w:name w:val="Plain Text Char"/>
    <w:basedOn w:val="DefaultParagraphFont"/>
    <w:link w:val="PlainText"/>
    <w:uiPriority w:val="99"/>
    <w:rsid w:val="003B42F6"/>
    <w:rPr>
      <w:rFonts w:ascii="Calibri" w:hAnsi="Calibri" w:cs="Consolas"/>
      <w:color w:val="00C1B8" w:themeColor="text1" w:themeTint="BF"/>
      <w:sz w:val="22"/>
      <w:szCs w:val="21"/>
    </w:rPr>
  </w:style>
  <w:style w:type="paragraph" w:styleId="NoSpacing">
    <w:name w:val="No Spacing"/>
    <w:uiPriority w:val="1"/>
    <w:qFormat/>
    <w:rsid w:val="006B2664"/>
    <w:pPr>
      <w:tabs>
        <w:tab w:val="left" w:pos="1304"/>
      </w:tabs>
    </w:pPr>
    <w:rPr>
      <w:rFonts w:ascii="Arial" w:hAnsi="Arial"/>
    </w:rPr>
  </w:style>
  <w:style w:type="character" w:styleId="IntenseReference">
    <w:name w:val="Intense Reference"/>
    <w:basedOn w:val="DefaultParagraphFont"/>
    <w:uiPriority w:val="32"/>
    <w:qFormat/>
    <w:rsid w:val="000B601B"/>
    <w:rPr>
      <w:rFonts w:ascii="Century Gothic" w:hAnsi="Century Gothic"/>
      <w:b/>
      <w:bCs/>
      <w:i/>
      <w:smallCaps/>
      <w:color w:val="575757"/>
      <w:spacing w:val="5"/>
      <w:sz w:val="20"/>
    </w:rPr>
  </w:style>
  <w:style w:type="character" w:styleId="IntenseEmphasis">
    <w:name w:val="Intense Emphasis"/>
    <w:basedOn w:val="DefaultParagraphFont"/>
    <w:uiPriority w:val="21"/>
    <w:qFormat/>
    <w:rsid w:val="000B601B"/>
    <w:rPr>
      <w:rFonts w:ascii="Century Gothic" w:hAnsi="Century Gothic"/>
      <w:b/>
      <w:i/>
      <w:iCs/>
      <w:color w:val="575757"/>
      <w:sz w:val="20"/>
    </w:rPr>
  </w:style>
  <w:style w:type="paragraph" w:styleId="Quote">
    <w:name w:val="Quote"/>
    <w:basedOn w:val="Normal"/>
    <w:next w:val="Normal"/>
    <w:link w:val="QuoteChar"/>
    <w:autoRedefine/>
    <w:uiPriority w:val="29"/>
    <w:qFormat/>
    <w:rsid w:val="00333ABE"/>
    <w:pPr>
      <w:spacing w:before="200"/>
      <w:ind w:left="864" w:right="864"/>
      <w:jc w:val="center"/>
    </w:pPr>
    <w:rPr>
      <w:i/>
      <w:iCs/>
    </w:rPr>
  </w:style>
  <w:style w:type="character" w:customStyle="1" w:styleId="QuoteChar">
    <w:name w:val="Quote Char"/>
    <w:basedOn w:val="DefaultParagraphFont"/>
    <w:link w:val="Quote"/>
    <w:uiPriority w:val="29"/>
    <w:rsid w:val="00333ABE"/>
    <w:rPr>
      <w:rFonts w:ascii="Arial" w:hAnsi="Arial"/>
      <w:i/>
      <w:iCs/>
    </w:rPr>
  </w:style>
  <w:style w:type="paragraph" w:styleId="IntenseQuote">
    <w:name w:val="Intense Quote"/>
    <w:basedOn w:val="Normal"/>
    <w:next w:val="Normal"/>
    <w:link w:val="IntenseQuoteChar"/>
    <w:uiPriority w:val="30"/>
    <w:qFormat/>
    <w:rsid w:val="000B601B"/>
    <w:pPr>
      <w:pBdr>
        <w:top w:val="single" w:sz="4" w:space="10" w:color="E4E3DE" w:themeColor="accent1"/>
        <w:bottom w:val="single" w:sz="4" w:space="10" w:color="E4E3DE"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0B601B"/>
    <w:rPr>
      <w:rFonts w:ascii="Poppins Medium" w:hAnsi="Poppins Medium"/>
      <w:i/>
      <w:iCs/>
      <w:color w:val="575757"/>
    </w:rPr>
  </w:style>
  <w:style w:type="character" w:styleId="SubtleReference">
    <w:name w:val="Subtle Reference"/>
    <w:basedOn w:val="DefaultParagraphFont"/>
    <w:uiPriority w:val="31"/>
    <w:qFormat/>
    <w:rsid w:val="00333ABE"/>
    <w:rPr>
      <w:smallCaps/>
      <w:color w:val="auto"/>
    </w:rPr>
  </w:style>
  <w:style w:type="character" w:customStyle="1" w:styleId="Heading3Char">
    <w:name w:val="Heading 3 Char"/>
    <w:basedOn w:val="DefaultParagraphFont"/>
    <w:link w:val="Heading3"/>
    <w:uiPriority w:val="9"/>
    <w:semiHidden/>
    <w:rsid w:val="00333ABE"/>
    <w:rPr>
      <w:rFonts w:asciiTheme="majorHAnsi" w:eastAsiaTheme="majorEastAsia" w:hAnsiTheme="majorHAnsi" w:cstheme="majorBidi"/>
      <w:color w:val="005854"/>
    </w:rPr>
  </w:style>
  <w:style w:type="table" w:customStyle="1" w:styleId="TaulukkoRuudukko1">
    <w:name w:val="Taulukko Ruudukko1"/>
    <w:basedOn w:val="TableNormal"/>
    <w:next w:val="TableGrid"/>
    <w:uiPriority w:val="59"/>
    <w:rsid w:val="009268B2"/>
    <w:rPr>
      <w:rFonts w:cs="Times New Roman"/>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leEmphasis">
    <w:name w:val="Subtle Emphasis"/>
    <w:basedOn w:val="DefaultParagraphFont"/>
    <w:uiPriority w:val="19"/>
    <w:qFormat/>
    <w:rsid w:val="00333ABE"/>
    <w:rPr>
      <w:i/>
      <w:iCs/>
      <w:color w:val="auto"/>
    </w:rPr>
  </w:style>
  <w:style w:type="character" w:styleId="Strong">
    <w:name w:val="Strong"/>
    <w:basedOn w:val="DefaultParagraphFont"/>
    <w:uiPriority w:val="22"/>
    <w:qFormat/>
    <w:rsid w:val="00962B66"/>
    <w:rPr>
      <w:b/>
      <w:bCs/>
    </w:rPr>
  </w:style>
  <w:style w:type="character" w:customStyle="1" w:styleId="Heading4Char">
    <w:name w:val="Heading 4 Char"/>
    <w:basedOn w:val="DefaultParagraphFont"/>
    <w:link w:val="Heading4"/>
    <w:uiPriority w:val="9"/>
    <w:semiHidden/>
    <w:rsid w:val="0000026A"/>
    <w:rPr>
      <w:rFonts w:asciiTheme="majorHAnsi" w:eastAsiaTheme="majorEastAsia" w:hAnsiTheme="majorHAnsi" w:cstheme="majorBidi"/>
      <w:i/>
      <w:iCs/>
      <w:color w:val="B1AE9F" w:themeColor="accent1" w:themeShade="BF"/>
    </w:rPr>
  </w:style>
  <w:style w:type="character" w:customStyle="1" w:styleId="Heading5Char">
    <w:name w:val="Heading 5 Char"/>
    <w:basedOn w:val="DefaultParagraphFont"/>
    <w:link w:val="Heading5"/>
    <w:uiPriority w:val="9"/>
    <w:semiHidden/>
    <w:rsid w:val="0000026A"/>
    <w:rPr>
      <w:rFonts w:asciiTheme="majorHAnsi" w:eastAsiaTheme="majorEastAsia" w:hAnsiTheme="majorHAnsi" w:cstheme="majorBidi"/>
      <w:color w:val="B1AE9F" w:themeColor="accent1" w:themeShade="BF"/>
    </w:rPr>
  </w:style>
  <w:style w:type="character" w:customStyle="1" w:styleId="Heading6Char">
    <w:name w:val="Heading 6 Char"/>
    <w:basedOn w:val="DefaultParagraphFont"/>
    <w:link w:val="Heading6"/>
    <w:uiPriority w:val="9"/>
    <w:semiHidden/>
    <w:rsid w:val="0000026A"/>
    <w:rPr>
      <w:rFonts w:asciiTheme="majorHAnsi" w:eastAsiaTheme="majorEastAsia" w:hAnsiTheme="majorHAnsi" w:cstheme="majorBidi"/>
      <w:color w:val="7B7764" w:themeColor="accent1" w:themeShade="7F"/>
    </w:rPr>
  </w:style>
  <w:style w:type="character" w:customStyle="1" w:styleId="Heading7Char">
    <w:name w:val="Heading 7 Char"/>
    <w:basedOn w:val="DefaultParagraphFont"/>
    <w:link w:val="Heading7"/>
    <w:uiPriority w:val="9"/>
    <w:semiHidden/>
    <w:rsid w:val="0000026A"/>
    <w:rPr>
      <w:rFonts w:asciiTheme="majorHAnsi" w:eastAsiaTheme="majorEastAsia" w:hAnsiTheme="majorHAnsi" w:cstheme="majorBidi"/>
      <w:i/>
      <w:iCs/>
      <w:color w:val="7B7764" w:themeColor="accent1" w:themeShade="7F"/>
    </w:rPr>
  </w:style>
  <w:style w:type="character" w:customStyle="1" w:styleId="Heading8Char">
    <w:name w:val="Heading 8 Char"/>
    <w:basedOn w:val="DefaultParagraphFont"/>
    <w:link w:val="Heading8"/>
    <w:uiPriority w:val="9"/>
    <w:semiHidden/>
    <w:rsid w:val="0000026A"/>
    <w:rPr>
      <w:rFonts w:asciiTheme="majorHAnsi" w:eastAsiaTheme="majorEastAsia" w:hAnsiTheme="majorHAnsi" w:cstheme="majorBidi"/>
      <w:color w:val="009891" w:themeColor="text1" w:themeTint="D8"/>
      <w:sz w:val="21"/>
      <w:szCs w:val="21"/>
    </w:rPr>
  </w:style>
  <w:style w:type="character" w:customStyle="1" w:styleId="Heading9Char">
    <w:name w:val="Heading 9 Char"/>
    <w:basedOn w:val="DefaultParagraphFont"/>
    <w:link w:val="Heading9"/>
    <w:uiPriority w:val="9"/>
    <w:semiHidden/>
    <w:rsid w:val="0000026A"/>
    <w:rPr>
      <w:rFonts w:asciiTheme="majorHAnsi" w:eastAsiaTheme="majorEastAsia" w:hAnsiTheme="majorHAnsi" w:cstheme="majorBidi"/>
      <w:i/>
      <w:iCs/>
      <w:color w:val="009891" w:themeColor="text1" w:themeTint="D8"/>
      <w:sz w:val="21"/>
      <w:szCs w:val="21"/>
    </w:rPr>
  </w:style>
  <w:style w:type="paragraph" w:styleId="Caption">
    <w:name w:val="caption"/>
    <w:basedOn w:val="Normal"/>
    <w:next w:val="Normal"/>
    <w:uiPriority w:val="35"/>
    <w:unhideWhenUsed/>
    <w:qFormat/>
    <w:rsid w:val="00322E35"/>
    <w:pPr>
      <w:spacing w:after="200"/>
    </w:pPr>
    <w:rPr>
      <w:i/>
      <w:iCs/>
      <w:color w:val="F28E77"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73018">
      <w:bodyDiv w:val="1"/>
      <w:marLeft w:val="0"/>
      <w:marRight w:val="0"/>
      <w:marTop w:val="0"/>
      <w:marBottom w:val="0"/>
      <w:divBdr>
        <w:top w:val="none" w:sz="0" w:space="0" w:color="auto"/>
        <w:left w:val="none" w:sz="0" w:space="0" w:color="auto"/>
        <w:bottom w:val="none" w:sz="0" w:space="0" w:color="auto"/>
        <w:right w:val="none" w:sz="0" w:space="0" w:color="auto"/>
      </w:divBdr>
    </w:div>
    <w:div w:id="63571795">
      <w:bodyDiv w:val="1"/>
      <w:marLeft w:val="0"/>
      <w:marRight w:val="0"/>
      <w:marTop w:val="0"/>
      <w:marBottom w:val="0"/>
      <w:divBdr>
        <w:top w:val="none" w:sz="0" w:space="0" w:color="auto"/>
        <w:left w:val="none" w:sz="0" w:space="0" w:color="auto"/>
        <w:bottom w:val="none" w:sz="0" w:space="0" w:color="auto"/>
        <w:right w:val="none" w:sz="0" w:space="0" w:color="auto"/>
      </w:divBdr>
    </w:div>
    <w:div w:id="177357183">
      <w:bodyDiv w:val="1"/>
      <w:marLeft w:val="0"/>
      <w:marRight w:val="0"/>
      <w:marTop w:val="0"/>
      <w:marBottom w:val="0"/>
      <w:divBdr>
        <w:top w:val="none" w:sz="0" w:space="0" w:color="auto"/>
        <w:left w:val="none" w:sz="0" w:space="0" w:color="auto"/>
        <w:bottom w:val="none" w:sz="0" w:space="0" w:color="auto"/>
        <w:right w:val="none" w:sz="0" w:space="0" w:color="auto"/>
      </w:divBdr>
    </w:div>
    <w:div w:id="495802431">
      <w:bodyDiv w:val="1"/>
      <w:marLeft w:val="0"/>
      <w:marRight w:val="0"/>
      <w:marTop w:val="0"/>
      <w:marBottom w:val="0"/>
      <w:divBdr>
        <w:top w:val="none" w:sz="0" w:space="0" w:color="auto"/>
        <w:left w:val="none" w:sz="0" w:space="0" w:color="auto"/>
        <w:bottom w:val="none" w:sz="0" w:space="0" w:color="auto"/>
        <w:right w:val="none" w:sz="0" w:space="0" w:color="auto"/>
      </w:divBdr>
    </w:div>
    <w:div w:id="687097209">
      <w:bodyDiv w:val="1"/>
      <w:marLeft w:val="0"/>
      <w:marRight w:val="0"/>
      <w:marTop w:val="0"/>
      <w:marBottom w:val="0"/>
      <w:divBdr>
        <w:top w:val="none" w:sz="0" w:space="0" w:color="auto"/>
        <w:left w:val="none" w:sz="0" w:space="0" w:color="auto"/>
        <w:bottom w:val="none" w:sz="0" w:space="0" w:color="auto"/>
        <w:right w:val="none" w:sz="0" w:space="0" w:color="auto"/>
      </w:divBdr>
    </w:div>
    <w:div w:id="761220851">
      <w:bodyDiv w:val="1"/>
      <w:marLeft w:val="0"/>
      <w:marRight w:val="0"/>
      <w:marTop w:val="0"/>
      <w:marBottom w:val="0"/>
      <w:divBdr>
        <w:top w:val="none" w:sz="0" w:space="0" w:color="auto"/>
        <w:left w:val="none" w:sz="0" w:space="0" w:color="auto"/>
        <w:bottom w:val="none" w:sz="0" w:space="0" w:color="auto"/>
        <w:right w:val="none" w:sz="0" w:space="0" w:color="auto"/>
      </w:divBdr>
    </w:div>
    <w:div w:id="791901844">
      <w:bodyDiv w:val="1"/>
      <w:marLeft w:val="0"/>
      <w:marRight w:val="0"/>
      <w:marTop w:val="0"/>
      <w:marBottom w:val="0"/>
      <w:divBdr>
        <w:top w:val="none" w:sz="0" w:space="0" w:color="auto"/>
        <w:left w:val="none" w:sz="0" w:space="0" w:color="auto"/>
        <w:bottom w:val="none" w:sz="0" w:space="0" w:color="auto"/>
        <w:right w:val="none" w:sz="0" w:space="0" w:color="auto"/>
      </w:divBdr>
    </w:div>
    <w:div w:id="1133795126">
      <w:bodyDiv w:val="1"/>
      <w:marLeft w:val="0"/>
      <w:marRight w:val="0"/>
      <w:marTop w:val="0"/>
      <w:marBottom w:val="0"/>
      <w:divBdr>
        <w:top w:val="none" w:sz="0" w:space="0" w:color="auto"/>
        <w:left w:val="none" w:sz="0" w:space="0" w:color="auto"/>
        <w:bottom w:val="none" w:sz="0" w:space="0" w:color="auto"/>
        <w:right w:val="none" w:sz="0" w:space="0" w:color="auto"/>
      </w:divBdr>
    </w:div>
    <w:div w:id="1681853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ema">
  <a:themeElements>
    <a:clrScheme name="Syken värimaailma">
      <a:dk1>
        <a:srgbClr val="005854"/>
      </a:dk1>
      <a:lt1>
        <a:srgbClr val="84C497"/>
      </a:lt1>
      <a:dk2>
        <a:srgbClr val="F28E77"/>
      </a:dk2>
      <a:lt2>
        <a:srgbClr val="64C1CB"/>
      </a:lt2>
      <a:accent1>
        <a:srgbClr val="E4E3DE"/>
      </a:accent1>
      <a:accent2>
        <a:srgbClr val="FCD9C9"/>
      </a:accent2>
      <a:accent3>
        <a:srgbClr val="CFE9EA"/>
      </a:accent3>
      <a:accent4>
        <a:srgbClr val="FED992"/>
      </a:accent4>
      <a:accent5>
        <a:srgbClr val="B34733"/>
      </a:accent5>
      <a:accent6>
        <a:srgbClr val="006085"/>
      </a:accent6>
      <a:hlink>
        <a:srgbClr val="0563C1"/>
      </a:hlink>
      <a:folHlink>
        <a:srgbClr val="954F72"/>
      </a:folHlink>
    </a:clrScheme>
    <a:fontScheme name="Mukautettu 2">
      <a:majorFont>
        <a:latin typeface="Century Gothic"/>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556087-321F-402A-8065-E3C4D6F28A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15</Pages>
  <Words>4184</Words>
  <Characters>33894</Characters>
  <Application>Microsoft Office Word</Application>
  <DocSecurity>0</DocSecurity>
  <Lines>282</Lines>
  <Paragraphs>76</Paragraphs>
  <ScaleCrop>false</ScaleCrop>
  <HeadingPairs>
    <vt:vector size="2" baseType="variant">
      <vt:variant>
        <vt:lpstr>Title</vt:lpstr>
      </vt:variant>
      <vt:variant>
        <vt:i4>1</vt:i4>
      </vt:variant>
    </vt:vector>
  </HeadingPairs>
  <TitlesOfParts>
    <vt:vector size="1" baseType="lpstr">
      <vt:lpstr/>
    </vt:vector>
  </TitlesOfParts>
  <Company>SYKE</Company>
  <LinksUpToDate>false</LinksUpToDate>
  <CharactersWithSpaces>38002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Suomalainen Emilia</dc:creator>
  <cp:keywords/>
  <dc:description/>
  <cp:lastModifiedBy>Suomalainen Emilia</cp:lastModifiedBy>
  <cp:revision>8</cp:revision>
  <dcterms:created xsi:type="dcterms:W3CDTF">2025-01-31T13:43:00Z</dcterms:created>
  <dcterms:modified xsi:type="dcterms:W3CDTF">2025-02-06T11:36:00Z</dcterms:modified>
</cp:coreProperties>
</file>