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17BF" w14:textId="5B4FA8D0" w:rsidR="00CB1EFB" w:rsidRPr="00BE0B69" w:rsidRDefault="00CB1EFB" w:rsidP="00CB1EFB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BE0B69">
        <w:rPr>
          <w:rFonts w:ascii="Arial" w:hAnsi="Arial" w:cs="Arial"/>
          <w:b/>
          <w:bCs/>
        </w:rPr>
        <w:t>Supplement</w:t>
      </w:r>
      <w:r w:rsidR="00260F14">
        <w:rPr>
          <w:rFonts w:ascii="Arial" w:hAnsi="Arial" w:cs="Arial"/>
          <w:b/>
          <w:bCs/>
        </w:rPr>
        <w:t>ary Information</w:t>
      </w:r>
      <w:r w:rsidRPr="00BE0B69">
        <w:rPr>
          <w:rFonts w:ascii="Arial" w:hAnsi="Arial" w:cs="Arial"/>
          <w:b/>
          <w:bCs/>
        </w:rPr>
        <w:t xml:space="preserve">: </w:t>
      </w:r>
      <w:r w:rsidRPr="00BE0B69">
        <w:rPr>
          <w:rFonts w:ascii="Arial" w:hAnsi="Arial" w:cs="Arial"/>
          <w:b/>
          <w:bCs/>
          <w:i/>
          <w:iCs/>
          <w:color w:val="000000" w:themeColor="text1"/>
        </w:rPr>
        <w:t>Microbiome manipulation and enhanced weathering stimulate CO</w:t>
      </w:r>
      <w:r w:rsidRPr="00BE0B69">
        <w:rPr>
          <w:rFonts w:ascii="Arial" w:hAnsi="Arial" w:cs="Arial"/>
          <w:b/>
          <w:bCs/>
          <w:i/>
          <w:iCs/>
          <w:color w:val="000000" w:themeColor="text1"/>
          <w:vertAlign w:val="subscript"/>
        </w:rPr>
        <w:t>2</w:t>
      </w:r>
      <w:r w:rsidRPr="00BE0B69">
        <w:rPr>
          <w:rFonts w:ascii="Arial" w:hAnsi="Arial" w:cs="Arial"/>
          <w:b/>
          <w:bCs/>
          <w:i/>
          <w:iCs/>
          <w:color w:val="000000" w:themeColor="text1"/>
        </w:rPr>
        <w:t xml:space="preserve"> removal in reforestation</w:t>
      </w:r>
    </w:p>
    <w:p w14:paraId="69E38D79" w14:textId="63A0D1ED" w:rsidR="00CB1EFB" w:rsidRPr="00BE0B69" w:rsidRDefault="00CB1EFB" w:rsidP="00CB1EFB">
      <w:pPr>
        <w:jc w:val="center"/>
        <w:rPr>
          <w:rFonts w:ascii="Arial" w:hAnsi="Arial" w:cs="Arial"/>
          <w:b/>
          <w:bCs/>
        </w:rPr>
      </w:pPr>
      <w:r w:rsidRPr="00BE0B69">
        <w:rPr>
          <w:rFonts w:ascii="Arial" w:hAnsi="Arial" w:cs="Arial"/>
          <w:b/>
          <w:bCs/>
        </w:rPr>
        <w:t xml:space="preserve">Mineralogical Analysis of </w:t>
      </w:r>
      <w:r w:rsidR="00BE0B69">
        <w:rPr>
          <w:rFonts w:ascii="Arial" w:hAnsi="Arial" w:cs="Arial"/>
          <w:b/>
          <w:bCs/>
        </w:rPr>
        <w:t>B</w:t>
      </w:r>
      <w:r w:rsidRPr="00BE0B69">
        <w:rPr>
          <w:rFonts w:ascii="Arial" w:hAnsi="Arial" w:cs="Arial"/>
          <w:b/>
          <w:bCs/>
        </w:rPr>
        <w:t xml:space="preserve">asalt </w:t>
      </w:r>
      <w:r w:rsidR="00BE0B69">
        <w:rPr>
          <w:rFonts w:ascii="Arial" w:hAnsi="Arial" w:cs="Arial"/>
          <w:b/>
          <w:bCs/>
        </w:rPr>
        <w:t>R</w:t>
      </w:r>
      <w:r w:rsidRPr="00BE0B69">
        <w:rPr>
          <w:rFonts w:ascii="Arial" w:hAnsi="Arial" w:cs="Arial"/>
          <w:b/>
          <w:bCs/>
        </w:rPr>
        <w:t xml:space="preserve">ock </w:t>
      </w:r>
      <w:r w:rsidR="00BE0B69">
        <w:rPr>
          <w:rFonts w:ascii="Arial" w:hAnsi="Arial" w:cs="Arial"/>
          <w:b/>
          <w:bCs/>
        </w:rPr>
        <w:t>D</w:t>
      </w:r>
      <w:r w:rsidRPr="00BE0B69">
        <w:rPr>
          <w:rFonts w:ascii="Arial" w:hAnsi="Arial" w:cs="Arial"/>
          <w:b/>
          <w:bCs/>
        </w:rPr>
        <w:t>ust</w:t>
      </w:r>
    </w:p>
    <w:p w14:paraId="6670F0C2" w14:textId="77777777" w:rsidR="00CB1EFB" w:rsidRPr="00BE0B69" w:rsidRDefault="00CB1EFB" w:rsidP="00CA7424">
      <w:pPr>
        <w:rPr>
          <w:rFonts w:ascii="Arial" w:hAnsi="Arial" w:cs="Arial"/>
          <w:b/>
          <w:bCs/>
        </w:rPr>
      </w:pPr>
    </w:p>
    <w:p w14:paraId="15A8D706" w14:textId="471D98E5" w:rsidR="00BE0B69" w:rsidRPr="00190B05" w:rsidRDefault="00BE0B69" w:rsidP="00CA7424">
      <w:pPr>
        <w:rPr>
          <w:rFonts w:ascii="Arial" w:hAnsi="Arial" w:cs="Arial"/>
          <w:b/>
          <w:bCs/>
          <w:i/>
          <w:iCs/>
        </w:rPr>
      </w:pPr>
      <w:r w:rsidRPr="00BE0B69">
        <w:rPr>
          <w:rFonts w:ascii="Arial" w:hAnsi="Arial" w:cs="Arial"/>
          <w:b/>
          <w:bCs/>
          <w:i/>
          <w:iCs/>
        </w:rPr>
        <w:t>X-Ray Diffraction</w:t>
      </w:r>
    </w:p>
    <w:p w14:paraId="7F70D31C" w14:textId="1F985680" w:rsidR="00CB1EFB" w:rsidRPr="00CB1EFB" w:rsidRDefault="00CB1EFB" w:rsidP="00CB1EFB">
      <w:pPr>
        <w:rPr>
          <w:rFonts w:ascii="Arial" w:hAnsi="Arial" w:cs="Arial"/>
        </w:rPr>
      </w:pPr>
      <w:r w:rsidRPr="00CB1EFB">
        <w:rPr>
          <w:rFonts w:ascii="Arial" w:hAnsi="Arial" w:cs="Arial"/>
        </w:rPr>
        <w:t>XRD analyses were undertaken at Imperial College London’s Civil and Environmental Engineering Material Laboratory.</w:t>
      </w:r>
      <w:r w:rsidR="00BE0B69">
        <w:rPr>
          <w:rFonts w:ascii="Arial" w:hAnsi="Arial" w:cs="Arial"/>
        </w:rPr>
        <w:t xml:space="preserve"> </w:t>
      </w:r>
      <w:r w:rsidRPr="00CB1EFB">
        <w:rPr>
          <w:rFonts w:ascii="Arial" w:hAnsi="Arial" w:cs="Arial"/>
        </w:rPr>
        <w:t xml:space="preserve">XRD analyses were conducted on top-loaded, randomly oriented samples with a Rigaku </w:t>
      </w:r>
      <w:proofErr w:type="spellStart"/>
      <w:r w:rsidRPr="00CB1EFB">
        <w:rPr>
          <w:rFonts w:ascii="Arial" w:hAnsi="Arial" w:cs="Arial"/>
        </w:rPr>
        <w:t>miniflex</w:t>
      </w:r>
      <w:proofErr w:type="spellEnd"/>
      <w:r w:rsidRPr="00CB1EFB">
        <w:rPr>
          <w:rFonts w:ascii="Arial" w:hAnsi="Arial" w:cs="Arial"/>
        </w:rPr>
        <w:t xml:space="preserve"> diffractometer using </w:t>
      </w:r>
      <w:proofErr w:type="spellStart"/>
      <w:r w:rsidRPr="00CB1EFB">
        <w:rPr>
          <w:rFonts w:ascii="Arial" w:hAnsi="Arial" w:cs="Arial"/>
        </w:rPr>
        <w:t>CuK</w:t>
      </w:r>
      <w:proofErr w:type="spellEnd"/>
      <w:r w:rsidRPr="00CB1EFB">
        <w:rPr>
          <w:rFonts w:ascii="Arial" w:hAnsi="Arial" w:cs="Arial"/>
        </w:rPr>
        <w:t xml:space="preserve">α radiation, run at 40 kV and 15 mA. These are continuous scans 2θ = 2.00-80.00°, with a step size of 0.01, and a scan speed of 0.0833°/second, performed with a 1° divergence slit. Semi-quantitative results are calculated by </w:t>
      </w:r>
      <w:proofErr w:type="spellStart"/>
      <w:r w:rsidRPr="00CB1EFB">
        <w:rPr>
          <w:rFonts w:ascii="Arial" w:hAnsi="Arial" w:cs="Arial"/>
        </w:rPr>
        <w:t>HighScore</w:t>
      </w:r>
      <w:proofErr w:type="spellEnd"/>
      <w:r w:rsidRPr="00CB1EFB">
        <w:rPr>
          <w:rFonts w:ascii="Arial" w:hAnsi="Arial" w:cs="Arial"/>
        </w:rPr>
        <w:t xml:space="preserve"> </w:t>
      </w:r>
      <w:proofErr w:type="spellStart"/>
      <w:r w:rsidRPr="00CB1EFB">
        <w:rPr>
          <w:rFonts w:ascii="Arial" w:hAnsi="Arial" w:cs="Arial"/>
        </w:rPr>
        <w:t>Panalytical</w:t>
      </w:r>
      <w:proofErr w:type="spellEnd"/>
      <w:r w:rsidRPr="00CB1EFB">
        <w:rPr>
          <w:rFonts w:ascii="Arial" w:hAnsi="Arial" w:cs="Arial"/>
        </w:rPr>
        <w:t xml:space="preserve"> software, using referenced scale factor and Reference Intensity Ratio (RIR) values from the International Centre of Diffraction Data (ICDD) mineral database. This normalized RIR method (Chung 1974a, b; 1975) produces semi-quantitative results as estimated mass fractions using peak intensity values.</w:t>
      </w:r>
    </w:p>
    <w:p w14:paraId="7E2EB9B0" w14:textId="77777777" w:rsidR="00190B05" w:rsidRDefault="00190B05" w:rsidP="00CB1EFB">
      <w:pPr>
        <w:rPr>
          <w:rFonts w:ascii="Arial" w:hAnsi="Arial" w:cs="Arial"/>
        </w:rPr>
      </w:pPr>
    </w:p>
    <w:p w14:paraId="265FE271" w14:textId="2F32E6EE" w:rsidR="00CB1EFB" w:rsidRPr="00BE0B69" w:rsidRDefault="00CB1EFB" w:rsidP="00CB1EFB">
      <w:pPr>
        <w:rPr>
          <w:rFonts w:ascii="Arial" w:hAnsi="Arial" w:cs="Arial"/>
        </w:rPr>
      </w:pPr>
      <w:r w:rsidRPr="00CB1EFB">
        <w:rPr>
          <w:rFonts w:ascii="Arial" w:hAnsi="Arial" w:cs="Arial"/>
        </w:rPr>
        <w:t xml:space="preserve">Semi-quantitative data from 5 replicates of feedstock basalt ground to &lt;90 microns are presented in </w:t>
      </w:r>
      <w:r w:rsidR="00BE0B69" w:rsidRPr="00BE0B69">
        <w:rPr>
          <w:rFonts w:ascii="Arial" w:hAnsi="Arial" w:cs="Arial"/>
          <w:b/>
          <w:bCs/>
        </w:rPr>
        <w:t>Table 1</w:t>
      </w:r>
      <w:r w:rsidRPr="00CB1EFB">
        <w:rPr>
          <w:rFonts w:ascii="Arial" w:hAnsi="Arial" w:cs="Arial"/>
        </w:rPr>
        <w:t xml:space="preserve">.  Sodium-rich plagioclase felspar represents the most abundant mineral constituent (61-83%), followed by </w:t>
      </w:r>
      <w:r w:rsidR="005F796D">
        <w:rPr>
          <w:rFonts w:ascii="Arial" w:hAnsi="Arial" w:cs="Arial"/>
        </w:rPr>
        <w:t>moderate</w:t>
      </w:r>
      <w:r w:rsidR="00A84CCA">
        <w:rPr>
          <w:rFonts w:ascii="Arial" w:hAnsi="Arial" w:cs="Arial"/>
        </w:rPr>
        <w:t xml:space="preserve"> </w:t>
      </w:r>
      <w:r w:rsidRPr="00CB1EFB">
        <w:rPr>
          <w:rFonts w:ascii="Arial" w:hAnsi="Arial" w:cs="Arial"/>
        </w:rPr>
        <w:t>amounts of chlorite (12-18%) and trace vermiculite (0-2%), with variable amounts of quartz (0-5%), and calcite (1-14%).</w:t>
      </w:r>
      <w:r w:rsidR="00190B05">
        <w:rPr>
          <w:rFonts w:ascii="Arial" w:hAnsi="Arial" w:cs="Arial"/>
        </w:rPr>
        <w:t xml:space="preserve"> We note that </w:t>
      </w:r>
      <w:r w:rsidR="00190B05" w:rsidRPr="00190B05">
        <w:rPr>
          <w:rFonts w:ascii="Arial" w:hAnsi="Arial" w:cs="Arial"/>
        </w:rPr>
        <w:t>the plagioclase is compositionally intermediate</w:t>
      </w:r>
      <w:r w:rsidR="00156D09">
        <w:rPr>
          <w:rFonts w:ascii="Arial" w:hAnsi="Arial" w:cs="Arial"/>
        </w:rPr>
        <w:t>, with peaks matched to</w:t>
      </w:r>
      <w:r w:rsidR="00A84CCA">
        <w:rPr>
          <w:rFonts w:ascii="Arial" w:hAnsi="Arial" w:cs="Arial"/>
        </w:rPr>
        <w:t xml:space="preserve"> </w:t>
      </w:r>
      <w:r w:rsidR="00190B05" w:rsidRPr="00190B05">
        <w:rPr>
          <w:rFonts w:ascii="Arial" w:hAnsi="Arial" w:cs="Arial"/>
        </w:rPr>
        <w:t>end-member albite</w:t>
      </w:r>
      <w:r w:rsidR="00156D09">
        <w:rPr>
          <w:rFonts w:ascii="Arial" w:hAnsi="Arial" w:cs="Arial"/>
        </w:rPr>
        <w:t xml:space="preserve"> and</w:t>
      </w:r>
      <w:r w:rsidR="00190B05">
        <w:rPr>
          <w:rFonts w:ascii="Arial" w:hAnsi="Arial" w:cs="Arial"/>
        </w:rPr>
        <w:t xml:space="preserve"> calcium-rich labradorite</w:t>
      </w:r>
      <w:r w:rsidR="00190B05" w:rsidRPr="00190B05">
        <w:rPr>
          <w:rFonts w:ascii="Arial" w:hAnsi="Arial" w:cs="Arial"/>
        </w:rPr>
        <w:t>. </w:t>
      </w:r>
    </w:p>
    <w:p w14:paraId="173467AE" w14:textId="77777777" w:rsidR="00CB1EFB" w:rsidRPr="00BE0B69" w:rsidRDefault="00CB1EFB" w:rsidP="00CA7424">
      <w:pPr>
        <w:rPr>
          <w:rFonts w:ascii="Arial" w:hAnsi="Arial" w:cs="Arial"/>
        </w:rPr>
      </w:pPr>
    </w:p>
    <w:p w14:paraId="6AA5C640" w14:textId="2C6CE311" w:rsidR="00CB1EFB" w:rsidRPr="00BE0B69" w:rsidRDefault="00CB1EFB" w:rsidP="00CA7424">
      <w:pPr>
        <w:rPr>
          <w:rFonts w:ascii="Arial" w:hAnsi="Arial" w:cs="Arial"/>
          <w:b/>
          <w:bCs/>
          <w:color w:val="000000" w:themeColor="text1"/>
        </w:rPr>
      </w:pPr>
      <w:r w:rsidRPr="00BE0B69">
        <w:rPr>
          <w:rFonts w:ascii="Arial" w:hAnsi="Arial" w:cs="Arial"/>
          <w:b/>
          <w:bCs/>
          <w:color w:val="000000" w:themeColor="text1"/>
        </w:rPr>
        <w:t xml:space="preserve">Table </w:t>
      </w:r>
      <w:r w:rsidR="00BE0B69" w:rsidRPr="00BE0B69">
        <w:rPr>
          <w:rFonts w:ascii="Arial" w:hAnsi="Arial" w:cs="Arial"/>
          <w:b/>
          <w:bCs/>
          <w:color w:val="000000" w:themeColor="text1"/>
        </w:rPr>
        <w:t>1</w:t>
      </w:r>
      <w:r w:rsidRPr="00BE0B69">
        <w:rPr>
          <w:rFonts w:ascii="Arial" w:hAnsi="Arial" w:cs="Arial"/>
          <w:b/>
          <w:bCs/>
          <w:color w:val="000000" w:themeColor="text1"/>
        </w:rPr>
        <w:t xml:space="preserve">. </w:t>
      </w:r>
      <w:r w:rsidRPr="00BE0B69">
        <w:rPr>
          <w:rFonts w:ascii="Arial" w:hAnsi="Arial" w:cs="Arial"/>
          <w:color w:val="000000" w:themeColor="text1"/>
        </w:rPr>
        <w:t>Mineral composition of five basalt samples determined via XRD. As the analysis is semi-quantitative, percentages may not sum to 100</w:t>
      </w:r>
      <w:r w:rsidR="00CA7424" w:rsidRPr="00BE0B69">
        <w:rPr>
          <w:rFonts w:ascii="Arial" w:hAnsi="Arial" w:cs="Arial"/>
          <w:b/>
          <w:bCs/>
          <w:color w:val="000000" w:themeColor="text1"/>
        </w:rPr>
        <w:t>.</w:t>
      </w:r>
    </w:p>
    <w:p w14:paraId="229C1C89" w14:textId="3DC28644" w:rsidR="00CA7424" w:rsidRPr="00BE0B69" w:rsidRDefault="00CA7424" w:rsidP="00CA7424">
      <w:pPr>
        <w:rPr>
          <w:rFonts w:ascii="Arial" w:hAnsi="Arial" w:cs="Arial"/>
          <w:b/>
          <w:bCs/>
          <w:color w:val="000000" w:themeColor="text1"/>
        </w:rPr>
      </w:pPr>
      <w:r w:rsidRPr="00BE0B69">
        <w:rPr>
          <w:rFonts w:ascii="Arial" w:hAnsi="Arial" w:cs="Arial"/>
          <w:b/>
          <w:bCs/>
          <w:color w:val="000000" w:themeColor="text1"/>
        </w:rPr>
        <w:t xml:space="preserve"> </w:t>
      </w:r>
    </w:p>
    <w:tbl>
      <w:tblPr>
        <w:tblW w:w="10457" w:type="dxa"/>
        <w:jc w:val="center"/>
        <w:tblLook w:val="04A0" w:firstRow="1" w:lastRow="0" w:firstColumn="1" w:lastColumn="0" w:noHBand="0" w:noVBand="1"/>
      </w:tblPr>
      <w:tblGrid>
        <w:gridCol w:w="1266"/>
        <w:gridCol w:w="1043"/>
        <w:gridCol w:w="1403"/>
        <w:gridCol w:w="922"/>
        <w:gridCol w:w="937"/>
        <w:gridCol w:w="1444"/>
        <w:gridCol w:w="950"/>
        <w:gridCol w:w="750"/>
        <w:gridCol w:w="1137"/>
        <w:gridCol w:w="1137"/>
      </w:tblGrid>
      <w:tr w:rsidR="00CB1EFB" w:rsidRPr="00BE0B69" w14:paraId="6F8EE659" w14:textId="77777777" w:rsidTr="000B3428">
        <w:trPr>
          <w:trHeight w:val="1136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7089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1D86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Chlorite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6AC8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Vermiculite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6B750F9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Total Clay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3E4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Quartz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36B9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Plagioclase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F608D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Calcite 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7E481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F643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A87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B1EFB" w:rsidRPr="00BE0B69" w14:paraId="0AA2C9D0" w14:textId="77777777" w:rsidTr="000B3428">
        <w:trPr>
          <w:trHeight w:val="30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7E788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Sample 1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2859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8CEF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49DAC46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F895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4F69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23C79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6B2D1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D2FE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36A9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B1EFB" w:rsidRPr="00BE0B69" w14:paraId="0FB9CAEC" w14:textId="77777777" w:rsidTr="000B3428">
        <w:trPr>
          <w:trHeight w:val="30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4F0EE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Sample 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8F0F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1FEB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69162BE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1433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C810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4D7FE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EFE5F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6D9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BF7B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B1EFB" w:rsidRPr="00BE0B69" w14:paraId="182407A8" w14:textId="77777777" w:rsidTr="000B3428">
        <w:trPr>
          <w:trHeight w:val="30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A6F29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Sample 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7746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8A2D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7ECC0B5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A9DB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90C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1A02F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AD0FD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99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504E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845F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B1EFB" w:rsidRPr="00BE0B69" w14:paraId="56815AD4" w14:textId="77777777" w:rsidTr="000B3428">
        <w:trPr>
          <w:trHeight w:val="30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67506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Sample 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3B79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780F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F8CAEE4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39B1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257A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27B8E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AE64F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1196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5366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B1EFB" w:rsidRPr="00BE0B69" w14:paraId="495C235C" w14:textId="77777777" w:rsidTr="000B3428">
        <w:trPr>
          <w:trHeight w:val="30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64AB6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Sample 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CFDD6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2CCCB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bottom"/>
            <w:hideMark/>
          </w:tcPr>
          <w:p w14:paraId="49073740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F723C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E356B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450F8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300C1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BE0B6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AA9B" w14:textId="77777777" w:rsidR="00CA7424" w:rsidRPr="00BE0B69" w:rsidRDefault="00CA7424" w:rsidP="008550D0">
            <w:pPr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C284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CB1EFB" w:rsidRPr="00BE0B69" w14:paraId="09FADDF1" w14:textId="77777777" w:rsidTr="000B3428">
        <w:trPr>
          <w:trHeight w:val="304"/>
          <w:jc w:val="center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5F5A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0538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030B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A4B3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297D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7EAB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34A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30C0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FAB0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E99B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BE0B69" w:rsidRPr="00BE0B69" w14:paraId="5E479E91" w14:textId="77777777" w:rsidTr="000B3428">
        <w:trPr>
          <w:trHeight w:val="304"/>
          <w:jc w:val="center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18F9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1207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5CE7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D2E6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9840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88CB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C0C5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040E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79A7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0383" w14:textId="77777777" w:rsidR="00CA7424" w:rsidRPr="00BE0B69" w:rsidRDefault="00CA7424" w:rsidP="008550D0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</w:tbl>
    <w:p w14:paraId="6DD3DF63" w14:textId="77777777" w:rsidR="00D61098" w:rsidRDefault="00BE0B69" w:rsidP="00CA7424">
      <w:pPr>
        <w:rPr>
          <w:rFonts w:ascii="Arial" w:hAnsi="Arial" w:cs="Arial"/>
          <w:b/>
          <w:bCs/>
          <w:color w:val="000000" w:themeColor="text1"/>
        </w:rPr>
      </w:pPr>
      <w:r w:rsidRPr="00BE0B69">
        <w:rPr>
          <w:rFonts w:ascii="Arial" w:hAnsi="Arial" w:cs="Arial"/>
          <w:b/>
          <w:bCs/>
          <w:color w:val="000000" w:themeColor="text1"/>
        </w:rPr>
        <w:lastRenderedPageBreak/>
        <w:t xml:space="preserve">X-Ray Fluorescence. </w:t>
      </w:r>
    </w:p>
    <w:p w14:paraId="61C2BD87" w14:textId="0BAAC055" w:rsidR="00CA7424" w:rsidRPr="00384306" w:rsidRDefault="00BE0B69" w:rsidP="00CA7424">
      <w:pPr>
        <w:rPr>
          <w:rFonts w:ascii="Arial" w:hAnsi="Arial" w:cs="Arial"/>
          <w:color w:val="000000" w:themeColor="text1"/>
        </w:rPr>
      </w:pPr>
      <w:r w:rsidRPr="00BE0B69">
        <w:rPr>
          <w:rFonts w:ascii="Arial" w:hAnsi="Arial" w:cs="Arial"/>
          <w:color w:val="000000" w:themeColor="text1"/>
        </w:rPr>
        <w:t xml:space="preserve">Elemental composition of the </w:t>
      </w:r>
      <w:r w:rsidR="00111E4B">
        <w:rPr>
          <w:rFonts w:ascii="Arial" w:hAnsi="Arial" w:cs="Arial"/>
          <w:color w:val="000000" w:themeColor="text1"/>
        </w:rPr>
        <w:t>basalt feedstock</w:t>
      </w:r>
      <w:r w:rsidRPr="00BE0B69">
        <w:rPr>
          <w:rFonts w:ascii="Arial" w:hAnsi="Arial" w:cs="Arial"/>
          <w:color w:val="000000" w:themeColor="text1"/>
        </w:rPr>
        <w:t xml:space="preserve"> </w:t>
      </w:r>
      <w:r w:rsidR="00190B05">
        <w:rPr>
          <w:rFonts w:ascii="Arial" w:hAnsi="Arial" w:cs="Arial"/>
          <w:color w:val="000000" w:themeColor="text1"/>
        </w:rPr>
        <w:t>(</w:t>
      </w:r>
      <w:r w:rsidR="00D01FCA">
        <w:rPr>
          <w:rFonts w:ascii="Arial" w:hAnsi="Arial" w:cs="Arial"/>
          <w:color w:val="000000" w:themeColor="text1"/>
        </w:rPr>
        <w:t>n=4)</w:t>
      </w:r>
      <w:r w:rsidR="00384306">
        <w:rPr>
          <w:rFonts w:ascii="Arial" w:hAnsi="Arial" w:cs="Arial"/>
          <w:color w:val="000000" w:themeColor="text1"/>
        </w:rPr>
        <w:t xml:space="preserve"> </w:t>
      </w:r>
      <w:r w:rsidR="00154048">
        <w:rPr>
          <w:rFonts w:ascii="Arial" w:hAnsi="Arial" w:cs="Arial"/>
          <w:color w:val="000000" w:themeColor="text1"/>
        </w:rPr>
        <w:t>is</w:t>
      </w:r>
      <w:r w:rsidRPr="00BE0B69">
        <w:rPr>
          <w:rFonts w:ascii="Arial" w:hAnsi="Arial" w:cs="Arial"/>
          <w:color w:val="000000" w:themeColor="text1"/>
        </w:rPr>
        <w:t xml:space="preserve"> presented in </w:t>
      </w:r>
      <w:r w:rsidRPr="00BE0B69">
        <w:rPr>
          <w:rFonts w:ascii="Arial" w:hAnsi="Arial" w:cs="Arial"/>
          <w:b/>
          <w:bCs/>
          <w:color w:val="000000" w:themeColor="text1"/>
        </w:rPr>
        <w:t xml:space="preserve">Table 2. </w:t>
      </w:r>
      <w:r w:rsidR="00890ECB">
        <w:rPr>
          <w:rFonts w:ascii="Arial" w:hAnsi="Arial" w:cs="Arial"/>
          <w:color w:val="000000" w:themeColor="text1"/>
        </w:rPr>
        <w:t xml:space="preserve">These measurements were performed with a </w:t>
      </w:r>
      <w:r w:rsidR="00890ECB" w:rsidRPr="00154048">
        <w:rPr>
          <w:rFonts w:ascii="Arial" w:hAnsi="Arial" w:cs="Arial"/>
          <w:color w:val="000000" w:themeColor="text1"/>
        </w:rPr>
        <w:t xml:space="preserve">Malvern </w:t>
      </w:r>
      <w:proofErr w:type="spellStart"/>
      <w:r w:rsidR="00890ECB" w:rsidRPr="00154048">
        <w:rPr>
          <w:rFonts w:ascii="Arial" w:hAnsi="Arial" w:cs="Arial"/>
          <w:color w:val="000000" w:themeColor="text1"/>
        </w:rPr>
        <w:t>Panalytical</w:t>
      </w:r>
      <w:proofErr w:type="spellEnd"/>
      <w:r w:rsidR="00890ECB">
        <w:rPr>
          <w:rFonts w:ascii="Arial" w:hAnsi="Arial" w:cs="Arial"/>
          <w:color w:val="000000" w:themeColor="text1"/>
        </w:rPr>
        <w:t xml:space="preserve"> </w:t>
      </w:r>
      <w:proofErr w:type="spellStart"/>
      <w:r w:rsidR="00890ECB" w:rsidRPr="00154048">
        <w:rPr>
          <w:rFonts w:ascii="Arial" w:hAnsi="Arial" w:cs="Arial"/>
          <w:color w:val="000000" w:themeColor="text1"/>
        </w:rPr>
        <w:t>Zetium</w:t>
      </w:r>
      <w:proofErr w:type="spellEnd"/>
      <w:r w:rsidR="00A01C17">
        <w:rPr>
          <w:rFonts w:ascii="Arial" w:hAnsi="Arial" w:cs="Arial"/>
          <w:color w:val="000000" w:themeColor="text1"/>
        </w:rPr>
        <w:t xml:space="preserve"> XRF spectrometer</w:t>
      </w:r>
      <w:r w:rsidR="00890ECB" w:rsidRPr="00154048">
        <w:rPr>
          <w:rFonts w:ascii="Arial" w:hAnsi="Arial" w:cs="Arial"/>
          <w:color w:val="000000" w:themeColor="text1"/>
        </w:rPr>
        <w:t xml:space="preserve">; </w:t>
      </w:r>
      <w:r w:rsidR="00111E4B">
        <w:rPr>
          <w:rFonts w:ascii="Arial" w:hAnsi="Arial" w:cs="Arial"/>
          <w:color w:val="000000" w:themeColor="text1"/>
        </w:rPr>
        <w:t>Loss-on-ignition (LOI) was calculated gravimetrically with a blast furnace at 1050</w:t>
      </w:r>
      <w:r w:rsidR="00957E46">
        <w:rPr>
          <w:rFonts w:ascii="Arial" w:hAnsi="Arial" w:cs="Arial"/>
          <w:color w:val="000000" w:themeColor="text1"/>
        </w:rPr>
        <w:t xml:space="preserve"> </w:t>
      </w:r>
      <w:r w:rsidR="00957E46">
        <w:rPr>
          <w:rFonts w:ascii="Calibri" w:hAnsi="Calibri" w:cs="Calibri"/>
          <w:color w:val="000000" w:themeColor="text1"/>
        </w:rPr>
        <w:t>°</w:t>
      </w:r>
      <w:r w:rsidR="00111E4B">
        <w:rPr>
          <w:rFonts w:ascii="Arial" w:hAnsi="Arial" w:cs="Arial"/>
          <w:color w:val="000000" w:themeColor="text1"/>
        </w:rPr>
        <w:t>C</w:t>
      </w:r>
      <w:r w:rsidR="00775268">
        <w:rPr>
          <w:rFonts w:ascii="Arial" w:hAnsi="Arial" w:cs="Arial"/>
          <w:color w:val="000000" w:themeColor="text1"/>
        </w:rPr>
        <w:t xml:space="preserve"> for 1 Hour (Lechler &amp; Desilets, 1987)</w:t>
      </w:r>
      <w:r w:rsidR="00957E46">
        <w:rPr>
          <w:rFonts w:ascii="Arial" w:hAnsi="Arial" w:cs="Arial"/>
          <w:color w:val="000000" w:themeColor="text1"/>
        </w:rPr>
        <w:t>, oxide composition values account for LOI = 11.15%</w:t>
      </w:r>
      <w:r w:rsidR="00775268">
        <w:rPr>
          <w:rFonts w:ascii="Arial" w:hAnsi="Arial" w:cs="Arial"/>
          <w:color w:val="000000" w:themeColor="text1"/>
        </w:rPr>
        <w:t xml:space="preserve">. </w:t>
      </w:r>
      <w:r w:rsidR="00C0113C">
        <w:rPr>
          <w:rFonts w:ascii="Arial" w:hAnsi="Arial" w:cs="Arial"/>
          <w:color w:val="000000" w:themeColor="text1"/>
        </w:rPr>
        <w:t>Based on the elemental composition, the feedstock is</w:t>
      </w:r>
      <w:r w:rsidRPr="00BE0B69">
        <w:rPr>
          <w:rFonts w:ascii="Arial" w:hAnsi="Arial" w:cs="Arial"/>
          <w:color w:val="000000" w:themeColor="text1"/>
        </w:rPr>
        <w:t xml:space="preserve"> classified as a basaltic andesite (</w:t>
      </w:r>
      <w:r w:rsidRPr="00BE0B69">
        <w:rPr>
          <w:rFonts w:ascii="Arial" w:hAnsi="Arial" w:cs="Arial"/>
          <w:b/>
          <w:bCs/>
          <w:color w:val="000000" w:themeColor="text1"/>
        </w:rPr>
        <w:t xml:space="preserve">Fig 1). </w:t>
      </w:r>
    </w:p>
    <w:p w14:paraId="06EDC8AD" w14:textId="77777777" w:rsidR="00CA7424" w:rsidRPr="00BE0B69" w:rsidRDefault="00CA7424" w:rsidP="00CA7424">
      <w:pPr>
        <w:rPr>
          <w:rFonts w:ascii="Arial" w:hAnsi="Arial" w:cs="Arial"/>
        </w:rPr>
      </w:pPr>
    </w:p>
    <w:p w14:paraId="684FC08A" w14:textId="39C3D3CC" w:rsidR="00BE0B69" w:rsidRPr="00BE0B69" w:rsidRDefault="00BE0B69" w:rsidP="00BE0B69">
      <w:pPr>
        <w:rPr>
          <w:rFonts w:ascii="Arial" w:hAnsi="Arial" w:cs="Arial"/>
          <w:color w:val="000000" w:themeColor="text1"/>
        </w:rPr>
      </w:pPr>
      <w:r w:rsidRPr="00BE0B69">
        <w:rPr>
          <w:rFonts w:ascii="Arial" w:hAnsi="Arial" w:cs="Arial"/>
          <w:b/>
          <w:bCs/>
        </w:rPr>
        <w:t xml:space="preserve">Table 2. </w:t>
      </w:r>
      <w:r w:rsidRPr="00BE0B69">
        <w:rPr>
          <w:rFonts w:ascii="Arial" w:hAnsi="Arial" w:cs="Arial"/>
        </w:rPr>
        <w:t xml:space="preserve">Elemental composition of crushed basalt applied to selected plots, determined via XRF analysis. </w:t>
      </w:r>
      <w:r w:rsidR="00030058">
        <w:rPr>
          <w:rFonts w:ascii="Arial" w:hAnsi="Arial" w:cs="Arial"/>
        </w:rPr>
        <w:t>Trace amounts (</w:t>
      </w:r>
      <w:r w:rsidR="00F15029">
        <w:rPr>
          <w:rFonts w:ascii="Arial" w:hAnsi="Arial" w:cs="Arial"/>
        </w:rPr>
        <w:t>&lt;0.01%</w:t>
      </w:r>
      <w:r w:rsidR="00D2416D">
        <w:rPr>
          <w:rFonts w:ascii="Arial" w:hAnsi="Arial" w:cs="Arial"/>
        </w:rPr>
        <w:t xml:space="preserve">) </w:t>
      </w:r>
      <w:r w:rsidR="0076769A">
        <w:rPr>
          <w:rFonts w:ascii="Arial" w:hAnsi="Arial" w:cs="Arial"/>
        </w:rPr>
        <w:t>of Ni, Cu, Zn, Br, Sr, Y,</w:t>
      </w:r>
      <w:r w:rsidR="005E378E">
        <w:rPr>
          <w:rFonts w:ascii="Arial" w:hAnsi="Arial" w:cs="Arial"/>
        </w:rPr>
        <w:t xml:space="preserve"> and Zr were detected. </w:t>
      </w:r>
      <w:r w:rsidRPr="00BE0B69">
        <w:rPr>
          <w:rFonts w:ascii="Arial" w:hAnsi="Arial" w:cs="Arial"/>
          <w:color w:val="000000" w:themeColor="text1"/>
        </w:rPr>
        <w:t xml:space="preserve"> </w:t>
      </w:r>
    </w:p>
    <w:p w14:paraId="569A6545" w14:textId="77777777" w:rsidR="00BE0B69" w:rsidRPr="00BE0B69" w:rsidRDefault="00BE0B69" w:rsidP="00BE0B69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047"/>
      </w:tblGrid>
      <w:tr w:rsidR="00BE0B69" w:rsidRPr="00BE0B69" w14:paraId="1734AABF" w14:textId="77777777" w:rsidTr="00FF29F1">
        <w:trPr>
          <w:trHeight w:val="312"/>
          <w:jc w:val="center"/>
        </w:trPr>
        <w:tc>
          <w:tcPr>
            <w:tcW w:w="2405" w:type="dxa"/>
          </w:tcPr>
          <w:p w14:paraId="7C2BDA8F" w14:textId="77777777" w:rsidR="00BE0B69" w:rsidRPr="00BE0B69" w:rsidRDefault="00BE0B69" w:rsidP="008550D0">
            <w:pPr>
              <w:rPr>
                <w:rFonts w:ascii="Arial" w:hAnsi="Arial" w:cs="Arial"/>
                <w:b/>
                <w:bCs/>
              </w:rPr>
            </w:pPr>
            <w:r w:rsidRPr="00BE0B69">
              <w:rPr>
                <w:rFonts w:ascii="Arial" w:hAnsi="Arial" w:cs="Arial"/>
                <w:b/>
                <w:bCs/>
              </w:rPr>
              <w:t>Element</w:t>
            </w:r>
          </w:p>
        </w:tc>
        <w:tc>
          <w:tcPr>
            <w:tcW w:w="4047" w:type="dxa"/>
          </w:tcPr>
          <w:p w14:paraId="396C9FA1" w14:textId="2EBC5A4A" w:rsidR="00BE0B69" w:rsidRPr="00BE0B69" w:rsidRDefault="00775268" w:rsidP="008550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Weight </w:t>
            </w:r>
            <w:r w:rsidR="00BE0B69" w:rsidRPr="00BE0B69">
              <w:rPr>
                <w:rFonts w:ascii="Arial" w:hAnsi="Arial" w:cs="Arial"/>
                <w:b/>
                <w:bCs/>
              </w:rPr>
              <w:t xml:space="preserve">Percentage </w:t>
            </w:r>
          </w:p>
        </w:tc>
      </w:tr>
      <w:tr w:rsidR="00BE0B69" w:rsidRPr="00BE0B69" w14:paraId="486CDBF4" w14:textId="77777777" w:rsidTr="00FF29F1">
        <w:trPr>
          <w:trHeight w:val="312"/>
          <w:jc w:val="center"/>
        </w:trPr>
        <w:tc>
          <w:tcPr>
            <w:tcW w:w="2405" w:type="dxa"/>
          </w:tcPr>
          <w:p w14:paraId="5A873142" w14:textId="77777777" w:rsidR="00BE0B69" w:rsidRPr="00BE0B69" w:rsidRDefault="00BE0B69" w:rsidP="008550D0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Si</w:t>
            </w:r>
          </w:p>
        </w:tc>
        <w:tc>
          <w:tcPr>
            <w:tcW w:w="4047" w:type="dxa"/>
          </w:tcPr>
          <w:p w14:paraId="0F79A2F2" w14:textId="5F5DEA37" w:rsidR="00BE0B69" w:rsidRPr="00BE0B69" w:rsidRDefault="009A17A0" w:rsidP="0085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55.32</w:t>
            </w:r>
          </w:p>
        </w:tc>
      </w:tr>
      <w:tr w:rsidR="00BE0B69" w:rsidRPr="00BE0B69" w14:paraId="5A579F24" w14:textId="77777777" w:rsidTr="00FF29F1">
        <w:trPr>
          <w:trHeight w:val="312"/>
          <w:jc w:val="center"/>
        </w:trPr>
        <w:tc>
          <w:tcPr>
            <w:tcW w:w="2405" w:type="dxa"/>
          </w:tcPr>
          <w:p w14:paraId="133F08C5" w14:textId="77777777" w:rsidR="00BE0B69" w:rsidRPr="00BE0B69" w:rsidRDefault="00BE0B69" w:rsidP="008550D0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Al</w:t>
            </w:r>
          </w:p>
        </w:tc>
        <w:tc>
          <w:tcPr>
            <w:tcW w:w="4047" w:type="dxa"/>
          </w:tcPr>
          <w:p w14:paraId="74401AF8" w14:textId="7F7941AB" w:rsidR="00BE0B69" w:rsidRPr="00BE0B69" w:rsidRDefault="009A17A0" w:rsidP="0085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18.22</w:t>
            </w:r>
          </w:p>
        </w:tc>
      </w:tr>
      <w:tr w:rsidR="00154048" w:rsidRPr="00BE0B69" w14:paraId="51673E95" w14:textId="77777777" w:rsidTr="00FF29F1">
        <w:trPr>
          <w:trHeight w:val="312"/>
          <w:jc w:val="center"/>
        </w:trPr>
        <w:tc>
          <w:tcPr>
            <w:tcW w:w="2405" w:type="dxa"/>
          </w:tcPr>
          <w:p w14:paraId="0A0A21C9" w14:textId="1579F763" w:rsidR="00154048" w:rsidRPr="00BE0B69" w:rsidRDefault="00154048" w:rsidP="0085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</w:t>
            </w:r>
          </w:p>
        </w:tc>
        <w:tc>
          <w:tcPr>
            <w:tcW w:w="4047" w:type="dxa"/>
          </w:tcPr>
          <w:p w14:paraId="41BED7BD" w14:textId="7595669D" w:rsidR="00154048" w:rsidRDefault="00147FE2" w:rsidP="0085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9.81</w:t>
            </w:r>
          </w:p>
        </w:tc>
      </w:tr>
      <w:tr w:rsidR="00BE0B69" w:rsidRPr="00BE0B69" w14:paraId="5A3CFAAE" w14:textId="77777777" w:rsidTr="00FF29F1">
        <w:trPr>
          <w:trHeight w:val="312"/>
          <w:jc w:val="center"/>
        </w:trPr>
        <w:tc>
          <w:tcPr>
            <w:tcW w:w="2405" w:type="dxa"/>
          </w:tcPr>
          <w:p w14:paraId="6E811C70" w14:textId="77777777" w:rsidR="00BE0B69" w:rsidRPr="00BE0B69" w:rsidRDefault="00BE0B69" w:rsidP="008550D0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Mg</w:t>
            </w:r>
          </w:p>
        </w:tc>
        <w:tc>
          <w:tcPr>
            <w:tcW w:w="4047" w:type="dxa"/>
          </w:tcPr>
          <w:p w14:paraId="6A2CF842" w14:textId="761CF2AF" w:rsidR="00BE0B69" w:rsidRPr="00BE0B69" w:rsidRDefault="009A17A0" w:rsidP="0085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6.43</w:t>
            </w:r>
          </w:p>
        </w:tc>
      </w:tr>
      <w:tr w:rsidR="00BE0B69" w:rsidRPr="00BE0B69" w14:paraId="7E55D484" w14:textId="77777777" w:rsidTr="00FF29F1">
        <w:trPr>
          <w:trHeight w:val="312"/>
          <w:jc w:val="center"/>
        </w:trPr>
        <w:tc>
          <w:tcPr>
            <w:tcW w:w="2405" w:type="dxa"/>
          </w:tcPr>
          <w:p w14:paraId="7069C4F7" w14:textId="77777777" w:rsidR="00BE0B69" w:rsidRPr="00BE0B69" w:rsidRDefault="00BE0B69" w:rsidP="008550D0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Ca</w:t>
            </w:r>
          </w:p>
        </w:tc>
        <w:tc>
          <w:tcPr>
            <w:tcW w:w="4047" w:type="dxa"/>
          </w:tcPr>
          <w:p w14:paraId="24B63D2E" w14:textId="1A3B5E7A" w:rsidR="00BE0B69" w:rsidRPr="00BE0B69" w:rsidRDefault="00142F94" w:rsidP="0085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4.55</w:t>
            </w:r>
          </w:p>
        </w:tc>
      </w:tr>
      <w:tr w:rsidR="00BE0B69" w:rsidRPr="00BE0B69" w14:paraId="1A4055DB" w14:textId="77777777" w:rsidTr="00FF29F1">
        <w:trPr>
          <w:trHeight w:val="312"/>
          <w:jc w:val="center"/>
        </w:trPr>
        <w:tc>
          <w:tcPr>
            <w:tcW w:w="2405" w:type="dxa"/>
          </w:tcPr>
          <w:p w14:paraId="3DC6BEBE" w14:textId="77777777" w:rsidR="00BE0B69" w:rsidRPr="00BE0B69" w:rsidRDefault="00BE0B69" w:rsidP="008550D0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Na</w:t>
            </w:r>
          </w:p>
        </w:tc>
        <w:tc>
          <w:tcPr>
            <w:tcW w:w="4047" w:type="dxa"/>
          </w:tcPr>
          <w:p w14:paraId="0C90635B" w14:textId="5133F3B3" w:rsidR="00BE0B69" w:rsidRPr="00BE0B69" w:rsidRDefault="00142F94" w:rsidP="0085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3.19</w:t>
            </w:r>
          </w:p>
        </w:tc>
      </w:tr>
      <w:tr w:rsidR="00BE0B69" w:rsidRPr="00BE0B69" w14:paraId="58038DC8" w14:textId="77777777" w:rsidTr="00FF29F1">
        <w:trPr>
          <w:trHeight w:val="331"/>
          <w:jc w:val="center"/>
        </w:trPr>
        <w:tc>
          <w:tcPr>
            <w:tcW w:w="2405" w:type="dxa"/>
          </w:tcPr>
          <w:p w14:paraId="312A6416" w14:textId="77777777" w:rsidR="00BE0B69" w:rsidRPr="00BE0B69" w:rsidRDefault="00BE0B69" w:rsidP="008550D0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Ti</w:t>
            </w:r>
          </w:p>
        </w:tc>
        <w:tc>
          <w:tcPr>
            <w:tcW w:w="4047" w:type="dxa"/>
          </w:tcPr>
          <w:p w14:paraId="424E7C4E" w14:textId="2BA69947" w:rsidR="00BE0B69" w:rsidRPr="00BE0B69" w:rsidRDefault="00142F94" w:rsidP="0085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</w:t>
            </w:r>
          </w:p>
        </w:tc>
      </w:tr>
      <w:tr w:rsidR="00147FE2" w:rsidRPr="00BE0B69" w14:paraId="4D463BC5" w14:textId="77777777" w:rsidTr="00FF29F1">
        <w:trPr>
          <w:trHeight w:val="312"/>
          <w:jc w:val="center"/>
        </w:trPr>
        <w:tc>
          <w:tcPr>
            <w:tcW w:w="2405" w:type="dxa"/>
          </w:tcPr>
          <w:p w14:paraId="1B631C82" w14:textId="08E984F5" w:rsidR="00147FE2" w:rsidRPr="00BE0B69" w:rsidRDefault="00147FE2" w:rsidP="00147FE2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P</w:t>
            </w:r>
          </w:p>
        </w:tc>
        <w:tc>
          <w:tcPr>
            <w:tcW w:w="4047" w:type="dxa"/>
          </w:tcPr>
          <w:p w14:paraId="44495B74" w14:textId="019E59D7" w:rsidR="00147FE2" w:rsidRPr="00BE0B69" w:rsidRDefault="00147FE2" w:rsidP="00147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0.39</w:t>
            </w:r>
          </w:p>
        </w:tc>
      </w:tr>
      <w:tr w:rsidR="00147FE2" w:rsidRPr="00BE0B69" w14:paraId="367E3158" w14:textId="77777777" w:rsidTr="00FF29F1">
        <w:trPr>
          <w:trHeight w:val="312"/>
          <w:jc w:val="center"/>
        </w:trPr>
        <w:tc>
          <w:tcPr>
            <w:tcW w:w="2405" w:type="dxa"/>
          </w:tcPr>
          <w:p w14:paraId="1A6FCB1C" w14:textId="32E92E60" w:rsidR="00147FE2" w:rsidRPr="00BE0B69" w:rsidRDefault="00147FE2" w:rsidP="00147FE2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K</w:t>
            </w:r>
          </w:p>
        </w:tc>
        <w:tc>
          <w:tcPr>
            <w:tcW w:w="4047" w:type="dxa"/>
          </w:tcPr>
          <w:p w14:paraId="4DCFC325" w14:textId="36A4E53B" w:rsidR="00147FE2" w:rsidRPr="00BE0B69" w:rsidRDefault="00147FE2" w:rsidP="00147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</w:t>
            </w:r>
          </w:p>
        </w:tc>
      </w:tr>
      <w:tr w:rsidR="00147FE2" w:rsidRPr="00BE0B69" w14:paraId="4BBA8C28" w14:textId="77777777" w:rsidTr="00FF29F1">
        <w:trPr>
          <w:trHeight w:val="312"/>
          <w:jc w:val="center"/>
        </w:trPr>
        <w:tc>
          <w:tcPr>
            <w:tcW w:w="2405" w:type="dxa"/>
          </w:tcPr>
          <w:p w14:paraId="7D4E761A" w14:textId="5F5710E3" w:rsidR="00147FE2" w:rsidRPr="00BE0B69" w:rsidRDefault="00147FE2" w:rsidP="00147FE2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S</w:t>
            </w:r>
          </w:p>
        </w:tc>
        <w:tc>
          <w:tcPr>
            <w:tcW w:w="4047" w:type="dxa"/>
          </w:tcPr>
          <w:p w14:paraId="4615C1D9" w14:textId="2A2FB4D3" w:rsidR="00147FE2" w:rsidRDefault="00147FE2" w:rsidP="00147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</w:p>
        </w:tc>
      </w:tr>
      <w:tr w:rsidR="00147FE2" w:rsidRPr="00BE0B69" w14:paraId="338EEB67" w14:textId="77777777" w:rsidTr="00FF29F1">
        <w:trPr>
          <w:trHeight w:val="312"/>
          <w:jc w:val="center"/>
        </w:trPr>
        <w:tc>
          <w:tcPr>
            <w:tcW w:w="2405" w:type="dxa"/>
          </w:tcPr>
          <w:p w14:paraId="2237BAB6" w14:textId="70418BC5" w:rsidR="00147FE2" w:rsidRPr="00BE0B69" w:rsidRDefault="00147FE2" w:rsidP="00147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</w:t>
            </w:r>
          </w:p>
        </w:tc>
        <w:tc>
          <w:tcPr>
            <w:tcW w:w="4047" w:type="dxa"/>
          </w:tcPr>
          <w:p w14:paraId="4F02A55E" w14:textId="11BDF807" w:rsidR="00147FE2" w:rsidRPr="00BE0B69" w:rsidRDefault="00101904" w:rsidP="00147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0.12</w:t>
            </w:r>
          </w:p>
        </w:tc>
      </w:tr>
      <w:tr w:rsidR="00147FE2" w:rsidRPr="00BE0B69" w14:paraId="7A0D0004" w14:textId="77777777" w:rsidTr="00FF29F1">
        <w:trPr>
          <w:trHeight w:val="293"/>
          <w:jc w:val="center"/>
        </w:trPr>
        <w:tc>
          <w:tcPr>
            <w:tcW w:w="2405" w:type="dxa"/>
          </w:tcPr>
          <w:p w14:paraId="2479CAAD" w14:textId="77777777" w:rsidR="00147FE2" w:rsidRPr="00BE0B69" w:rsidRDefault="00147FE2" w:rsidP="00147FE2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>Cr</w:t>
            </w:r>
          </w:p>
        </w:tc>
        <w:tc>
          <w:tcPr>
            <w:tcW w:w="4047" w:type="dxa"/>
          </w:tcPr>
          <w:p w14:paraId="6F61126E" w14:textId="77777777" w:rsidR="00147FE2" w:rsidRPr="00BE0B69" w:rsidRDefault="00147FE2" w:rsidP="00147FE2">
            <w:pPr>
              <w:rPr>
                <w:rFonts w:ascii="Arial" w:hAnsi="Arial" w:cs="Arial"/>
              </w:rPr>
            </w:pPr>
            <w:r w:rsidRPr="00BE0B69">
              <w:rPr>
                <w:rFonts w:ascii="Arial" w:hAnsi="Arial" w:cs="Arial"/>
              </w:rPr>
              <w:t xml:space="preserve">0.02 </w:t>
            </w:r>
          </w:p>
        </w:tc>
      </w:tr>
    </w:tbl>
    <w:p w14:paraId="5417E92F" w14:textId="77777777" w:rsidR="00CE43AA" w:rsidRPr="00BE0B69" w:rsidRDefault="00CE43AA">
      <w:pPr>
        <w:rPr>
          <w:rFonts w:ascii="Arial" w:hAnsi="Arial" w:cs="Arial"/>
        </w:rPr>
      </w:pPr>
    </w:p>
    <w:p w14:paraId="60664EEC" w14:textId="7218CFCA" w:rsidR="00BE0B69" w:rsidRPr="00BE0B69" w:rsidRDefault="00BE0B69" w:rsidP="00BE0B69">
      <w:pPr>
        <w:rPr>
          <w:rFonts w:ascii="Arial" w:eastAsia="Times New Roman" w:hAnsi="Arial" w:cs="Arial"/>
          <w:color w:val="0563C1"/>
          <w:kern w:val="0"/>
          <w:u w:val="single"/>
          <w:lang w:eastAsia="en-GB"/>
          <w14:ligatures w14:val="none"/>
        </w:rPr>
      </w:pPr>
    </w:p>
    <w:p w14:paraId="6786F99B" w14:textId="426D3C36" w:rsidR="00BE0B69" w:rsidRDefault="00BE0B69">
      <w:pPr>
        <w:rPr>
          <w:rFonts w:ascii="Arial" w:hAnsi="Arial" w:cs="Arial"/>
        </w:rPr>
      </w:pPr>
    </w:p>
    <w:p w14:paraId="1B82265B" w14:textId="77777777" w:rsidR="000B3428" w:rsidRDefault="000B3428">
      <w:pPr>
        <w:rPr>
          <w:rFonts w:ascii="Arial" w:hAnsi="Arial" w:cs="Arial"/>
        </w:rPr>
      </w:pPr>
    </w:p>
    <w:p w14:paraId="2656F12B" w14:textId="77777777" w:rsidR="00445757" w:rsidRDefault="00445757">
      <w:pPr>
        <w:rPr>
          <w:rFonts w:ascii="Arial" w:hAnsi="Arial" w:cs="Arial"/>
        </w:rPr>
      </w:pPr>
    </w:p>
    <w:p w14:paraId="3AE079FF" w14:textId="77777777" w:rsidR="000B3428" w:rsidRPr="00BE0B69" w:rsidRDefault="000B3428">
      <w:pPr>
        <w:rPr>
          <w:rFonts w:ascii="Arial" w:hAnsi="Arial" w:cs="Arial"/>
        </w:rPr>
      </w:pPr>
    </w:p>
    <w:p w14:paraId="4891D1D6" w14:textId="77777777" w:rsidR="00BE0B69" w:rsidRPr="00BE0B69" w:rsidRDefault="00BE0B69">
      <w:pPr>
        <w:rPr>
          <w:rFonts w:ascii="Arial" w:hAnsi="Arial" w:cs="Arial"/>
        </w:rPr>
      </w:pPr>
    </w:p>
    <w:p w14:paraId="3B60C07C" w14:textId="6D715417" w:rsidR="00BE0B69" w:rsidRPr="00BE0B69" w:rsidRDefault="00BE0B69">
      <w:pPr>
        <w:rPr>
          <w:rFonts w:ascii="Arial" w:hAnsi="Arial" w:cs="Arial"/>
        </w:rPr>
      </w:pPr>
      <w:r w:rsidRPr="00BE0B69">
        <w:rPr>
          <w:rFonts w:ascii="Arial" w:hAnsi="Arial" w:cs="Arial"/>
          <w:b/>
          <w:bCs/>
        </w:rPr>
        <w:lastRenderedPageBreak/>
        <w:t xml:space="preserve">Fig 1. </w:t>
      </w:r>
      <w:r w:rsidRPr="00BE0B69">
        <w:rPr>
          <w:rFonts w:ascii="Arial" w:hAnsi="Arial" w:cs="Arial"/>
        </w:rPr>
        <w:t xml:space="preserve">Total alkali silica diagram for rock dust feedstock applied at the </w:t>
      </w:r>
      <w:proofErr w:type="spellStart"/>
      <w:r w:rsidRPr="00BE0B69">
        <w:rPr>
          <w:rFonts w:ascii="Arial" w:hAnsi="Arial" w:cs="Arial"/>
        </w:rPr>
        <w:t>Glandwr</w:t>
      </w:r>
      <w:proofErr w:type="spellEnd"/>
      <w:r w:rsidRPr="00BE0B69">
        <w:rPr>
          <w:rFonts w:ascii="Arial" w:hAnsi="Arial" w:cs="Arial"/>
        </w:rPr>
        <w:t xml:space="preserve"> Forest experiment.</w:t>
      </w:r>
      <w:r w:rsidRPr="00BE0B69">
        <w:rPr>
          <w:rFonts w:ascii="Arial" w:hAnsi="Arial" w:cs="Arial"/>
          <w:b/>
          <w:bCs/>
        </w:rPr>
        <w:t xml:space="preserve"> </w:t>
      </w:r>
      <w:r w:rsidRPr="00BE0B69">
        <w:rPr>
          <w:rFonts w:ascii="Arial" w:hAnsi="Arial" w:cs="Arial"/>
        </w:rPr>
        <w:t>This figure was created using the TAS Diagram Plotter V 3.0 (</w:t>
      </w:r>
      <w:hyperlink r:id="rId5" w:history="1">
        <w:r w:rsidRPr="00BE0B69">
          <w:rPr>
            <w:rFonts w:ascii="Arial" w:eastAsia="Times New Roman" w:hAnsi="Arial" w:cs="Arial"/>
            <w:color w:val="0563C1"/>
            <w:kern w:val="0"/>
            <w:u w:val="single"/>
            <w:lang w:eastAsia="en-GB"/>
            <w14:ligatures w14:val="none"/>
          </w:rPr>
          <w:t>https://zenodo.org/records/5907859</w:t>
        </w:r>
      </w:hyperlink>
      <w:r w:rsidRPr="00BE0B69">
        <w:rPr>
          <w:rFonts w:ascii="Arial" w:hAnsi="Arial" w:cs="Arial"/>
        </w:rPr>
        <w:t>)</w:t>
      </w:r>
    </w:p>
    <w:p w14:paraId="37B66975" w14:textId="77777777" w:rsidR="00BE0B69" w:rsidRPr="00BE0B69" w:rsidRDefault="00BE0B69">
      <w:pPr>
        <w:rPr>
          <w:rFonts w:ascii="Arial" w:hAnsi="Arial" w:cs="Arial"/>
          <w:b/>
          <w:bCs/>
        </w:rPr>
      </w:pPr>
    </w:p>
    <w:p w14:paraId="124E64FB" w14:textId="00782F0D" w:rsidR="00BE0B69" w:rsidRPr="00BE0B69" w:rsidRDefault="00BE7001" w:rsidP="00BE0B69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DB1C4F7" wp14:editId="242C485E">
            <wp:extent cx="8304028" cy="5135526"/>
            <wp:effectExtent l="0" t="0" r="14605" b="8255"/>
            <wp:docPr id="16980322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68A31B5-3030-4716-AD87-D514D48816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58ADFD6" w14:textId="77777777" w:rsidR="00BE0B69" w:rsidRPr="00BE0B69" w:rsidRDefault="00BE0B69">
      <w:pPr>
        <w:rPr>
          <w:rFonts w:ascii="Arial" w:hAnsi="Arial" w:cs="Arial"/>
        </w:rPr>
      </w:pPr>
    </w:p>
    <w:p w14:paraId="1DF1287B" w14:textId="77777777" w:rsidR="00190B05" w:rsidRDefault="00190B05">
      <w:pPr>
        <w:rPr>
          <w:rFonts w:ascii="Arial" w:hAnsi="Arial" w:cs="Arial"/>
          <w:b/>
          <w:bCs/>
        </w:rPr>
      </w:pPr>
    </w:p>
    <w:p w14:paraId="7BC9FBFB" w14:textId="77777777" w:rsidR="00190B05" w:rsidRDefault="00190B05">
      <w:pPr>
        <w:rPr>
          <w:rFonts w:ascii="Arial" w:hAnsi="Arial" w:cs="Arial"/>
          <w:b/>
          <w:bCs/>
        </w:rPr>
      </w:pPr>
    </w:p>
    <w:p w14:paraId="46DE8806" w14:textId="47AABAB8" w:rsidR="00BE0B69" w:rsidRPr="00BE0B69" w:rsidRDefault="00BE0B69">
      <w:pPr>
        <w:rPr>
          <w:rFonts w:ascii="Arial" w:hAnsi="Arial" w:cs="Arial"/>
          <w:b/>
          <w:bCs/>
        </w:rPr>
      </w:pPr>
      <w:r w:rsidRPr="00BE0B69">
        <w:rPr>
          <w:rFonts w:ascii="Arial" w:hAnsi="Arial" w:cs="Arial"/>
          <w:b/>
          <w:bCs/>
        </w:rPr>
        <w:t>References cited</w:t>
      </w:r>
    </w:p>
    <w:p w14:paraId="36E6F630" w14:textId="7C838706" w:rsidR="00BE0B69" w:rsidRPr="00CB1EFB" w:rsidRDefault="00BE0B69" w:rsidP="00BE0B69">
      <w:pPr>
        <w:rPr>
          <w:rFonts w:ascii="Arial" w:hAnsi="Arial" w:cs="Arial"/>
        </w:rPr>
      </w:pPr>
      <w:r w:rsidRPr="00CB1EFB">
        <w:rPr>
          <w:rFonts w:ascii="Arial" w:hAnsi="Arial" w:cs="Arial"/>
        </w:rPr>
        <w:t>Chung, F. H. (1974</w:t>
      </w:r>
      <w:r w:rsidRPr="00BE0B69">
        <w:rPr>
          <w:rFonts w:ascii="Arial" w:hAnsi="Arial" w:cs="Arial"/>
        </w:rPr>
        <w:t>a</w:t>
      </w:r>
      <w:r w:rsidRPr="00CB1EFB">
        <w:rPr>
          <w:rFonts w:ascii="Arial" w:hAnsi="Arial" w:cs="Arial"/>
        </w:rPr>
        <w:t>). Quantitative interpretation of X-ray diffraction patterns of mixtures. I. Matrix-flushing method for quantitative multicomponent analysis. Journal of Applied Crystallography, 7(6), 519-525.</w:t>
      </w:r>
    </w:p>
    <w:p w14:paraId="557F67A1" w14:textId="5CDFDD86" w:rsidR="00BE0B69" w:rsidRPr="00CB1EFB" w:rsidRDefault="00BE0B69" w:rsidP="00BE0B69">
      <w:pPr>
        <w:rPr>
          <w:rFonts w:ascii="Arial" w:hAnsi="Arial" w:cs="Arial"/>
        </w:rPr>
      </w:pPr>
      <w:r w:rsidRPr="00CB1EFB">
        <w:rPr>
          <w:rFonts w:ascii="Arial" w:hAnsi="Arial" w:cs="Arial"/>
        </w:rPr>
        <w:t>Chung, F. H. (1974</w:t>
      </w:r>
      <w:r w:rsidRPr="00BE0B69">
        <w:rPr>
          <w:rFonts w:ascii="Arial" w:hAnsi="Arial" w:cs="Arial"/>
        </w:rPr>
        <w:t>b</w:t>
      </w:r>
      <w:r w:rsidRPr="00CB1EFB">
        <w:rPr>
          <w:rFonts w:ascii="Arial" w:hAnsi="Arial" w:cs="Arial"/>
        </w:rPr>
        <w:t>). Quantitative interpretation of X-ray diffraction patterns of mixtures. II. Adiabatic principle of X-ray diffraction analysis of mixtures. Journal of Applied Crystallography, 7(6), 526-531.</w:t>
      </w:r>
    </w:p>
    <w:p w14:paraId="13B75D50" w14:textId="77777777" w:rsidR="00BE0B69" w:rsidRPr="00BE0B69" w:rsidRDefault="00BE0B69" w:rsidP="00BE0B69">
      <w:pPr>
        <w:rPr>
          <w:rFonts w:ascii="Arial" w:hAnsi="Arial" w:cs="Arial"/>
        </w:rPr>
      </w:pPr>
      <w:r w:rsidRPr="00CB1EFB">
        <w:rPr>
          <w:rFonts w:ascii="Arial" w:hAnsi="Arial" w:cs="Arial"/>
        </w:rPr>
        <w:t>Chung, F. H. (1975). Quantitative interpretation of X-ray diffraction patterns of mixtures. III. Simultaneous determination of a set of reference intensities. Journal of Applied Crystallography, 8(1), 17-19.</w:t>
      </w:r>
    </w:p>
    <w:p w14:paraId="2AAFD765" w14:textId="77777777" w:rsidR="00BE0B69" w:rsidRPr="00BE0B69" w:rsidRDefault="00BE0B69">
      <w:pPr>
        <w:rPr>
          <w:rFonts w:ascii="Arial" w:hAnsi="Arial" w:cs="Arial"/>
        </w:rPr>
      </w:pPr>
    </w:p>
    <w:sectPr w:rsidR="00BE0B69" w:rsidRPr="00BE0B69" w:rsidSect="00D52A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98"/>
    <w:rsid w:val="00030058"/>
    <w:rsid w:val="000778DC"/>
    <w:rsid w:val="000B3428"/>
    <w:rsid w:val="000E5AE5"/>
    <w:rsid w:val="00101904"/>
    <w:rsid w:val="00111E4B"/>
    <w:rsid w:val="00142F94"/>
    <w:rsid w:val="00147FE2"/>
    <w:rsid w:val="00154048"/>
    <w:rsid w:val="00156D09"/>
    <w:rsid w:val="00190B05"/>
    <w:rsid w:val="00260F14"/>
    <w:rsid w:val="003555B5"/>
    <w:rsid w:val="00384306"/>
    <w:rsid w:val="00445757"/>
    <w:rsid w:val="00483880"/>
    <w:rsid w:val="004D6C72"/>
    <w:rsid w:val="0059696E"/>
    <w:rsid w:val="005E378E"/>
    <w:rsid w:val="005F796D"/>
    <w:rsid w:val="006D7886"/>
    <w:rsid w:val="00722D35"/>
    <w:rsid w:val="00753A36"/>
    <w:rsid w:val="0076769A"/>
    <w:rsid w:val="00775268"/>
    <w:rsid w:val="00890ECB"/>
    <w:rsid w:val="009078ED"/>
    <w:rsid w:val="00931B2D"/>
    <w:rsid w:val="00944807"/>
    <w:rsid w:val="00957E46"/>
    <w:rsid w:val="009A17A0"/>
    <w:rsid w:val="00A01C17"/>
    <w:rsid w:val="00A84CCA"/>
    <w:rsid w:val="00B16BBB"/>
    <w:rsid w:val="00B93998"/>
    <w:rsid w:val="00BE0B69"/>
    <w:rsid w:val="00BE7001"/>
    <w:rsid w:val="00C0113C"/>
    <w:rsid w:val="00C24078"/>
    <w:rsid w:val="00C555F8"/>
    <w:rsid w:val="00C640B0"/>
    <w:rsid w:val="00CA7424"/>
    <w:rsid w:val="00CB1EFB"/>
    <w:rsid w:val="00CE43AA"/>
    <w:rsid w:val="00D01FCA"/>
    <w:rsid w:val="00D2416D"/>
    <w:rsid w:val="00D52A98"/>
    <w:rsid w:val="00D61098"/>
    <w:rsid w:val="00F15029"/>
    <w:rsid w:val="00F22B4C"/>
    <w:rsid w:val="00F41DF2"/>
    <w:rsid w:val="00FA6903"/>
    <w:rsid w:val="00FF29F1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20D4"/>
  <w15:chartTrackingRefBased/>
  <w15:docId w15:val="{ECECB983-76EB-4E4B-8139-DDFD498E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24"/>
  </w:style>
  <w:style w:type="paragraph" w:styleId="Heading1">
    <w:name w:val="heading 1"/>
    <w:basedOn w:val="Normal"/>
    <w:next w:val="Normal"/>
    <w:link w:val="Heading1Char"/>
    <w:uiPriority w:val="9"/>
    <w:qFormat/>
    <w:rsid w:val="00D5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A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A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1EFB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E0B69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D6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6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2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9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4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4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63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7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s://zenodo.org/records/5907859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clayton\Downloads\TAS-Diagram-Plotter-3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289424088908468E-2"/>
          <c:y val="4.3597511834674363E-2"/>
          <c:w val="0.91407160921496178"/>
          <c:h val="0.86194264870950366"/>
        </c:manualLayout>
      </c:layout>
      <c:scatterChart>
        <c:scatterStyle val="lineMarker"/>
        <c:varyColors val="0"/>
        <c:ser>
          <c:idx val="7"/>
          <c:order val="0"/>
          <c:tx>
            <c:v>Your Data</c:v>
          </c:tx>
          <c:spPr>
            <a:ln>
              <a:noFill/>
            </a:ln>
          </c:spPr>
          <c:marker>
            <c:symbol val="circle"/>
            <c:size val="6"/>
            <c:spPr>
              <a:solidFill>
                <a:srgbClr val="C00000"/>
              </a:solidFill>
              <a:ln>
                <a:noFill/>
              </a:ln>
            </c:spPr>
          </c:marker>
          <c:xVal>
            <c:numRef>
              <c:f>Backstage!$B$3:$B$13</c:f>
              <c:numCache>
                <c:formatCode>0.00</c:formatCode>
                <c:ptCount val="11"/>
                <c:pt idx="0">
                  <c:v>55.32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xVal>
          <c:yVal>
            <c:numRef>
              <c:f>Backstage!$C$3:$C$12</c:f>
              <c:numCache>
                <c:formatCode>0.00</c:formatCode>
                <c:ptCount val="10"/>
                <c:pt idx="0">
                  <c:v>3.4299999999999997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B45-47A7-8F56-AA26FFB3580D}"/>
            </c:ext>
          </c:extLst>
        </c:ser>
        <c:ser>
          <c:idx val="9"/>
          <c:order val="1"/>
          <c:tx>
            <c:v>Param_1</c:v>
          </c:tx>
          <c:spPr>
            <a:ln w="9525" cap="sq">
              <a:solidFill>
                <a:schemeClr val="tx1"/>
              </a:solidFill>
              <a:miter lim="800000"/>
            </a:ln>
          </c:spPr>
          <c:marker>
            <c:symbol val="none"/>
          </c:marker>
          <c:xVal>
            <c:numRef>
              <c:f>(Params!$A$33,Params!$A$33,Params!$A$33,Params!$C$33,Params!$D$33,Params!$G$33)</c:f>
              <c:numCache>
                <c:formatCode>General</c:formatCode>
                <c:ptCount val="6"/>
                <c:pt idx="0">
                  <c:v>41</c:v>
                </c:pt>
                <c:pt idx="1">
                  <c:v>41</c:v>
                </c:pt>
                <c:pt idx="2">
                  <c:v>41</c:v>
                </c:pt>
                <c:pt idx="3">
                  <c:v>45</c:v>
                </c:pt>
                <c:pt idx="4">
                  <c:v>48.4</c:v>
                </c:pt>
                <c:pt idx="5">
                  <c:v>52.5</c:v>
                </c:pt>
              </c:numCache>
            </c:numRef>
          </c:xVal>
          <c:yVal>
            <c:numRef>
              <c:f>(Params!$A$32,Params!$A$26,Params!$A$18,Params!$C$13,Params!$D$9,Params!$G$4)</c:f>
              <c:numCache>
                <c:formatCode>General</c:formatCode>
                <c:ptCount val="6"/>
                <c:pt idx="0">
                  <c:v>0.5</c:v>
                </c:pt>
                <c:pt idx="1">
                  <c:v>3</c:v>
                </c:pt>
                <c:pt idx="2">
                  <c:v>7</c:v>
                </c:pt>
                <c:pt idx="3">
                  <c:v>9.4</c:v>
                </c:pt>
                <c:pt idx="4">
                  <c:v>11.5</c:v>
                </c:pt>
                <c:pt idx="5">
                  <c:v>14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B45-47A7-8F56-AA26FFB3580D}"/>
            </c:ext>
          </c:extLst>
        </c:ser>
        <c:ser>
          <c:idx val="0"/>
          <c:order val="2"/>
          <c:tx>
            <c:v>Param_2</c:v>
          </c:tx>
          <c:spPr>
            <a:ln w="9525" cap="sq">
              <a:solidFill>
                <a:schemeClr val="tx1"/>
              </a:solidFill>
              <a:miter lim="800000"/>
            </a:ln>
          </c:spPr>
          <c:marker>
            <c:symbol val="none"/>
          </c:marker>
          <c:xVal>
            <c:numRef>
              <c:f>(Params!$C$33,Params!$C$33,Params!$C$33,Params!$E$33,Params!$H$33,Params!$K$33,Params!$L$33)</c:f>
              <c:numCache>
                <c:formatCode>General</c:formatCode>
                <c:ptCount val="7"/>
                <c:pt idx="0">
                  <c:v>45</c:v>
                </c:pt>
                <c:pt idx="1">
                  <c:v>45</c:v>
                </c:pt>
                <c:pt idx="2">
                  <c:v>45</c:v>
                </c:pt>
                <c:pt idx="3">
                  <c:v>49.4</c:v>
                </c:pt>
                <c:pt idx="4">
                  <c:v>53</c:v>
                </c:pt>
                <c:pt idx="5">
                  <c:v>57.6</c:v>
                </c:pt>
                <c:pt idx="6">
                  <c:v>61</c:v>
                </c:pt>
              </c:numCache>
            </c:numRef>
          </c:xVal>
          <c:yVal>
            <c:numRef>
              <c:f>(Params!$C$32,Params!$C$26,Params!$C$22,Params!$E$17,Params!$H$13,Params!$K$9,Params!$L$5)</c:f>
              <c:numCache>
                <c:formatCode>General</c:formatCode>
                <c:ptCount val="7"/>
                <c:pt idx="0">
                  <c:v>0.5</c:v>
                </c:pt>
                <c:pt idx="1">
                  <c:v>3</c:v>
                </c:pt>
                <c:pt idx="2">
                  <c:v>5</c:v>
                </c:pt>
                <c:pt idx="3">
                  <c:v>7.3</c:v>
                </c:pt>
                <c:pt idx="4">
                  <c:v>9.3000000000000007</c:v>
                </c:pt>
                <c:pt idx="5">
                  <c:v>11.7</c:v>
                </c:pt>
                <c:pt idx="6">
                  <c:v>13.5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B45-47A7-8F56-AA26FFB3580D}"/>
            </c:ext>
          </c:extLst>
        </c:ser>
        <c:ser>
          <c:idx val="1"/>
          <c:order val="3"/>
          <c:tx>
            <c:v>Param_3</c:v>
          </c:tx>
          <c:spPr>
            <a:ln w="9525" cap="sq">
              <a:solidFill>
                <a:schemeClr val="tx1"/>
              </a:solidFill>
              <a:miter lim="800000"/>
            </a:ln>
          </c:spPr>
          <c:marker>
            <c:symbol val="none"/>
          </c:marker>
          <c:xVal>
            <c:numRef>
              <c:f>(Params!$Q$33,Params!$Q$33,Params!$S$33)</c:f>
              <c:numCache>
                <c:formatCode>General</c:formatCode>
                <c:ptCount val="3"/>
                <c:pt idx="0">
                  <c:v>69</c:v>
                </c:pt>
                <c:pt idx="1">
                  <c:v>69</c:v>
                </c:pt>
                <c:pt idx="2">
                  <c:v>77.5</c:v>
                </c:pt>
              </c:numCache>
            </c:numRef>
          </c:xVal>
          <c:yVal>
            <c:numRef>
              <c:f>(Params!$Q$4,Params!$Q$16,Params!$S$32)</c:f>
              <c:numCache>
                <c:formatCode>General</c:formatCode>
                <c:ptCount val="3"/>
                <c:pt idx="0">
                  <c:v>14</c:v>
                </c:pt>
                <c:pt idx="1">
                  <c:v>8</c:v>
                </c:pt>
                <c:pt idx="2">
                  <c:v>0.5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B45-47A7-8F56-AA26FFB3580D}"/>
            </c:ext>
          </c:extLst>
        </c:ser>
        <c:ser>
          <c:idx val="2"/>
          <c:order val="4"/>
          <c:tx>
            <c:v>Param_4</c:v>
          </c:tx>
          <c:spPr>
            <a:ln w="9525" cap="sq">
              <a:solidFill>
                <a:schemeClr val="tx1"/>
              </a:solidFill>
              <a:miter lim="800000"/>
            </a:ln>
          </c:spPr>
          <c:marker>
            <c:symbol val="none"/>
          </c:marker>
          <c:xVal>
            <c:numRef>
              <c:f>(Params!$A$33,Params!$C$33)</c:f>
              <c:numCache>
                <c:formatCode>General</c:formatCode>
                <c:ptCount val="2"/>
                <c:pt idx="0">
                  <c:v>41</c:v>
                </c:pt>
                <c:pt idx="1">
                  <c:v>45</c:v>
                </c:pt>
              </c:numCache>
            </c:numRef>
          </c:xVal>
          <c:yVal>
            <c:numRef>
              <c:f>(Params!$A$26,Params!$C$26)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1B45-47A7-8F56-AA26FFB3580D}"/>
            </c:ext>
          </c:extLst>
        </c:ser>
        <c:ser>
          <c:idx val="3"/>
          <c:order val="5"/>
          <c:tx>
            <c:v>Param_5</c:v>
          </c:tx>
          <c:spPr>
            <a:ln w="9525" cap="sq">
              <a:solidFill>
                <a:schemeClr val="tx1"/>
              </a:solidFill>
              <a:miter lim="800000"/>
            </a:ln>
          </c:spPr>
          <c:marker>
            <c:symbol val="none"/>
          </c:marker>
          <c:xVal>
            <c:numRef>
              <c:f>(Params!$C$33,Params!$F$33,Params!$J$33,Params!$N$33,Params!$Q$33)</c:f>
              <c:numCache>
                <c:formatCode>General</c:formatCode>
                <c:ptCount val="5"/>
                <c:pt idx="0">
                  <c:v>45</c:v>
                </c:pt>
                <c:pt idx="1">
                  <c:v>52</c:v>
                </c:pt>
                <c:pt idx="2">
                  <c:v>57</c:v>
                </c:pt>
                <c:pt idx="3">
                  <c:v>63</c:v>
                </c:pt>
                <c:pt idx="4">
                  <c:v>69</c:v>
                </c:pt>
              </c:numCache>
            </c:numRef>
          </c:xVal>
          <c:yVal>
            <c:numRef>
              <c:f>(Params!$C$22,Params!$F$22,Params!$J$20,Params!$N$18,Params!$Q$16)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5.9</c:v>
                </c:pt>
                <c:pt idx="3">
                  <c:v>7</c:v>
                </c:pt>
                <c:pt idx="4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1B45-47A7-8F56-AA26FFB3580D}"/>
            </c:ext>
          </c:extLst>
        </c:ser>
        <c:ser>
          <c:idx val="4"/>
          <c:order val="6"/>
          <c:tx>
            <c:v>Param_6</c:v>
          </c:tx>
          <c:spPr>
            <a:ln w="9525" cap="sq">
              <a:solidFill>
                <a:schemeClr val="tx1"/>
              </a:solidFill>
              <a:miter lim="800000"/>
            </a:ln>
          </c:spPr>
          <c:marker>
            <c:symbol val="none"/>
          </c:marker>
          <c:xVal>
            <c:numRef>
              <c:f>(Params!$C$33,Params!$E$33,Params!$F$33,Params!$F$33)</c:f>
              <c:numCache>
                <c:formatCode>General</c:formatCode>
                <c:ptCount val="4"/>
                <c:pt idx="0">
                  <c:v>45</c:v>
                </c:pt>
                <c:pt idx="1">
                  <c:v>49.4</c:v>
                </c:pt>
                <c:pt idx="2">
                  <c:v>52</c:v>
                </c:pt>
                <c:pt idx="3">
                  <c:v>52</c:v>
                </c:pt>
              </c:numCache>
            </c:numRef>
          </c:xVal>
          <c:yVal>
            <c:numRef>
              <c:f>(Params!$C$13,Params!$E$17,Params!$F$22,Params!$F$32)</c:f>
              <c:numCache>
                <c:formatCode>General</c:formatCode>
                <c:ptCount val="4"/>
                <c:pt idx="0">
                  <c:v>9.4</c:v>
                </c:pt>
                <c:pt idx="1">
                  <c:v>7.3</c:v>
                </c:pt>
                <c:pt idx="2">
                  <c:v>5</c:v>
                </c:pt>
                <c:pt idx="3">
                  <c:v>0.5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1B45-47A7-8F56-AA26FFB3580D}"/>
            </c:ext>
          </c:extLst>
        </c:ser>
        <c:ser>
          <c:idx val="5"/>
          <c:order val="7"/>
          <c:tx>
            <c:v>Param_7</c:v>
          </c:tx>
          <c:spPr>
            <a:ln w="0" cap="sq">
              <a:solidFill>
                <a:schemeClr val="tx1"/>
              </a:solidFill>
              <a:miter lim="800000"/>
            </a:ln>
          </c:spPr>
          <c:marker>
            <c:symbol val="none"/>
          </c:marker>
          <c:xVal>
            <c:numRef>
              <c:f>(Params!$D$33,Params!$H$33,Params!$J$33,Params!$J$33)</c:f>
              <c:numCache>
                <c:formatCode>General</c:formatCode>
                <c:ptCount val="4"/>
                <c:pt idx="0">
                  <c:v>48.4</c:v>
                </c:pt>
                <c:pt idx="1">
                  <c:v>53</c:v>
                </c:pt>
                <c:pt idx="2">
                  <c:v>57</c:v>
                </c:pt>
                <c:pt idx="3">
                  <c:v>57</c:v>
                </c:pt>
              </c:numCache>
            </c:numRef>
          </c:xVal>
          <c:yVal>
            <c:numRef>
              <c:f>(Params!$D$9,Params!$H$13,Params!$J$20,Params!$J$32)</c:f>
              <c:numCache>
                <c:formatCode>General</c:formatCode>
                <c:ptCount val="4"/>
                <c:pt idx="0">
                  <c:v>11.5</c:v>
                </c:pt>
                <c:pt idx="1">
                  <c:v>9.3000000000000007</c:v>
                </c:pt>
                <c:pt idx="2">
                  <c:v>5.9</c:v>
                </c:pt>
                <c:pt idx="3">
                  <c:v>0.5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1B45-47A7-8F56-AA26FFB3580D}"/>
            </c:ext>
          </c:extLst>
        </c:ser>
        <c:ser>
          <c:idx val="6"/>
          <c:order val="8"/>
          <c:tx>
            <c:v>Param_8</c:v>
          </c:tx>
          <c:spPr>
            <a:ln w="9525" cap="sq">
              <a:solidFill>
                <a:schemeClr val="tx1"/>
              </a:solidFill>
              <a:miter lim="800000"/>
            </a:ln>
          </c:spPr>
          <c:marker>
            <c:symbol val="none"/>
          </c:marker>
          <c:xVal>
            <c:numRef>
              <c:f>(Params!$G$33,Params!$K$33,Params!$N$33,Params!$N$33)</c:f>
              <c:numCache>
                <c:formatCode>General</c:formatCode>
                <c:ptCount val="4"/>
                <c:pt idx="0">
                  <c:v>52.5</c:v>
                </c:pt>
                <c:pt idx="1">
                  <c:v>57.6</c:v>
                </c:pt>
                <c:pt idx="2">
                  <c:v>63</c:v>
                </c:pt>
                <c:pt idx="3">
                  <c:v>63</c:v>
                </c:pt>
              </c:numCache>
            </c:numRef>
          </c:xVal>
          <c:yVal>
            <c:numRef>
              <c:f>(Params!$G$4,Params!$K$9,Params!$N$18,Params!$N$32)</c:f>
              <c:numCache>
                <c:formatCode>General</c:formatCode>
                <c:ptCount val="4"/>
                <c:pt idx="0">
                  <c:v>14</c:v>
                </c:pt>
                <c:pt idx="1">
                  <c:v>11.7</c:v>
                </c:pt>
                <c:pt idx="2">
                  <c:v>7</c:v>
                </c:pt>
                <c:pt idx="3">
                  <c:v>0.5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1B45-47A7-8F56-AA26FFB358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13242512"/>
        <c:axId val="1815329808"/>
      </c:scatterChart>
      <c:valAx>
        <c:axId val="1813242512"/>
        <c:scaling>
          <c:orientation val="minMax"/>
          <c:max val="78"/>
          <c:min val="36"/>
        </c:scaling>
        <c:delete val="0"/>
        <c:axPos val="b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800">
                    <a:effectLst/>
                  </a:rPr>
                  <a:t>SiO</a:t>
                </a:r>
                <a:r>
                  <a:rPr lang="en-US" sz="1800" baseline="-25000">
                    <a:effectLst/>
                  </a:rPr>
                  <a:t>2</a:t>
                </a:r>
                <a:r>
                  <a:rPr lang="en-US" sz="1800">
                    <a:effectLst/>
                  </a:rPr>
                  <a:t> %</a:t>
                </a:r>
              </a:p>
            </c:rich>
          </c:tx>
          <c:overlay val="0"/>
        </c:title>
        <c:numFmt formatCode="0" sourceLinked="0"/>
        <c:majorTickMark val="cross"/>
        <c:minorTickMark val="out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815329808"/>
        <c:crosses val="autoZero"/>
        <c:crossBetween val="midCat"/>
      </c:valAx>
      <c:valAx>
        <c:axId val="18153298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800">
                    <a:effectLst/>
                  </a:rPr>
                  <a:t>Na</a:t>
                </a:r>
                <a:r>
                  <a:rPr lang="en-US" sz="1800" baseline="-25000">
                    <a:effectLst/>
                  </a:rPr>
                  <a:t>2</a:t>
                </a:r>
                <a:r>
                  <a:rPr lang="en-US" sz="1800">
                    <a:effectLst/>
                  </a:rPr>
                  <a:t>O + K</a:t>
                </a:r>
                <a:r>
                  <a:rPr lang="en-US" sz="1800" baseline="-25000">
                    <a:effectLst/>
                  </a:rPr>
                  <a:t>2</a:t>
                </a:r>
                <a:r>
                  <a:rPr lang="en-US" sz="1800">
                    <a:effectLst/>
                  </a:rPr>
                  <a:t>O %</a:t>
                </a: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  <c:overlay val="0"/>
        </c:title>
        <c:numFmt formatCode="0" sourceLinked="0"/>
        <c:majorTickMark val="cross"/>
        <c:minorTickMark val="out"/>
        <c:tickLblPos val="nextTo"/>
        <c:spPr>
          <a:ln w="9525" cmpd="sng">
            <a:solidFill>
              <a:schemeClr val="tx1"/>
            </a:solidFill>
          </a:ln>
        </c:spPr>
        <c:txPr>
          <a:bodyPr/>
          <a:lstStyle/>
          <a:p>
            <a:pPr>
              <a:defRPr b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813242512"/>
        <c:crosses val="autoZero"/>
        <c:crossBetween val="midCat"/>
        <c:minorUnit val="1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ysClr val="window" lastClr="FFFFFF"/>
    </a:solidFill>
    <a:ln w="3175">
      <a:solidFill>
        <a:sysClr val="windowText" lastClr="000000"/>
      </a:solidFill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0.16789</cdr:x>
      <cdr:y>0.57478</cdr:y>
    </cdr:from>
    <cdr:to>
      <cdr:x>0.23839</cdr:x>
      <cdr:y>0.61177</cdr:y>
    </cdr:to>
    <cdr:sp macro="" textlink="">
      <cdr:nvSpPr>
        <cdr:cNvPr id="2" name="TextBox 20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5000000}"/>
            </a:ext>
          </a:extLst>
        </cdr:cNvPr>
        <cdr:cNvSpPr txBox="1"/>
      </cdr:nvSpPr>
      <cdr:spPr>
        <a:xfrm xmlns:a="http://schemas.openxmlformats.org/drawingml/2006/main">
          <a:off x="1561620" y="3489592"/>
          <a:ext cx="655747" cy="22457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Basanite</a:t>
          </a:r>
        </a:p>
      </cdr:txBody>
    </cdr:sp>
  </cdr:relSizeAnchor>
  <cdr:relSizeAnchor xmlns:cdr="http://schemas.openxmlformats.org/drawingml/2006/chartDrawing">
    <cdr:from>
      <cdr:x>0.26316</cdr:x>
      <cdr:y>0.41121</cdr:y>
    </cdr:from>
    <cdr:to>
      <cdr:x>0.37</cdr:x>
      <cdr:y>0.4482</cdr:y>
    </cdr:to>
    <cdr:sp macro="" textlink="">
      <cdr:nvSpPr>
        <cdr:cNvPr id="3" name="TextBox 21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6000000}"/>
            </a:ext>
          </a:extLst>
        </cdr:cNvPr>
        <cdr:cNvSpPr txBox="1"/>
      </cdr:nvSpPr>
      <cdr:spPr>
        <a:xfrm xmlns:a="http://schemas.openxmlformats.org/drawingml/2006/main">
          <a:off x="2447735" y="2496525"/>
          <a:ext cx="993759" cy="22457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Phonotephrite</a:t>
          </a:r>
        </a:p>
      </cdr:txBody>
    </cdr:sp>
  </cdr:relSizeAnchor>
  <cdr:relSizeAnchor xmlns:cdr="http://schemas.openxmlformats.org/drawingml/2006/chartDrawing">
    <cdr:from>
      <cdr:x>0.26513</cdr:x>
      <cdr:y>0.63098</cdr:y>
    </cdr:from>
    <cdr:to>
      <cdr:x>0.36996</cdr:x>
      <cdr:y>0.66797</cdr:y>
    </cdr:to>
    <cdr:sp macro="" textlink="">
      <cdr:nvSpPr>
        <cdr:cNvPr id="4" name="TextBox 22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7000000}"/>
            </a:ext>
          </a:extLst>
        </cdr:cNvPr>
        <cdr:cNvSpPr txBox="1"/>
      </cdr:nvSpPr>
      <cdr:spPr>
        <a:xfrm xmlns:a="http://schemas.openxmlformats.org/drawingml/2006/main">
          <a:off x="2465180" y="3827931"/>
          <a:ext cx="974695" cy="22440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Trachybasalt</a:t>
          </a:r>
        </a:p>
      </cdr:txBody>
    </cdr:sp>
  </cdr:relSizeAnchor>
  <cdr:relSizeAnchor xmlns:cdr="http://schemas.openxmlformats.org/drawingml/2006/chartDrawing">
    <cdr:from>
      <cdr:x>0.46411</cdr:x>
      <cdr:y>0.47078</cdr:y>
    </cdr:from>
    <cdr:to>
      <cdr:x>0.57576</cdr:x>
      <cdr:y>0.50777</cdr:y>
    </cdr:to>
    <cdr:sp macro="" textlink="">
      <cdr:nvSpPr>
        <cdr:cNvPr id="5" name="TextBox 24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9000000}"/>
            </a:ext>
          </a:extLst>
        </cdr:cNvPr>
        <cdr:cNvSpPr txBox="1"/>
      </cdr:nvSpPr>
      <cdr:spPr>
        <a:xfrm xmlns:a="http://schemas.openxmlformats.org/drawingml/2006/main">
          <a:off x="4315252" y="2856080"/>
          <a:ext cx="1038106" cy="22440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Trachyandesite</a:t>
          </a:r>
        </a:p>
      </cdr:txBody>
    </cdr:sp>
  </cdr:relSizeAnchor>
  <cdr:relSizeAnchor xmlns:cdr="http://schemas.openxmlformats.org/drawingml/2006/chartDrawing">
    <cdr:from>
      <cdr:x>0.61731</cdr:x>
      <cdr:y>0.3638</cdr:y>
    </cdr:from>
    <cdr:to>
      <cdr:x>0.69206</cdr:x>
      <cdr:y>0.40079</cdr:y>
    </cdr:to>
    <cdr:sp macro="" textlink="">
      <cdr:nvSpPr>
        <cdr:cNvPr id="6" name="TextBox 25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A000000}"/>
            </a:ext>
          </a:extLst>
        </cdr:cNvPr>
        <cdr:cNvSpPr txBox="1"/>
      </cdr:nvSpPr>
      <cdr:spPr>
        <a:xfrm xmlns:a="http://schemas.openxmlformats.org/drawingml/2006/main">
          <a:off x="5739668" y="2207065"/>
          <a:ext cx="695015" cy="22440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Trachyte</a:t>
          </a:r>
        </a:p>
      </cdr:txBody>
    </cdr:sp>
  </cdr:relSizeAnchor>
  <cdr:relSizeAnchor xmlns:cdr="http://schemas.openxmlformats.org/drawingml/2006/chartDrawing">
    <cdr:from>
      <cdr:x>0.80842</cdr:x>
      <cdr:y>0.38769</cdr:y>
    </cdr:from>
    <cdr:to>
      <cdr:x>0.87961</cdr:x>
      <cdr:y>0.42468</cdr:y>
    </cdr:to>
    <cdr:sp macro="" textlink="">
      <cdr:nvSpPr>
        <cdr:cNvPr id="7" name="TextBox 26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B000000}"/>
            </a:ext>
          </a:extLst>
        </cdr:cNvPr>
        <cdr:cNvSpPr txBox="1"/>
      </cdr:nvSpPr>
      <cdr:spPr>
        <a:xfrm xmlns:a="http://schemas.openxmlformats.org/drawingml/2006/main">
          <a:off x="7530460" y="2358135"/>
          <a:ext cx="663067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Rhyolite</a:t>
          </a:r>
        </a:p>
      </cdr:txBody>
    </cdr:sp>
  </cdr:relSizeAnchor>
  <cdr:relSizeAnchor xmlns:cdr="http://schemas.openxmlformats.org/drawingml/2006/chartDrawing">
    <cdr:from>
      <cdr:x>0.70359</cdr:x>
      <cdr:y>0.65259</cdr:y>
    </cdr:from>
    <cdr:to>
      <cdr:x>0.76155</cdr:x>
      <cdr:y>0.68958</cdr:y>
    </cdr:to>
    <cdr:sp macro="" textlink="">
      <cdr:nvSpPr>
        <cdr:cNvPr id="8" name="TextBox 27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C000000}"/>
            </a:ext>
          </a:extLst>
        </cdr:cNvPr>
        <cdr:cNvSpPr txBox="1"/>
      </cdr:nvSpPr>
      <cdr:spPr>
        <a:xfrm xmlns:a="http://schemas.openxmlformats.org/drawingml/2006/main">
          <a:off x="6553918" y="3969400"/>
          <a:ext cx="539891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Dacite</a:t>
          </a:r>
        </a:p>
      </cdr:txBody>
    </cdr:sp>
  </cdr:relSizeAnchor>
  <cdr:relSizeAnchor xmlns:cdr="http://schemas.openxmlformats.org/drawingml/2006/chartDrawing">
    <cdr:from>
      <cdr:x>0.53085</cdr:x>
      <cdr:y>0.71881</cdr:y>
    </cdr:from>
    <cdr:to>
      <cdr:x>0.6019</cdr:x>
      <cdr:y>0.7558</cdr:y>
    </cdr:to>
    <cdr:sp macro="" textlink="">
      <cdr:nvSpPr>
        <cdr:cNvPr id="9" name="TextBox 28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D000000}"/>
            </a:ext>
          </a:extLst>
        </cdr:cNvPr>
        <cdr:cNvSpPr txBox="1"/>
      </cdr:nvSpPr>
      <cdr:spPr>
        <a:xfrm xmlns:a="http://schemas.openxmlformats.org/drawingml/2006/main">
          <a:off x="4944882" y="4372167"/>
          <a:ext cx="661784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Andesite</a:t>
          </a:r>
        </a:p>
      </cdr:txBody>
    </cdr:sp>
  </cdr:relSizeAnchor>
  <cdr:relSizeAnchor xmlns:cdr="http://schemas.openxmlformats.org/drawingml/2006/chartDrawing">
    <cdr:from>
      <cdr:x>0.34258</cdr:x>
      <cdr:y>0.54647</cdr:y>
    </cdr:from>
    <cdr:to>
      <cdr:x>0.47237</cdr:x>
      <cdr:y>0.60527</cdr:y>
    </cdr:to>
    <cdr:sp macro="" textlink="">
      <cdr:nvSpPr>
        <cdr:cNvPr id="10" name="TextBox 23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8000000}"/>
            </a:ext>
          </a:extLst>
        </cdr:cNvPr>
        <cdr:cNvSpPr txBox="1"/>
      </cdr:nvSpPr>
      <cdr:spPr>
        <a:xfrm xmlns:a="http://schemas.openxmlformats.org/drawingml/2006/main">
          <a:off x="3191167" y="3323923"/>
          <a:ext cx="1208943" cy="35766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Basaltic Trachyandesite</a:t>
          </a:r>
        </a:p>
      </cdr:txBody>
    </cdr:sp>
  </cdr:relSizeAnchor>
  <cdr:relSizeAnchor xmlns:cdr="http://schemas.openxmlformats.org/drawingml/2006/chartDrawing">
    <cdr:from>
      <cdr:x>0.34997</cdr:x>
      <cdr:y>0.28556</cdr:y>
    </cdr:from>
    <cdr:to>
      <cdr:x>0.46494</cdr:x>
      <cdr:y>0.32255</cdr:y>
    </cdr:to>
    <cdr:sp macro="" textlink="">
      <cdr:nvSpPr>
        <cdr:cNvPr id="11" name="TextBox 21">
          <a:extLst xmlns:a="http://schemas.openxmlformats.org/drawingml/2006/main">
            <a:ext uri="{FF2B5EF4-FFF2-40B4-BE49-F238E27FC236}">
              <a16:creationId xmlns:a16="http://schemas.microsoft.com/office/drawing/2014/main" id="{024CDF38-1742-40A4-9FAA-21524486B827}"/>
            </a:ext>
          </a:extLst>
        </cdr:cNvPr>
        <cdr:cNvSpPr txBox="1"/>
      </cdr:nvSpPr>
      <cdr:spPr>
        <a:xfrm xmlns:a="http://schemas.openxmlformats.org/drawingml/2006/main">
          <a:off x="3260010" y="1736896"/>
          <a:ext cx="1070871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Tephriphonolite</a:t>
          </a:r>
        </a:p>
      </cdr:txBody>
    </cdr:sp>
  </cdr:relSizeAnchor>
  <cdr:relSizeAnchor xmlns:cdr="http://schemas.openxmlformats.org/drawingml/2006/chartDrawing">
    <cdr:from>
      <cdr:x>0.46287</cdr:x>
      <cdr:y>0.18177</cdr:y>
    </cdr:from>
    <cdr:to>
      <cdr:x>0.54177</cdr:x>
      <cdr:y>0.21886</cdr:y>
    </cdr:to>
    <cdr:sp macro="" textlink="">
      <cdr:nvSpPr>
        <cdr:cNvPr id="12" name="TextBox 21">
          <a:extLst xmlns:a="http://schemas.openxmlformats.org/drawingml/2006/main">
            <a:ext uri="{FF2B5EF4-FFF2-40B4-BE49-F238E27FC236}">
              <a16:creationId xmlns:a16="http://schemas.microsoft.com/office/drawing/2014/main" id="{83DB44AE-105F-445D-9DEF-B285689ACDF6}"/>
            </a:ext>
          </a:extLst>
        </cdr:cNvPr>
        <cdr:cNvSpPr txBox="1"/>
      </cdr:nvSpPr>
      <cdr:spPr>
        <a:xfrm xmlns:a="http://schemas.openxmlformats.org/drawingml/2006/main">
          <a:off x="4303673" y="1102751"/>
          <a:ext cx="733662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Phonolite</a:t>
          </a:r>
        </a:p>
      </cdr:txBody>
    </cdr:sp>
  </cdr:relSizeAnchor>
  <cdr:relSizeAnchor xmlns:cdr="http://schemas.openxmlformats.org/drawingml/2006/chartDrawing">
    <cdr:from>
      <cdr:x>0.14136</cdr:x>
      <cdr:y>0.82455</cdr:y>
    </cdr:from>
    <cdr:to>
      <cdr:x>0.23819</cdr:x>
      <cdr:y>0.86164</cdr:y>
    </cdr:to>
    <cdr:sp macro="" textlink="">
      <cdr:nvSpPr>
        <cdr:cNvPr id="13" name="TextBox 20">
          <a:extLst xmlns:a="http://schemas.openxmlformats.org/drawingml/2006/main">
            <a:ext uri="{FF2B5EF4-FFF2-40B4-BE49-F238E27FC236}">
              <a16:creationId xmlns:a16="http://schemas.microsoft.com/office/drawing/2014/main" id="{4F952FDB-CFE6-45D6-B17D-15EDF13D2A00}"/>
            </a:ext>
          </a:extLst>
        </cdr:cNvPr>
        <cdr:cNvSpPr txBox="1"/>
      </cdr:nvSpPr>
      <cdr:spPr>
        <a:xfrm xmlns:a="http://schemas.openxmlformats.org/drawingml/2006/main">
          <a:off x="1314306" y="5002299"/>
          <a:ext cx="900375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Picro-Basalt</a:t>
          </a:r>
        </a:p>
      </cdr:txBody>
    </cdr:sp>
  </cdr:relSizeAnchor>
  <cdr:relSizeAnchor xmlns:cdr="http://schemas.openxmlformats.org/drawingml/2006/chartDrawing">
    <cdr:from>
      <cdr:x>0.25885</cdr:x>
      <cdr:y>0.79792</cdr:y>
    </cdr:from>
    <cdr:to>
      <cdr:x>0.36368</cdr:x>
      <cdr:y>0.83491</cdr:y>
    </cdr:to>
    <cdr:sp macro="" textlink="">
      <cdr:nvSpPr>
        <cdr:cNvPr id="14" name="TextBox 22">
          <a:extLst xmlns:a="http://schemas.openxmlformats.org/drawingml/2006/main">
            <a:ext uri="{FF2B5EF4-FFF2-40B4-BE49-F238E27FC236}">
              <a16:creationId xmlns:a16="http://schemas.microsoft.com/office/drawing/2014/main" id="{0A83666B-AB49-4EED-BE7B-6C52CD6968B3}"/>
            </a:ext>
          </a:extLst>
        </cdr:cNvPr>
        <cdr:cNvSpPr txBox="1"/>
      </cdr:nvSpPr>
      <cdr:spPr>
        <a:xfrm xmlns:a="http://schemas.openxmlformats.org/drawingml/2006/main">
          <a:off x="2411206" y="4853327"/>
          <a:ext cx="976434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Basalt</a:t>
          </a:r>
        </a:p>
      </cdr:txBody>
    </cdr:sp>
  </cdr:relSizeAnchor>
  <cdr:relSizeAnchor xmlns:cdr="http://schemas.openxmlformats.org/drawingml/2006/chartDrawing">
    <cdr:from>
      <cdr:x>0.3924</cdr:x>
      <cdr:y>0.74224</cdr:y>
    </cdr:from>
    <cdr:to>
      <cdr:x>0.49723</cdr:x>
      <cdr:y>0.80104</cdr:y>
    </cdr:to>
    <cdr:sp macro="" textlink="">
      <cdr:nvSpPr>
        <cdr:cNvPr id="15" name="TextBox 22">
          <a:extLst xmlns:a="http://schemas.openxmlformats.org/drawingml/2006/main">
            <a:ext uri="{FF2B5EF4-FFF2-40B4-BE49-F238E27FC236}">
              <a16:creationId xmlns:a16="http://schemas.microsoft.com/office/drawing/2014/main" id="{86381792-8248-4D00-A9E8-6C627755E70E}"/>
            </a:ext>
          </a:extLst>
        </cdr:cNvPr>
        <cdr:cNvSpPr txBox="1"/>
      </cdr:nvSpPr>
      <cdr:spPr>
        <a:xfrm xmlns:a="http://schemas.openxmlformats.org/drawingml/2006/main">
          <a:off x="3655250" y="4514653"/>
          <a:ext cx="976434" cy="35766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Basaltic Andesite</a:t>
          </a:r>
        </a:p>
      </cdr:txBody>
    </cdr:sp>
  </cdr:relSizeAnchor>
  <cdr:relSizeAnchor xmlns:cdr="http://schemas.openxmlformats.org/drawingml/2006/chartDrawing">
    <cdr:from>
      <cdr:x>0.15037</cdr:x>
      <cdr:y>0.27269</cdr:y>
    </cdr:from>
    <cdr:to>
      <cdr:x>0.2108</cdr:x>
      <cdr:y>0.30968</cdr:y>
    </cdr:to>
    <cdr:sp macro="" textlink="">
      <cdr:nvSpPr>
        <cdr:cNvPr id="16" name="TextBox 20">
          <a:extLst xmlns:a="http://schemas.openxmlformats.org/drawingml/2006/main">
            <a:ext uri="{FF2B5EF4-FFF2-40B4-BE49-F238E27FC236}">
              <a16:creationId xmlns:a16="http://schemas.microsoft.com/office/drawing/2014/main" id="{40F8EA71-3D22-402B-9A29-4761338B7E09}"/>
            </a:ext>
          </a:extLst>
        </cdr:cNvPr>
        <cdr:cNvSpPr txBox="1"/>
      </cdr:nvSpPr>
      <cdr:spPr>
        <a:xfrm xmlns:a="http://schemas.openxmlformats.org/drawingml/2006/main">
          <a:off x="1400662" y="1658620"/>
          <a:ext cx="562975" cy="2249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ctr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cap="small" baseline="0">
              <a:latin typeface="Arial" panose="020B0604020202020204" pitchFamily="34" charset="0"/>
              <a:cs typeface="Arial" panose="020B0604020202020204" pitchFamily="34" charset="0"/>
            </a:rPr>
            <a:t>Foidite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E31A-05D7-4026-A844-DD6F683C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Waring, Bonnie G</dc:creator>
  <cp:keywords/>
  <dc:description/>
  <cp:lastModifiedBy>Waring, Bonnie G</cp:lastModifiedBy>
  <cp:revision>4</cp:revision>
  <dcterms:created xsi:type="dcterms:W3CDTF">2025-01-06T15:21:00Z</dcterms:created>
  <dcterms:modified xsi:type="dcterms:W3CDTF">2025-02-07T14:22:00Z</dcterms:modified>
</cp:coreProperties>
</file>