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583" w:rsidRPr="00A64276" w:rsidRDefault="004C0583" w:rsidP="004C058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</w:pPr>
      <w:r w:rsidRPr="00A64276">
        <w:rPr>
          <w:rFonts w:ascii="Times New Roman" w:hAnsi="Times New Roman" w:cs="Times New Roman" w:hint="eastAsia"/>
          <w:b/>
          <w:bCs/>
          <w:color w:val="000000" w:themeColor="text1"/>
          <w:sz w:val="21"/>
          <w:szCs w:val="21"/>
        </w:rPr>
        <w:t>T</w:t>
      </w:r>
      <w:r w:rsidRPr="00A64276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able S1-3</w:t>
      </w:r>
    </w:p>
    <w:p w:rsidR="004C0583" w:rsidRPr="00A64276" w:rsidRDefault="004C0583" w:rsidP="004C058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</w:pPr>
      <w:r w:rsidRPr="00A64276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Table S1 List of identified differential gut metabolites between autistic and typical developing children</w:t>
      </w:r>
    </w:p>
    <w:p w:rsidR="004C0583" w:rsidRPr="00A64276" w:rsidRDefault="004C0583" w:rsidP="004C058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</w:pPr>
      <w:r w:rsidRPr="00A64276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Table S2 Results of KEGG pathway analysis of differential gut metabolites between autistic and typical developing children</w:t>
      </w:r>
    </w:p>
    <w:p w:rsidR="004C0583" w:rsidRDefault="004C0583" w:rsidP="004C058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</w:pPr>
      <w:r w:rsidRPr="00A64276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Table S3 Correlation between gut metabolites with symptoms and neurodevelopment of ASD children</w:t>
      </w:r>
    </w:p>
    <w:p w:rsidR="00D63D0D" w:rsidRDefault="00D63D0D">
      <w:bookmarkStart w:id="0" w:name="_GoBack"/>
      <w:bookmarkEnd w:id="0"/>
    </w:p>
    <w:sectPr w:rsidR="00D63D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583"/>
    <w:rsid w:val="004C0583"/>
    <w:rsid w:val="00D6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26ADB8-9320-4491-9446-2271D8C10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0583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>Springer Nature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2020-08-17T05:28:00Z</dcterms:created>
  <dcterms:modified xsi:type="dcterms:W3CDTF">2020-08-17T05:28:00Z</dcterms:modified>
</cp:coreProperties>
</file>