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1D" w:rsidRDefault="0080201D" w:rsidP="0080201D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 w:hint="eastAsia"/>
          <w:color w:val="21212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upplement table 1 </w:t>
      </w:r>
    </w:p>
    <w:tbl>
      <w:tblPr>
        <w:tblStyle w:val="a7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987"/>
        <w:gridCol w:w="1184"/>
        <w:gridCol w:w="944"/>
        <w:gridCol w:w="987"/>
        <w:gridCol w:w="1184"/>
        <w:gridCol w:w="945"/>
      </w:tblGrid>
      <w:tr w:rsidR="0080201D" w:rsidTr="005923B8">
        <w:tc>
          <w:tcPr>
            <w:tcW w:w="8359" w:type="dxa"/>
            <w:gridSpan w:val="7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H. pylori infection rate between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Parkinson’s disease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patients and outpatients population in the rural and urban area</w:t>
            </w:r>
          </w:p>
        </w:tc>
      </w:tr>
      <w:tr w:rsidR="0080201D" w:rsidTr="005923B8"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Area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Rural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Urban</w:t>
            </w:r>
          </w:p>
        </w:tc>
      </w:tr>
      <w:tr w:rsidR="0080201D" w:rsidTr="005923B8"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,Bold" w:hAnsi="Times New Roman" w:cs="Times New Roman"/>
                <w:bCs/>
                <w:sz w:val="16"/>
                <w:szCs w:val="16"/>
              </w:rPr>
              <w:t>Characteristics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PD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Outpatients population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bidi="ar"/>
              </w:rPr>
              <w:t>P</w:t>
            </w:r>
            <w:r>
              <w:rPr>
                <w:rStyle w:val="font71"/>
                <w:rFonts w:eastAsia="等线"/>
                <w:sz w:val="16"/>
                <w:szCs w:val="16"/>
                <w:lang w:bidi="ar"/>
              </w:rPr>
              <w:t xml:space="preserve"> value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PD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Outpatients population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bidi="ar"/>
              </w:rPr>
              <w:t>P</w:t>
            </w:r>
            <w:r>
              <w:rPr>
                <w:rStyle w:val="font71"/>
                <w:rFonts w:eastAsia="等线"/>
                <w:sz w:val="16"/>
                <w:szCs w:val="16"/>
                <w:lang w:bidi="ar"/>
              </w:rPr>
              <w:t xml:space="preserve"> value</w:t>
            </w:r>
          </w:p>
        </w:tc>
      </w:tr>
      <w:tr w:rsidR="0080201D" w:rsidTr="005923B8">
        <w:tc>
          <w:tcPr>
            <w:tcW w:w="2128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H.P positive (DOB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bidi="ar"/>
              </w:rPr>
              <w:t>4), n (%)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53(30.8)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1512(41.7)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37(25.9)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6080(32.4)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0.096</w:t>
            </w:r>
          </w:p>
        </w:tc>
      </w:tr>
      <w:tr w:rsidR="0080201D" w:rsidTr="005923B8">
        <w:tc>
          <w:tcPr>
            <w:tcW w:w="2128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pStyle w:val="a8"/>
              <w:spacing w:line="480" w:lineRule="auto"/>
              <w:ind w:firstLineChars="0"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H.P positive (</w:t>
            </w:r>
            <w:bookmarkStart w:id="1" w:name="OLE_LINK2"/>
            <w:r>
              <w:rPr>
                <w:sz w:val="16"/>
                <w:szCs w:val="16"/>
                <w:lang w:bidi="ar"/>
              </w:rPr>
              <w:t>DOB</w:t>
            </w:r>
            <w:r>
              <w:rPr>
                <w:b/>
                <w:sz w:val="16"/>
                <w:szCs w:val="16"/>
              </w:rPr>
              <w:t>≥</w:t>
            </w:r>
            <w:r>
              <w:rPr>
                <w:sz w:val="16"/>
                <w:szCs w:val="16"/>
                <w:lang w:bidi="ar"/>
              </w:rPr>
              <w:t>8</w:t>
            </w:r>
            <w:bookmarkEnd w:id="1"/>
            <w:r>
              <w:rPr>
                <w:sz w:val="16"/>
                <w:szCs w:val="16"/>
                <w:lang w:bidi="ar"/>
              </w:rPr>
              <w:t>), n (%)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38(22.1)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1303(35.9)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33(23.1)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4857(25.9)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0.443</w:t>
            </w:r>
          </w:p>
        </w:tc>
      </w:tr>
    </w:tbl>
    <w:p w:rsidR="0080201D" w:rsidRDefault="0080201D" w:rsidP="0080201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n (%) indicates the number of constituents (n) and the composition ratio (%).</w:t>
      </w:r>
    </w:p>
    <w:p w:rsidR="0080201D" w:rsidRDefault="0080201D" w:rsidP="0080201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16"/>
          <w:szCs w:val="16"/>
        </w:rPr>
      </w:pPr>
    </w:p>
    <w:p w:rsidR="0080201D" w:rsidRDefault="0080201D" w:rsidP="0080201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16"/>
          <w:szCs w:val="16"/>
        </w:rPr>
      </w:pPr>
    </w:p>
    <w:p w:rsidR="0080201D" w:rsidRDefault="0080201D" w:rsidP="0080201D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</w:p>
    <w:p w:rsidR="0080201D" w:rsidRDefault="0080201D" w:rsidP="0080201D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kern w:val="0"/>
          <w:sz w:val="24"/>
          <w:szCs w:val="24"/>
        </w:rPr>
        <w:object w:dxaOrig="12048" w:dyaOrig="5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25pt;height:170.65pt" o:ole="" filled="t">
            <v:imagedata r:id="rId6" o:title=""/>
          </v:shape>
          <o:OLEObject Type="Embed" ProgID="Prism9.Document" ShapeID="_x0000_i1025" DrawAspect="Content" ObjectID="_1803838644" r:id="rId7"/>
        </w:object>
      </w:r>
    </w:p>
    <w:p w:rsidR="0080201D" w:rsidRDefault="0080201D" w:rsidP="0080201D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212121"/>
          <w:sz w:val="24"/>
          <w:szCs w:val="24"/>
          <w:shd w:val="clear" w:color="auto" w:fill="FFFFFF"/>
        </w:rPr>
        <w:t>B</w:t>
      </w:r>
    </w:p>
    <w:p w:rsidR="0080201D" w:rsidRDefault="0080201D" w:rsidP="0080201D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77121F5C" wp14:editId="0D49F88C">
            <wp:extent cx="5274310" cy="19202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D" w:rsidRDefault="0080201D" w:rsidP="0080201D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b/>
          <w:sz w:val="20"/>
          <w:szCs w:val="20"/>
          <w14:ligatures w14:val="standardContextual"/>
        </w:rPr>
        <w:t>Supplement Fig 1. Comparison of</w:t>
      </w:r>
      <w:r>
        <w:rPr>
          <w:rFonts w:ascii="Times New Roman" w:eastAsia="宋体" w:hAnsi="Times New Roman" w:cs="Times New Roman" w:hint="eastAsia"/>
          <w:b/>
          <w:sz w:val="20"/>
          <w:szCs w:val="20"/>
          <w14:ligatures w14:val="standardContextual"/>
        </w:rPr>
        <w:t xml:space="preserve"> </w:t>
      </w:r>
      <w:r>
        <w:rPr>
          <w:rFonts w:ascii="Times New Roman" w:eastAsia="宋体" w:hAnsi="Times New Roman" w:cs="Times New Roman" w:hint="eastAsia"/>
          <w:b/>
          <w:i/>
          <w:sz w:val="20"/>
          <w:szCs w:val="20"/>
          <w14:ligatures w14:val="standardContextual"/>
        </w:rPr>
        <w:t>H. pylori</w:t>
      </w:r>
      <w:r>
        <w:rPr>
          <w:rFonts w:ascii="Times New Roman" w:eastAsia="宋体" w:hAnsi="Times New Roman" w:cs="Times New Roman"/>
          <w:b/>
          <w:i/>
          <w:sz w:val="20"/>
          <w:szCs w:val="20"/>
          <w14:ligatures w14:val="standardContextual"/>
        </w:rPr>
        <w:t xml:space="preserve"> </w:t>
      </w:r>
      <w:r>
        <w:rPr>
          <w:rFonts w:ascii="Times New Roman" w:eastAsia="宋体" w:hAnsi="Times New Roman" w:cs="Times New Roman"/>
          <w:b/>
          <w:sz w:val="20"/>
          <w:szCs w:val="20"/>
          <w14:ligatures w14:val="standardContextual"/>
        </w:rPr>
        <w:t>infection</w:t>
      </w:r>
      <w:r>
        <w:rPr>
          <w:rFonts w:ascii="Times New Roman" w:eastAsia="宋体" w:hAnsi="Times New Roman" w:cs="Times New Roman"/>
          <w:b/>
          <w:bCs/>
          <w:sz w:val="20"/>
          <w:szCs w:val="20"/>
          <w14:ligatures w14:val="standardContextual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  <w14:ligatures w14:val="standardContextual"/>
        </w:rPr>
        <w:t xml:space="preserve">rates </w:t>
      </w:r>
      <w:r>
        <w:rPr>
          <w:rFonts w:ascii="Times New Roman" w:eastAsia="宋体" w:hAnsi="Times New Roman" w:cs="Times New Roman"/>
          <w:b/>
          <w:sz w:val="20"/>
          <w:szCs w:val="20"/>
          <w14:ligatures w14:val="standardContextual"/>
        </w:rPr>
        <w:t xml:space="preserve">in PD patients with </w:t>
      </w:r>
      <w:r>
        <w:rPr>
          <w:rFonts w:ascii="Times New Roman" w:eastAsia="宋体" w:hAnsi="Times New Roman" w:cs="Times New Roman"/>
          <w:b/>
          <w:bCs/>
          <w:sz w:val="20"/>
          <w:szCs w:val="20"/>
          <w14:ligatures w14:val="standardContextual"/>
        </w:rPr>
        <w:t>outpatients population</w:t>
      </w:r>
      <w:r>
        <w:rPr>
          <w:rFonts w:ascii="Times New Roman" w:eastAsia="宋体" w:hAnsi="Times New Roman" w:cs="Times New Roman"/>
          <w:b/>
          <w:sz w:val="20"/>
          <w:szCs w:val="24"/>
          <w14:ligatures w14:val="standardContextual"/>
        </w:rPr>
        <w:t xml:space="preserve"> for confounding factors by multivariate logistic regression analysis in rural and urban, respectively</w:t>
      </w:r>
      <w:r>
        <w:rPr>
          <w:rFonts w:ascii="Times New Roman" w:eastAsia="宋体" w:hAnsi="Times New Roman" w:cs="Times New Roman"/>
          <w:b/>
          <w:sz w:val="20"/>
          <w:szCs w:val="20"/>
          <w14:ligatures w14:val="standardContextual"/>
        </w:rPr>
        <w:t xml:space="preserve">. 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>A. Comparison of</w:t>
      </w:r>
      <w:r>
        <w:rPr>
          <w:rFonts w:ascii="Times New Roman" w:eastAsia="宋体" w:hAnsi="Times New Roman" w:cs="Times New Roman" w:hint="eastAsia"/>
          <w:sz w:val="20"/>
          <w:szCs w:val="20"/>
          <w14:ligatures w14:val="standardContextual"/>
        </w:rPr>
        <w:t xml:space="preserve"> </w:t>
      </w:r>
      <w:r>
        <w:rPr>
          <w:rFonts w:ascii="Times New Roman" w:eastAsia="宋体" w:hAnsi="Times New Roman" w:cs="Times New Roman" w:hint="eastAsia"/>
          <w:i/>
          <w:sz w:val="20"/>
          <w:szCs w:val="20"/>
          <w14:ligatures w14:val="standardContextual"/>
        </w:rPr>
        <w:t>H. pylori</w:t>
      </w:r>
      <w:r>
        <w:rPr>
          <w:rFonts w:ascii="Times New Roman" w:eastAsia="宋体" w:hAnsi="Times New Roman" w:cs="Times New Roman"/>
          <w:i/>
          <w:sz w:val="20"/>
          <w:szCs w:val="20"/>
          <w14:ligatures w14:val="standardContextual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 xml:space="preserve">infection </w:t>
      </w:r>
      <w:r>
        <w:rPr>
          <w:rFonts w:ascii="Times New Roman" w:eastAsia="宋体" w:hAnsi="Times New Roman" w:cs="Times New Roman" w:hint="eastAsia"/>
          <w:sz w:val="20"/>
          <w:szCs w:val="20"/>
          <w14:ligatures w14:val="standardContextual"/>
        </w:rPr>
        <w:t xml:space="preserve">rates 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>in PD patients with</w:t>
      </w:r>
      <w:r>
        <w:rPr>
          <w:rFonts w:ascii="Times New Roman" w:eastAsia="宋体" w:hAnsi="Times New Roman" w:cs="Times New Roman"/>
          <w:bCs/>
          <w:sz w:val="20"/>
          <w:szCs w:val="20"/>
          <w14:ligatures w14:val="standardContextual"/>
        </w:rPr>
        <w:t xml:space="preserve"> outpatients population. B. 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 xml:space="preserve">Association of </w:t>
      </w:r>
      <w:r>
        <w:rPr>
          <w:rFonts w:ascii="Times New Roman" w:eastAsia="宋体" w:hAnsi="Times New Roman" w:cs="Times New Roman" w:hint="eastAsia"/>
          <w:i/>
          <w:sz w:val="20"/>
          <w:szCs w:val="20"/>
          <w14:ligatures w14:val="standardContextual"/>
        </w:rPr>
        <w:t>H. pylori</w:t>
      </w:r>
      <w:r>
        <w:rPr>
          <w:rFonts w:ascii="Times New Roman" w:eastAsia="宋体" w:hAnsi="Times New Roman" w:cs="Times New Roman"/>
          <w:i/>
          <w:sz w:val="20"/>
          <w:szCs w:val="20"/>
          <w14:ligatures w14:val="standardContextual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 xml:space="preserve">infection and PD by a multivariate logistic regression analysis </w:t>
      </w:r>
      <w:r>
        <w:rPr>
          <w:rFonts w:ascii="Times New Roman" w:eastAsia="宋体" w:hAnsi="Times New Roman" w:cs="Times New Roman" w:hint="eastAsia"/>
          <w:sz w:val="20"/>
          <w:szCs w:val="20"/>
          <w14:ligatures w14:val="standardContextual"/>
        </w:rPr>
        <w:t>in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 xml:space="preserve"> rural area. Odds ratio (ORs) was adjusted for the sex (male=1, female =0), age (years), Hypertension (Yes=1, No=0), Diabetes Mellitus (Yes=1, No=0), Coronary Artery Disease (Yes=1, No=0),, </w:t>
      </w:r>
      <w:r>
        <w:rPr>
          <w:rFonts w:ascii="Times New Roman" w:eastAsia="宋体" w:hAnsi="Times New Roman" w:cs="Times New Roman" w:hint="eastAsia"/>
          <w:i/>
          <w:sz w:val="20"/>
          <w:szCs w:val="20"/>
          <w14:ligatures w14:val="standardContextual"/>
        </w:rPr>
        <w:t>H. pylori</w:t>
      </w:r>
      <w:r>
        <w:rPr>
          <w:rFonts w:ascii="Times New Roman" w:eastAsia="宋体" w:hAnsi="Times New Roman" w:cs="Times New Roman"/>
          <w:i/>
          <w:sz w:val="20"/>
          <w:szCs w:val="20"/>
          <w14:ligatures w14:val="standardContextual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>infection (Positive=1, Negative=0).</w:t>
      </w:r>
      <w:r>
        <w:rPr>
          <w:rFonts w:ascii="Times New Roman" w:eastAsia="宋体" w:hAnsi="Times New Roman" w:cs="Times New Roman"/>
          <w:sz w:val="20"/>
          <w:szCs w:val="24"/>
          <w14:ligatures w14:val="standardContextual"/>
        </w:rPr>
        <w:t xml:space="preserve"> 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>**</w:t>
      </w:r>
      <w:r>
        <w:rPr>
          <w:rFonts w:ascii="Times New Roman" w:eastAsia="宋体" w:hAnsi="Times New Roman" w:cs="Times New Roman"/>
          <w:i/>
          <w:sz w:val="20"/>
          <w:szCs w:val="20"/>
          <w14:ligatures w14:val="standardContextual"/>
        </w:rPr>
        <w:t>p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 xml:space="preserve"> &lt; 0.01. ***</w:t>
      </w:r>
      <w:r>
        <w:rPr>
          <w:rFonts w:ascii="Times New Roman" w:eastAsia="宋体" w:hAnsi="Times New Roman" w:cs="Times New Roman"/>
          <w:i/>
          <w:sz w:val="20"/>
          <w:szCs w:val="20"/>
          <w14:ligatures w14:val="standardContextual"/>
        </w:rPr>
        <w:t>p</w:t>
      </w:r>
      <w:r>
        <w:rPr>
          <w:rFonts w:ascii="Times New Roman" w:eastAsia="宋体" w:hAnsi="Times New Roman" w:cs="Times New Roman"/>
          <w:sz w:val="20"/>
          <w:szCs w:val="20"/>
          <w14:ligatures w14:val="standardContextual"/>
        </w:rPr>
        <w:t xml:space="preserve"> &lt; 0.001.</w:t>
      </w:r>
    </w:p>
    <w:p w:rsidR="0080201D" w:rsidRDefault="0080201D" w:rsidP="0080201D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0201D" w:rsidRDefault="0080201D" w:rsidP="0080201D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Supplement table 2</w:t>
      </w:r>
    </w:p>
    <w:tbl>
      <w:tblPr>
        <w:tblStyle w:val="a7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987"/>
        <w:gridCol w:w="1184"/>
        <w:gridCol w:w="944"/>
        <w:gridCol w:w="987"/>
        <w:gridCol w:w="1184"/>
        <w:gridCol w:w="945"/>
      </w:tblGrid>
      <w:tr w:rsidR="0080201D" w:rsidTr="005923B8">
        <w:tc>
          <w:tcPr>
            <w:tcW w:w="8359" w:type="dxa"/>
            <w:gridSpan w:val="7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The H. pylori infection rate between 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Parkinson’s disease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patients and outpatients population in the </w:t>
            </w:r>
            <w:r>
              <w:rPr>
                <w:rFonts w:ascii="Times New Roman" w:hAnsi="Times New Roman" w:cs="Times New Roman" w:hint="eastAsia"/>
                <w:b/>
                <w:sz w:val="13"/>
                <w:szCs w:val="13"/>
              </w:rPr>
              <w:t>di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fferent age</w:t>
            </w:r>
          </w:p>
        </w:tc>
      </w:tr>
      <w:tr w:rsidR="0080201D" w:rsidTr="005923B8"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Age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pStyle w:val="a8"/>
              <w:spacing w:line="480" w:lineRule="auto"/>
              <w:ind w:firstLineChars="0" w:firstLine="0"/>
              <w:jc w:val="center"/>
              <w:rPr>
                <w:sz w:val="13"/>
                <w:szCs w:val="13"/>
                <w:lang w:bidi="ar"/>
              </w:rPr>
            </w:pPr>
            <w:r>
              <w:rPr>
                <w:sz w:val="13"/>
                <w:szCs w:val="13"/>
                <w:lang w:bidi="ar"/>
              </w:rPr>
              <w:t>＜</w:t>
            </w:r>
            <w:r>
              <w:rPr>
                <w:sz w:val="13"/>
                <w:szCs w:val="13"/>
                <w:lang w:bidi="ar"/>
              </w:rPr>
              <w:t>65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pStyle w:val="a8"/>
              <w:spacing w:line="480" w:lineRule="auto"/>
              <w:ind w:firstLineChars="0" w:firstLine="0"/>
              <w:jc w:val="center"/>
              <w:rPr>
                <w:sz w:val="13"/>
                <w:szCs w:val="13"/>
                <w:lang w:bidi="ar"/>
              </w:rPr>
            </w:pPr>
            <w:r>
              <w:rPr>
                <w:sz w:val="13"/>
                <w:szCs w:val="13"/>
                <w:lang w:bidi="ar"/>
              </w:rPr>
              <w:t>≥65</w:t>
            </w:r>
          </w:p>
        </w:tc>
      </w:tr>
      <w:tr w:rsidR="0080201D" w:rsidTr="005923B8"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,Bold" w:hAnsi="Times New Roman" w:cs="Times New Roman"/>
                <w:bCs/>
                <w:sz w:val="13"/>
                <w:szCs w:val="13"/>
              </w:rPr>
              <w:t>Characteristics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PD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Outpatients population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i/>
                <w:iCs/>
                <w:sz w:val="13"/>
                <w:szCs w:val="13"/>
                <w:lang w:bidi="ar"/>
              </w:rPr>
              <w:t>P</w:t>
            </w:r>
            <w:r>
              <w:rPr>
                <w:rStyle w:val="font71"/>
                <w:rFonts w:eastAsia="等线"/>
                <w:sz w:val="13"/>
                <w:szCs w:val="13"/>
                <w:lang w:bidi="ar"/>
              </w:rPr>
              <w:t xml:space="preserve"> value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PD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Outpatients population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i/>
                <w:iCs/>
                <w:sz w:val="13"/>
                <w:szCs w:val="13"/>
                <w:lang w:bidi="ar"/>
              </w:rPr>
              <w:t>P</w:t>
            </w:r>
            <w:r>
              <w:rPr>
                <w:rStyle w:val="font71"/>
                <w:rFonts w:eastAsia="等线"/>
                <w:sz w:val="13"/>
                <w:szCs w:val="13"/>
                <w:lang w:bidi="ar"/>
              </w:rPr>
              <w:t xml:space="preserve"> value</w:t>
            </w:r>
          </w:p>
        </w:tc>
      </w:tr>
      <w:tr w:rsidR="0080201D" w:rsidTr="005923B8">
        <w:tc>
          <w:tcPr>
            <w:tcW w:w="2128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bidi="ar"/>
              </w:rPr>
              <w:t>H.P positive (DOB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≥</w:t>
            </w:r>
            <w:r>
              <w:rPr>
                <w:rFonts w:ascii="Times New Roman" w:hAnsi="Times New Roman" w:cs="Times New Roman"/>
                <w:sz w:val="13"/>
                <w:szCs w:val="13"/>
                <w:lang w:bidi="ar"/>
              </w:rPr>
              <w:t>4), n (%)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38(25.2)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6849(34.1)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0.021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52(31.7)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743(32.2)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0.901</w:t>
            </w:r>
          </w:p>
        </w:tc>
      </w:tr>
      <w:tr w:rsidR="0080201D" w:rsidTr="005923B8">
        <w:tc>
          <w:tcPr>
            <w:tcW w:w="2128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pStyle w:val="a8"/>
              <w:spacing w:line="480" w:lineRule="auto"/>
              <w:ind w:firstLineChars="0" w:firstLine="0"/>
              <w:rPr>
                <w:b/>
                <w:sz w:val="13"/>
                <w:szCs w:val="13"/>
              </w:rPr>
            </w:pPr>
            <w:r>
              <w:rPr>
                <w:sz w:val="13"/>
                <w:szCs w:val="13"/>
                <w:lang w:bidi="ar"/>
              </w:rPr>
              <w:t>H.P positive (DOB</w:t>
            </w:r>
            <w:r>
              <w:rPr>
                <w:b/>
                <w:sz w:val="13"/>
                <w:szCs w:val="13"/>
              </w:rPr>
              <w:t>≥</w:t>
            </w:r>
            <w:r>
              <w:rPr>
                <w:sz w:val="13"/>
                <w:szCs w:val="13"/>
                <w:lang w:bidi="ar"/>
              </w:rPr>
              <w:t>8), n (%)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29(19.2)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5581(27.8)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0.019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42(25.6)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579(25.1)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80201D" w:rsidRDefault="0080201D" w:rsidP="005923B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0.879</w:t>
            </w:r>
          </w:p>
        </w:tc>
      </w:tr>
    </w:tbl>
    <w:p w:rsidR="0080201D" w:rsidRDefault="0080201D" w:rsidP="0080201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13"/>
          <w:szCs w:val="13"/>
        </w:rPr>
      </w:pPr>
      <w:r>
        <w:rPr>
          <w:rFonts w:ascii="Times New Roman" w:hAnsi="Times New Roman" w:cs="Times New Roman"/>
          <w:kern w:val="0"/>
          <w:sz w:val="13"/>
          <w:szCs w:val="13"/>
        </w:rPr>
        <w:t>n (%) indicates the number of constituents (n) and the composition ratio (%).</w:t>
      </w:r>
    </w:p>
    <w:p w:rsidR="0094108B" w:rsidRDefault="000A1BC1"/>
    <w:sectPr w:rsidR="00941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C1" w:rsidRDefault="000A1BC1" w:rsidP="0080201D">
      <w:r>
        <w:separator/>
      </w:r>
    </w:p>
  </w:endnote>
  <w:endnote w:type="continuationSeparator" w:id="0">
    <w:p w:rsidR="000A1BC1" w:rsidRDefault="000A1BC1" w:rsidP="0080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,Bold">
    <w:altName w:val="等线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C1" w:rsidRDefault="000A1BC1" w:rsidP="0080201D">
      <w:r>
        <w:separator/>
      </w:r>
    </w:p>
  </w:footnote>
  <w:footnote w:type="continuationSeparator" w:id="0">
    <w:p w:rsidR="000A1BC1" w:rsidRDefault="000A1BC1" w:rsidP="00802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C7"/>
    <w:rsid w:val="000A1BC1"/>
    <w:rsid w:val="0080201D"/>
    <w:rsid w:val="0083177D"/>
    <w:rsid w:val="00AE6ECB"/>
    <w:rsid w:val="00B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56D31"/>
  <w15:chartTrackingRefBased/>
  <w15:docId w15:val="{FF92D9A1-8F0B-499C-A5E0-9CF48391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01D"/>
    <w:rPr>
      <w:sz w:val="18"/>
      <w:szCs w:val="18"/>
    </w:rPr>
  </w:style>
  <w:style w:type="table" w:styleId="a7">
    <w:name w:val="Table Grid"/>
    <w:basedOn w:val="a1"/>
    <w:uiPriority w:val="39"/>
    <w:qFormat/>
    <w:rsid w:val="008020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201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font71">
    <w:name w:val="font71"/>
    <w:basedOn w:val="a0"/>
    <w:qFormat/>
    <w:rsid w:val="0080201D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Xiao</dc:creator>
  <cp:keywords/>
  <dc:description/>
  <cp:lastModifiedBy>Xiao Xiao</cp:lastModifiedBy>
  <cp:revision>2</cp:revision>
  <dcterms:created xsi:type="dcterms:W3CDTF">2025-03-18T13:31:00Z</dcterms:created>
  <dcterms:modified xsi:type="dcterms:W3CDTF">2025-03-18T13:31:00Z</dcterms:modified>
</cp:coreProperties>
</file>