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FF7ED" w14:textId="77777777" w:rsidR="00BB0A66" w:rsidRDefault="00000000">
      <w:pPr>
        <w:pStyle w:val="Title"/>
        <w:rPr>
          <w:sz w:val="34"/>
          <w:szCs w:val="34"/>
        </w:rPr>
      </w:pPr>
      <w:r>
        <w:rPr>
          <w:sz w:val="34"/>
          <w:szCs w:val="34"/>
        </w:rPr>
        <w:t>Supporting Information</w:t>
      </w:r>
    </w:p>
    <w:p w14:paraId="7E670753" w14:textId="77777777" w:rsidR="00BB0A66" w:rsidRDefault="00000000">
      <w:pPr>
        <w:pStyle w:val="Title"/>
        <w:rPr>
          <w:sz w:val="34"/>
          <w:szCs w:val="34"/>
        </w:rPr>
      </w:pPr>
      <w:r>
        <w:rPr>
          <w:sz w:val="34"/>
          <w:szCs w:val="34"/>
        </w:rPr>
        <w:t>Anchored Anions, Mobile Cations: Charge Storage in MOF-based Supercapacitors Studied with operando Small Angle X-ray Scattering</w:t>
      </w:r>
    </w:p>
    <w:p w14:paraId="5190FF40" w14:textId="77777777" w:rsidR="00BB0A66" w:rsidRDefault="00BB0A66">
      <w:pPr>
        <w:rPr>
          <w:rFonts w:cs="Calibri"/>
        </w:rPr>
      </w:pPr>
    </w:p>
    <w:p w14:paraId="429D1D15" w14:textId="7E7A03AD" w:rsidR="00BB0A66" w:rsidRDefault="00000000">
      <w:pPr>
        <w:rPr>
          <w:rFonts w:cs="Calibri"/>
        </w:rPr>
      </w:pPr>
      <w:r>
        <w:rPr>
          <w:rFonts w:cs="Calibri"/>
        </w:rPr>
        <w:t>Malina Seyffertitz</w:t>
      </w:r>
      <w:r>
        <w:rPr>
          <w:rFonts w:cs="Calibri"/>
          <w:vertAlign w:val="superscript"/>
        </w:rPr>
        <w:t>1</w:t>
      </w:r>
      <w:r>
        <w:rPr>
          <w:rFonts w:cs="Calibri"/>
        </w:rPr>
        <w:t>, Chloe J. Balhatchet</w:t>
      </w:r>
      <w:r>
        <w:rPr>
          <w:rFonts w:cs="Calibri"/>
          <w:vertAlign w:val="superscript"/>
        </w:rPr>
        <w:t>2</w:t>
      </w:r>
      <w:r>
        <w:rPr>
          <w:rFonts w:cs="Calibri"/>
        </w:rPr>
        <w:t>, Max V</w:t>
      </w:r>
      <w:r w:rsidR="00277467">
        <w:rPr>
          <w:rFonts w:cs="Calibri"/>
        </w:rPr>
        <w:t>.</w:t>
      </w:r>
      <w:r>
        <w:rPr>
          <w:rFonts w:cs="Calibri"/>
        </w:rPr>
        <w:t xml:space="preserve"> Rauscher</w:t>
      </w:r>
      <w:r>
        <w:rPr>
          <w:rFonts w:cs="Calibri"/>
          <w:vertAlign w:val="superscript"/>
        </w:rPr>
        <w:t>1</w:t>
      </w:r>
      <w:r>
        <w:rPr>
          <w:rFonts w:cs="Calibri"/>
        </w:rPr>
        <w:t>, Sebastian Stock</w:t>
      </w:r>
      <w:r>
        <w:rPr>
          <w:rFonts w:cs="Calibri"/>
          <w:vertAlign w:val="superscript"/>
        </w:rPr>
        <w:t>1</w:t>
      </w:r>
      <w:r>
        <w:rPr>
          <w:rFonts w:cs="Calibri"/>
        </w:rPr>
        <w:t xml:space="preserve">, Gerhard </w:t>
      </w:r>
      <w:r w:rsidR="00550F7D">
        <w:rPr>
          <w:rFonts w:cs="Calibri"/>
        </w:rPr>
        <w:t>Fritz-</w:t>
      </w:r>
      <w:r>
        <w:rPr>
          <w:rFonts w:cs="Calibri"/>
        </w:rPr>
        <w:t>Popovski</w:t>
      </w:r>
      <w:r>
        <w:rPr>
          <w:rFonts w:cs="Calibri"/>
          <w:vertAlign w:val="superscript"/>
        </w:rPr>
        <w:t>1</w:t>
      </w:r>
      <w:r>
        <w:rPr>
          <w:rFonts w:cs="Calibri"/>
        </w:rPr>
        <w:t>, Thomas Leiner</w:t>
      </w:r>
      <w:r>
        <w:rPr>
          <w:rFonts w:cs="Calibri"/>
          <w:vertAlign w:val="superscript"/>
        </w:rPr>
        <w:t>3</w:t>
      </w:r>
      <w:r>
        <w:rPr>
          <w:rFonts w:cs="Calibri"/>
        </w:rPr>
        <w:t>, David Holec</w:t>
      </w:r>
      <w:r>
        <w:rPr>
          <w:rFonts w:cs="Calibri"/>
          <w:vertAlign w:val="superscript"/>
        </w:rPr>
        <w:t>3</w:t>
      </w:r>
      <w:r>
        <w:rPr>
          <w:rFonts w:cs="Calibri"/>
        </w:rPr>
        <w:t>, Heinz Amenitsch</w:t>
      </w:r>
      <w:r>
        <w:rPr>
          <w:rFonts w:cs="Calibri"/>
          <w:vertAlign w:val="superscript"/>
        </w:rPr>
        <w:t>4,5</w:t>
      </w:r>
      <w:r>
        <w:rPr>
          <w:rFonts w:cs="Calibri"/>
        </w:rPr>
        <w:t>, Alexander C. Forse</w:t>
      </w:r>
      <w:r>
        <w:rPr>
          <w:rFonts w:cs="Calibri"/>
          <w:vertAlign w:val="superscript"/>
        </w:rPr>
        <w:t>2</w:t>
      </w:r>
      <w:r>
        <w:rPr>
          <w:rFonts w:cs="Calibri"/>
        </w:rPr>
        <w:t>, Oskar Paris</w:t>
      </w:r>
      <w:r>
        <w:rPr>
          <w:rFonts w:cs="Calibri"/>
          <w:vertAlign w:val="superscript"/>
        </w:rPr>
        <w:t>1</w:t>
      </w:r>
      <w:r>
        <w:rPr>
          <w:rFonts w:cs="Calibri"/>
        </w:rPr>
        <w:t>*</w:t>
      </w:r>
    </w:p>
    <w:p w14:paraId="20717883" w14:textId="5B8179C8" w:rsidR="00BB0A66" w:rsidRDefault="00000000">
      <w:pPr>
        <w:rPr>
          <w:rFonts w:cs="Calibri"/>
          <w:sz w:val="18"/>
          <w:szCs w:val="18"/>
        </w:rPr>
      </w:pPr>
      <w:r>
        <w:rPr>
          <w:rFonts w:cs="Calibri"/>
          <w:sz w:val="18"/>
          <w:szCs w:val="18"/>
        </w:rPr>
        <w:t xml:space="preserve">1 Chair of Physics, Montanuniversität Leoben, Austria </w:t>
      </w:r>
      <w:r>
        <w:rPr>
          <w:rFonts w:cs="Calibri"/>
          <w:sz w:val="18"/>
          <w:szCs w:val="18"/>
        </w:rPr>
        <w:br/>
        <w:t xml:space="preserve">2 Yusuf Hamied Department of Chemistry, University of Cambridge, United Kingdom </w:t>
      </w:r>
      <w:r>
        <w:rPr>
          <w:rFonts w:cs="Calibri"/>
          <w:sz w:val="18"/>
          <w:szCs w:val="18"/>
        </w:rPr>
        <w:br/>
        <w:t>3 Chair of Physical Metallurgy, Montanuniversität Leoben, Austria</w:t>
      </w:r>
      <w:r>
        <w:rPr>
          <w:rFonts w:cs="Calibri"/>
          <w:sz w:val="18"/>
          <w:szCs w:val="18"/>
        </w:rPr>
        <w:br/>
        <w:t xml:space="preserve">4 Institute of Inorganic Chemistry, Graz University of Technology, Austria </w:t>
      </w:r>
      <w:r>
        <w:rPr>
          <w:rFonts w:cs="Calibri"/>
          <w:sz w:val="18"/>
          <w:szCs w:val="18"/>
        </w:rPr>
        <w:br/>
        <w:t>5 ELETTRA Sincrotrone Trieste, Italy</w:t>
      </w:r>
    </w:p>
    <w:p w14:paraId="3C28F0D0" w14:textId="77777777" w:rsidR="00BB0A66" w:rsidRDefault="00BB0A66">
      <w:pPr>
        <w:jc w:val="both"/>
        <w:rPr>
          <w:rFonts w:ascii="Arial" w:hAnsi="Arial" w:cs="Arial"/>
        </w:rPr>
      </w:pPr>
    </w:p>
    <w:p w14:paraId="1E5DF44A" w14:textId="43B40F40" w:rsidR="002142BE" w:rsidRPr="002142BE" w:rsidRDefault="002142BE">
      <w:pPr>
        <w:jc w:val="both"/>
        <w:rPr>
          <w:rFonts w:ascii="Arial" w:hAnsi="Arial" w:cs="Arial"/>
          <w:sz w:val="18"/>
          <w:szCs w:val="18"/>
        </w:rPr>
      </w:pPr>
      <w:r w:rsidRPr="002142BE">
        <w:rPr>
          <w:rFonts w:ascii="Arial" w:hAnsi="Arial" w:cs="Arial"/>
          <w:sz w:val="18"/>
          <w:szCs w:val="18"/>
        </w:rPr>
        <w:t>*oskar.paris@unileoben.ac.at</w:t>
      </w:r>
    </w:p>
    <w:p w14:paraId="09AB3063" w14:textId="77777777" w:rsidR="00BB0A66" w:rsidRDefault="00000000">
      <w:pPr>
        <w:keepNext/>
        <w:jc w:val="center"/>
        <w:rPr>
          <w:rFonts w:ascii="Arial" w:hAnsi="Arial" w:cs="Arial"/>
        </w:rPr>
      </w:pPr>
      <w:r>
        <w:rPr>
          <w:rFonts w:ascii="Arial" w:hAnsi="Arial" w:cs="Arial"/>
        </w:rPr>
        <w:object w:dxaOrig="9389" w:dyaOrig="7153" w14:anchorId="07DC1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i1025" type="#_x0000_t75" style="width:466.25pt;height:355.45pt;mso-wrap-distance-left:0;mso-wrap-distance-top:0;mso-wrap-distance-right:0;mso-wrap-distance-bottom:0" o:ole="">
            <v:imagedata r:id="rId7" o:title=""/>
            <o:lock v:ext="edit" rotation="t"/>
          </v:shape>
          <o:OLEObject Type="Embed" ProgID="Origin95.Graph" ShapeID="_x0000_i0" DrawAspect="Content" ObjectID="_1800348295" r:id="rId8"/>
        </w:object>
      </w:r>
    </w:p>
    <w:p w14:paraId="73930C1D" w14:textId="709A4B3A" w:rsidR="00BB0A66" w:rsidRDefault="00000000">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sidR="008B4312">
        <w:rPr>
          <w:rFonts w:ascii="Arial" w:hAnsi="Arial" w:cs="Arial"/>
          <w:noProof/>
        </w:rPr>
        <w:t>1</w:t>
      </w:r>
      <w:r>
        <w:rPr>
          <w:rFonts w:ascii="Arial" w:hAnsi="Arial" w:cs="Arial"/>
        </w:rPr>
        <w:fldChar w:fldCharType="end"/>
      </w:r>
      <w:r>
        <w:rPr>
          <w:rFonts w:ascii="Arial" w:hAnsi="Arial" w:cs="Arial"/>
        </w:rPr>
        <w:t>: WAXS pattern from the dry Ni</w:t>
      </w:r>
      <w:r>
        <w:rPr>
          <w:rFonts w:ascii="Arial" w:hAnsi="Arial" w:cs="Arial"/>
          <w:vertAlign w:val="subscript"/>
        </w:rPr>
        <w:t>3</w:t>
      </w:r>
      <w:r>
        <w:rPr>
          <w:rFonts w:ascii="Arial" w:hAnsi="Arial" w:cs="Arial"/>
        </w:rPr>
        <w:t>(HITP)</w:t>
      </w:r>
      <w:r>
        <w:rPr>
          <w:rFonts w:ascii="Arial" w:hAnsi="Arial" w:cs="Arial"/>
          <w:vertAlign w:val="subscript"/>
        </w:rPr>
        <w:t>2</w:t>
      </w:r>
      <w:r>
        <w:rPr>
          <w:rFonts w:ascii="Arial" w:hAnsi="Arial" w:cs="Arial"/>
        </w:rPr>
        <w:t xml:space="preserve"> MOF with all in-plane reflections (hk0) up to reflection (10 10 0) indicated by vertical lines. Mixed reflections (hkl) and stacking reflexion (00l) are not shown.</w:t>
      </w:r>
    </w:p>
    <w:p w14:paraId="6B44ABAB" w14:textId="77777777" w:rsidR="00BB0A66" w:rsidRDefault="00BB0A66">
      <w:pPr>
        <w:jc w:val="both"/>
        <w:rPr>
          <w:rFonts w:ascii="Arial" w:hAnsi="Arial" w:cs="Arial"/>
        </w:rPr>
      </w:pPr>
    </w:p>
    <w:p w14:paraId="23FF78D8" w14:textId="77777777" w:rsidR="00277467" w:rsidRDefault="00277467">
      <w:pPr>
        <w:jc w:val="both"/>
        <w:rPr>
          <w:rFonts w:ascii="Arial" w:hAnsi="Arial" w:cs="Arial"/>
        </w:rPr>
      </w:pPr>
    </w:p>
    <w:p w14:paraId="170EE35E" w14:textId="77777777" w:rsidR="00277467" w:rsidRDefault="00277467">
      <w:pPr>
        <w:jc w:val="both"/>
        <w:rPr>
          <w:rFonts w:ascii="Arial" w:hAnsi="Arial" w:cs="Arial"/>
        </w:rPr>
      </w:pPr>
    </w:p>
    <w:p w14:paraId="63AC63E8" w14:textId="77777777" w:rsidR="00277467" w:rsidRDefault="00277467">
      <w:pPr>
        <w:jc w:val="both"/>
        <w:rPr>
          <w:rFonts w:ascii="Arial" w:hAnsi="Arial" w:cs="Arial"/>
        </w:rPr>
      </w:pPr>
    </w:p>
    <w:p w14:paraId="73C39B17" w14:textId="6A49626E" w:rsidR="00277467" w:rsidRDefault="00277467">
      <w:pPr>
        <w:jc w:val="both"/>
        <w:rPr>
          <w:rFonts w:ascii="Arial" w:hAnsi="Arial" w:cs="Arial"/>
        </w:rPr>
      </w:pPr>
      <w:r>
        <w:rPr>
          <w:rFonts w:ascii="Arial" w:hAnsi="Arial" w:cs="Arial"/>
        </w:rPr>
        <w:lastRenderedPageBreak/>
        <w:t>a)</w:t>
      </w:r>
    </w:p>
    <w:p w14:paraId="543C3A6C" w14:textId="663B8430" w:rsidR="00277467" w:rsidRDefault="00277467">
      <w:pPr>
        <w:jc w:val="both"/>
        <w:rPr>
          <w:rFonts w:ascii="Arial" w:hAnsi="Arial" w:cs="Arial"/>
        </w:rPr>
      </w:pPr>
      <w:r w:rsidRPr="00277467">
        <w:rPr>
          <w:rFonts w:ascii="Arial" w:hAnsi="Arial" w:cs="Arial"/>
          <w:noProof/>
        </w:rPr>
        <w:drawing>
          <wp:inline distT="0" distB="0" distL="0" distR="0" wp14:anchorId="144B0A5E" wp14:editId="72749CE8">
            <wp:extent cx="5760720" cy="2346325"/>
            <wp:effectExtent l="0" t="0" r="0" b="0"/>
            <wp:docPr id="1969093665" name="Picture 1" descr="A group of lines with do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93665" name="Picture 1" descr="A group of lines with dots and lines&#10;&#10;Description automatically generated with medium confidence"/>
                    <pic:cNvPicPr/>
                  </pic:nvPicPr>
                  <pic:blipFill>
                    <a:blip r:embed="rId9"/>
                    <a:stretch>
                      <a:fillRect/>
                    </a:stretch>
                  </pic:blipFill>
                  <pic:spPr>
                    <a:xfrm>
                      <a:off x="0" y="0"/>
                      <a:ext cx="5760720" cy="2346325"/>
                    </a:xfrm>
                    <a:prstGeom prst="rect">
                      <a:avLst/>
                    </a:prstGeom>
                  </pic:spPr>
                </pic:pic>
              </a:graphicData>
            </a:graphic>
          </wp:inline>
        </w:drawing>
      </w:r>
    </w:p>
    <w:p w14:paraId="24FC0ED8" w14:textId="77777777" w:rsidR="00277467" w:rsidRDefault="00277467">
      <w:pPr>
        <w:jc w:val="both"/>
        <w:rPr>
          <w:rFonts w:ascii="Arial" w:hAnsi="Arial" w:cs="Arial"/>
        </w:rPr>
      </w:pPr>
    </w:p>
    <w:p w14:paraId="6BD0A3C8" w14:textId="3344C9CB" w:rsidR="00277467" w:rsidRDefault="00277467">
      <w:pPr>
        <w:jc w:val="both"/>
        <w:rPr>
          <w:rFonts w:ascii="Arial" w:hAnsi="Arial" w:cs="Arial"/>
        </w:rPr>
      </w:pPr>
      <w:r>
        <w:rPr>
          <w:rFonts w:ascii="Arial" w:hAnsi="Arial" w:cs="Arial"/>
        </w:rPr>
        <w:t>b)</w:t>
      </w:r>
    </w:p>
    <w:p w14:paraId="447AB821" w14:textId="5EB7354D" w:rsidR="00BB0A66" w:rsidRPr="00CA7FA5" w:rsidRDefault="00CA7FA5">
      <w:pPr>
        <w:keepNext/>
        <w:jc w:val="center"/>
        <w:rPr>
          <w:rFonts w:ascii="Arial" w:hAnsi="Arial" w:cs="Arial"/>
        </w:rPr>
      </w:pPr>
      <w:r w:rsidRPr="00CA7FA5">
        <w:rPr>
          <w:rFonts w:ascii="Arial" w:hAnsi="Arial" w:cs="Arial"/>
          <w:noProof/>
        </w:rPr>
        <w:drawing>
          <wp:inline distT="0" distB="0" distL="0" distR="0" wp14:anchorId="41F06762" wp14:editId="31F81FFE">
            <wp:extent cx="806625" cy="2027582"/>
            <wp:effectExtent l="0" t="0" r="0" b="0"/>
            <wp:docPr id="663596951" name="Picture 4" descr="A dna chain with blue and green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96951" name="Picture 4" descr="A dna chain with blue and green ball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08709" cy="2032822"/>
                    </a:xfrm>
                    <a:prstGeom prst="rect">
                      <a:avLst/>
                    </a:prstGeom>
                  </pic:spPr>
                </pic:pic>
              </a:graphicData>
            </a:graphic>
          </wp:inline>
        </w:drawing>
      </w:r>
      <w:r w:rsidR="00FD44F1">
        <w:rPr>
          <w:rFonts w:ascii="Arial" w:hAnsi="Arial" w:cs="Arial"/>
        </w:rPr>
        <w:tab/>
      </w:r>
      <w:r w:rsidR="00FD44F1">
        <w:rPr>
          <w:rFonts w:ascii="Arial" w:hAnsi="Arial" w:cs="Arial"/>
        </w:rPr>
        <w:tab/>
      </w:r>
      <w:r w:rsidR="00FD44F1">
        <w:rPr>
          <w:rFonts w:ascii="Arial" w:hAnsi="Arial" w:cs="Arial"/>
        </w:rPr>
        <w:tab/>
      </w:r>
      <w:r w:rsidRPr="00CA7FA5">
        <w:rPr>
          <w:rFonts w:ascii="Arial" w:hAnsi="Arial" w:cs="Arial"/>
          <w:noProof/>
        </w:rPr>
        <w:drawing>
          <wp:inline distT="0" distB="0" distL="0" distR="0" wp14:anchorId="363C5F3C" wp14:editId="1C1C8092">
            <wp:extent cx="606694" cy="2034209"/>
            <wp:effectExtent l="0" t="0" r="3175" b="4445"/>
            <wp:docPr id="1776953894" name="Picture 5" descr="A blurry image of a dn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3894" name="Picture 5" descr="A blurry image of a dna chai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0804" cy="2081520"/>
                    </a:xfrm>
                    <a:prstGeom prst="rect">
                      <a:avLst/>
                    </a:prstGeom>
                  </pic:spPr>
                </pic:pic>
              </a:graphicData>
            </a:graphic>
          </wp:inline>
        </w:drawing>
      </w:r>
    </w:p>
    <w:p w14:paraId="6731D2E5" w14:textId="796B0E10" w:rsidR="00FD44F1" w:rsidRPr="00FD44F1" w:rsidRDefault="00000000" w:rsidP="00FD44F1">
      <w:pPr>
        <w:rPr>
          <w:rFonts w:ascii="Arial" w:hAnsi="Arial" w:cs="Arial"/>
          <w:i/>
          <w:iCs/>
          <w:color w:val="0E2841" w:themeColor="text2"/>
          <w:sz w:val="18"/>
          <w:szCs w:val="18"/>
        </w:rPr>
      </w:pPr>
      <w:r w:rsidRPr="00FD44F1">
        <w:rPr>
          <w:rFonts w:ascii="Arial" w:hAnsi="Arial" w:cs="Arial"/>
          <w:i/>
          <w:iCs/>
          <w:color w:val="0E2841" w:themeColor="text2"/>
          <w:sz w:val="18"/>
          <w:szCs w:val="18"/>
        </w:rPr>
        <w:t>Figure S</w:t>
      </w:r>
      <w:r w:rsidRPr="00FD44F1">
        <w:rPr>
          <w:rFonts w:ascii="Arial" w:hAnsi="Arial" w:cs="Arial"/>
          <w:i/>
          <w:iCs/>
          <w:color w:val="0E2841" w:themeColor="text2"/>
          <w:sz w:val="18"/>
          <w:szCs w:val="18"/>
        </w:rPr>
        <w:fldChar w:fldCharType="begin"/>
      </w:r>
      <w:r w:rsidRPr="00FD44F1">
        <w:rPr>
          <w:rFonts w:ascii="Arial" w:hAnsi="Arial" w:cs="Arial"/>
          <w:i/>
          <w:iCs/>
          <w:color w:val="0E2841" w:themeColor="text2"/>
          <w:sz w:val="18"/>
          <w:szCs w:val="18"/>
        </w:rPr>
        <w:instrText xml:space="preserve"> SEQ Figure_S \* ARABIC </w:instrText>
      </w:r>
      <w:r w:rsidRPr="00FD44F1">
        <w:rPr>
          <w:rFonts w:ascii="Arial" w:hAnsi="Arial" w:cs="Arial"/>
          <w:i/>
          <w:iCs/>
          <w:color w:val="0E2841" w:themeColor="text2"/>
          <w:sz w:val="18"/>
          <w:szCs w:val="18"/>
        </w:rPr>
        <w:fldChar w:fldCharType="separate"/>
      </w:r>
      <w:r w:rsidR="008B4312">
        <w:rPr>
          <w:rFonts w:ascii="Arial" w:hAnsi="Arial" w:cs="Arial"/>
          <w:i/>
          <w:iCs/>
          <w:noProof/>
          <w:color w:val="0E2841" w:themeColor="text2"/>
          <w:sz w:val="18"/>
          <w:szCs w:val="18"/>
        </w:rPr>
        <w:t>2</w:t>
      </w:r>
      <w:r w:rsidRPr="00FD44F1">
        <w:rPr>
          <w:rFonts w:ascii="Arial" w:hAnsi="Arial" w:cs="Arial"/>
          <w:i/>
          <w:iCs/>
          <w:color w:val="0E2841" w:themeColor="text2"/>
          <w:sz w:val="18"/>
          <w:szCs w:val="18"/>
        </w:rPr>
        <w:fldChar w:fldCharType="end"/>
      </w:r>
      <w:r w:rsidRPr="00FD44F1">
        <w:rPr>
          <w:rFonts w:ascii="Arial" w:hAnsi="Arial" w:cs="Arial"/>
          <w:i/>
          <w:iCs/>
          <w:color w:val="0E2841" w:themeColor="text2"/>
          <w:sz w:val="18"/>
          <w:szCs w:val="18"/>
        </w:rPr>
        <w:t>:</w:t>
      </w:r>
      <w:r>
        <w:rPr>
          <w:rFonts w:ascii="Arial" w:hAnsi="Arial" w:cs="Arial"/>
        </w:rPr>
        <w:t xml:space="preserve"> </w:t>
      </w:r>
      <w:r w:rsidR="004833DF">
        <w:rPr>
          <w:rFonts w:ascii="Arial" w:hAnsi="Arial" w:cs="Arial"/>
          <w:i/>
          <w:iCs/>
          <w:color w:val="0E2841" w:themeColor="text2"/>
          <w:sz w:val="18"/>
          <w:szCs w:val="18"/>
        </w:rPr>
        <w:t>a) S</w:t>
      </w:r>
      <w:r w:rsidR="004833DF" w:rsidRPr="004833DF">
        <w:rPr>
          <w:rFonts w:ascii="Arial" w:hAnsi="Arial" w:cs="Arial"/>
          <w:i/>
          <w:iCs/>
          <w:color w:val="0E2841" w:themeColor="text2"/>
          <w:sz w:val="18"/>
          <w:szCs w:val="18"/>
        </w:rPr>
        <w:t>napshots from molecular dynamics simulations of 6 layers of Ni</w:t>
      </w:r>
      <w:r w:rsidR="00E1217D">
        <w:rPr>
          <w:rFonts w:ascii="Arial" w:hAnsi="Arial" w:cs="Arial"/>
          <w:i/>
          <w:iCs/>
          <w:color w:val="0E2841" w:themeColor="text2"/>
          <w:sz w:val="18"/>
          <w:szCs w:val="18"/>
          <w:vertAlign w:val="subscript"/>
        </w:rPr>
        <w:t>3</w:t>
      </w:r>
      <w:r w:rsidR="004833DF" w:rsidRPr="004833DF">
        <w:rPr>
          <w:rFonts w:ascii="Arial" w:hAnsi="Arial" w:cs="Arial"/>
          <w:i/>
          <w:iCs/>
          <w:color w:val="0E2841" w:themeColor="text2"/>
          <w:sz w:val="18"/>
          <w:szCs w:val="18"/>
        </w:rPr>
        <w:t>(HITP)</w:t>
      </w:r>
      <w:r w:rsidR="00E1217D">
        <w:rPr>
          <w:rFonts w:ascii="Cambria Math" w:hAnsi="Cambria Math" w:cs="Cambria Math"/>
          <w:i/>
          <w:iCs/>
          <w:color w:val="0E2841" w:themeColor="text2"/>
          <w:sz w:val="18"/>
          <w:szCs w:val="18"/>
          <w:vertAlign w:val="subscript"/>
        </w:rPr>
        <w:t>2</w:t>
      </w:r>
      <w:r w:rsidR="004833DF" w:rsidRPr="004833DF">
        <w:rPr>
          <w:rFonts w:ascii="Arial" w:hAnsi="Arial" w:cs="Arial"/>
          <w:i/>
          <w:iCs/>
          <w:color w:val="0E2841" w:themeColor="text2"/>
          <w:sz w:val="18"/>
          <w:szCs w:val="18"/>
        </w:rPr>
        <w:t xml:space="preserve"> MOF, performed using the Matlantis framework. The image rows show relaxed structures starting from an AB-stacked configuration (upper) and a staircase-stacked configuration (bottom) at the start of simulation, and after 50 ns, 75 ns and 100 ns. In both cases, the layers remain mobile and shift around their centre. The atoms are coloured according to the species: C (brown), H (purple), N (blue), and Ni (gr</w:t>
      </w:r>
      <w:r w:rsidR="00E1217D">
        <w:rPr>
          <w:rFonts w:ascii="Arial" w:hAnsi="Arial" w:cs="Arial"/>
          <w:i/>
          <w:iCs/>
          <w:color w:val="0E2841" w:themeColor="text2"/>
          <w:sz w:val="18"/>
          <w:szCs w:val="18"/>
        </w:rPr>
        <w:t>e</w:t>
      </w:r>
      <w:r w:rsidR="004833DF" w:rsidRPr="004833DF">
        <w:rPr>
          <w:rFonts w:ascii="Arial" w:hAnsi="Arial" w:cs="Arial"/>
          <w:i/>
          <w:iCs/>
          <w:color w:val="0E2841" w:themeColor="text2"/>
          <w:sz w:val="18"/>
          <w:szCs w:val="18"/>
        </w:rPr>
        <w:t>y, large atoms). The Ni positions are connected by red dotted lines as a guide-for-the-eye to visualise the stacking.</w:t>
      </w:r>
      <w:r w:rsidR="00E1217D">
        <w:rPr>
          <w:rFonts w:ascii="Arial" w:hAnsi="Arial" w:cs="Arial"/>
          <w:i/>
          <w:iCs/>
          <w:color w:val="0E2841" w:themeColor="text2"/>
          <w:sz w:val="18"/>
          <w:szCs w:val="18"/>
        </w:rPr>
        <w:t xml:space="preserve"> b) </w:t>
      </w:r>
      <w:r w:rsidR="00FD44F1" w:rsidRPr="00FD44F1">
        <w:rPr>
          <w:rFonts w:ascii="Arial" w:hAnsi="Arial" w:cs="Arial"/>
          <w:i/>
          <w:iCs/>
          <w:color w:val="0E2841" w:themeColor="text2"/>
          <w:sz w:val="18"/>
          <w:szCs w:val="18"/>
        </w:rPr>
        <w:t>Snapshots from molecular dynamics simulations of 32 layers of Ni</w:t>
      </w:r>
      <w:r w:rsidR="00FD44F1" w:rsidRPr="00FD44F1">
        <w:rPr>
          <w:rFonts w:ascii="Cambria Math" w:hAnsi="Cambria Math" w:cs="Cambria Math"/>
          <w:i/>
          <w:iCs/>
          <w:color w:val="0E2841" w:themeColor="text2"/>
          <w:sz w:val="18"/>
          <w:szCs w:val="18"/>
        </w:rPr>
        <w:t>₃</w:t>
      </w:r>
      <w:r w:rsidR="00FD44F1" w:rsidRPr="00FD44F1">
        <w:rPr>
          <w:rFonts w:ascii="Arial" w:hAnsi="Arial" w:cs="Arial"/>
          <w:i/>
          <w:iCs/>
          <w:color w:val="0E2841" w:themeColor="text2"/>
          <w:sz w:val="18"/>
          <w:szCs w:val="18"/>
        </w:rPr>
        <w:t>(HITP)</w:t>
      </w:r>
      <w:r w:rsidR="00FD44F1" w:rsidRPr="00FD44F1">
        <w:rPr>
          <w:rFonts w:ascii="Cambria Math" w:hAnsi="Cambria Math" w:cs="Cambria Math"/>
          <w:i/>
          <w:iCs/>
          <w:color w:val="0E2841" w:themeColor="text2"/>
          <w:sz w:val="18"/>
          <w:szCs w:val="18"/>
        </w:rPr>
        <w:t>₂</w:t>
      </w:r>
      <w:r w:rsidR="00FD44F1" w:rsidRPr="00FD44F1">
        <w:rPr>
          <w:rFonts w:ascii="Arial" w:hAnsi="Arial" w:cs="Arial"/>
          <w:i/>
          <w:iCs/>
          <w:color w:val="0E2841" w:themeColor="text2"/>
          <w:sz w:val="18"/>
          <w:szCs w:val="18"/>
        </w:rPr>
        <w:t xml:space="preserve"> MOF, performed using the Matlantis framework. The images show relaxed structures starting from an AB-stacked configuration (left) and a stacked configuration (right). In both cases, the layers remain mobile and shift around their centre.</w:t>
      </w:r>
      <w:r w:rsidR="000F292B">
        <w:rPr>
          <w:rFonts w:ascii="Arial" w:hAnsi="Arial" w:cs="Arial"/>
          <w:i/>
          <w:iCs/>
          <w:color w:val="0E2841" w:themeColor="text2"/>
          <w:sz w:val="18"/>
          <w:szCs w:val="18"/>
        </w:rPr>
        <w:t xml:space="preserve"> b) Snapshots of the system with 32 layers </w:t>
      </w:r>
      <w:r w:rsidR="000F292B" w:rsidRPr="000F292B">
        <w:rPr>
          <w:rFonts w:ascii="Arial" w:hAnsi="Arial" w:cs="Arial"/>
          <w:i/>
          <w:iCs/>
          <w:color w:val="0E2841" w:themeColor="text2"/>
          <w:sz w:val="18"/>
          <w:szCs w:val="18"/>
        </w:rPr>
        <w:t>resembling the experimental turbostratic structures</w:t>
      </w:r>
      <w:r w:rsidR="000F292B">
        <w:rPr>
          <w:rFonts w:ascii="Arial" w:hAnsi="Arial" w:cs="Arial"/>
          <w:i/>
          <w:iCs/>
          <w:color w:val="0E2841" w:themeColor="text2"/>
          <w:sz w:val="18"/>
          <w:szCs w:val="18"/>
        </w:rPr>
        <w:t>. Here, t</w:t>
      </w:r>
      <w:r w:rsidR="000F292B" w:rsidRPr="004833DF">
        <w:rPr>
          <w:rFonts w:ascii="Arial" w:hAnsi="Arial" w:cs="Arial"/>
          <w:i/>
          <w:iCs/>
          <w:color w:val="0E2841" w:themeColor="text2"/>
          <w:sz w:val="18"/>
          <w:szCs w:val="18"/>
        </w:rPr>
        <w:t>he atoms are coloured according to the species: C (</w:t>
      </w:r>
      <w:r w:rsidR="000F292B">
        <w:rPr>
          <w:rFonts w:ascii="Arial" w:hAnsi="Arial" w:cs="Arial"/>
          <w:i/>
          <w:iCs/>
          <w:color w:val="0E2841" w:themeColor="text2"/>
          <w:sz w:val="18"/>
          <w:szCs w:val="18"/>
        </w:rPr>
        <w:t>grey</w:t>
      </w:r>
      <w:r w:rsidR="000F292B" w:rsidRPr="004833DF">
        <w:rPr>
          <w:rFonts w:ascii="Arial" w:hAnsi="Arial" w:cs="Arial"/>
          <w:i/>
          <w:iCs/>
          <w:color w:val="0E2841" w:themeColor="text2"/>
          <w:sz w:val="18"/>
          <w:szCs w:val="18"/>
        </w:rPr>
        <w:t>), H (</w:t>
      </w:r>
      <w:r w:rsidR="000F292B">
        <w:rPr>
          <w:rFonts w:ascii="Arial" w:hAnsi="Arial" w:cs="Arial"/>
          <w:i/>
          <w:iCs/>
          <w:color w:val="0E2841" w:themeColor="text2"/>
          <w:sz w:val="18"/>
          <w:szCs w:val="18"/>
        </w:rPr>
        <w:t>white</w:t>
      </w:r>
      <w:r w:rsidR="000F292B" w:rsidRPr="004833DF">
        <w:rPr>
          <w:rFonts w:ascii="Arial" w:hAnsi="Arial" w:cs="Arial"/>
          <w:i/>
          <w:iCs/>
          <w:color w:val="0E2841" w:themeColor="text2"/>
          <w:sz w:val="18"/>
          <w:szCs w:val="18"/>
        </w:rPr>
        <w:t>), N (blue), and Ni (</w:t>
      </w:r>
      <w:r w:rsidR="000F292B">
        <w:rPr>
          <w:rFonts w:ascii="Arial" w:hAnsi="Arial" w:cs="Arial"/>
          <w:i/>
          <w:iCs/>
          <w:color w:val="0E2841" w:themeColor="text2"/>
          <w:sz w:val="18"/>
          <w:szCs w:val="18"/>
        </w:rPr>
        <w:t>green</w:t>
      </w:r>
      <w:r w:rsidR="000F292B" w:rsidRPr="004833DF">
        <w:rPr>
          <w:rFonts w:ascii="Arial" w:hAnsi="Arial" w:cs="Arial"/>
          <w:i/>
          <w:iCs/>
          <w:color w:val="0E2841" w:themeColor="text2"/>
          <w:sz w:val="18"/>
          <w:szCs w:val="18"/>
        </w:rPr>
        <w:t>)</w:t>
      </w:r>
    </w:p>
    <w:p w14:paraId="591D26A5" w14:textId="77777777" w:rsidR="00BB0A66" w:rsidRDefault="00BB0A66">
      <w:pPr>
        <w:jc w:val="both"/>
        <w:rPr>
          <w:rFonts w:ascii="Arial" w:hAnsi="Arial" w:cs="Arial"/>
        </w:rPr>
      </w:pPr>
    </w:p>
    <w:p w14:paraId="4E60733D" w14:textId="77777777" w:rsidR="00BB0A66" w:rsidRDefault="00000000" w:rsidP="007B14F1">
      <w:r>
        <w:t>Supplementary Note SN1:</w:t>
      </w:r>
    </w:p>
    <w:p w14:paraId="1FE82EAC" w14:textId="2E464DE0" w:rsidR="003D5609" w:rsidRDefault="003D5609" w:rsidP="003D5609">
      <w:pPr>
        <w:jc w:val="both"/>
      </w:pPr>
      <w:r>
        <w:t>For the molecular dynamics simulations, we used a universal PFP potential (v.</w:t>
      </w:r>
      <w:r w:rsidR="00B70A54">
        <w:t>5</w:t>
      </w:r>
      <w:r>
        <w:t xml:space="preserve">.0.0) from Preferred Computational Chemistry (PFCC), which describes interactions between 72 different elements of the periodic table and is made accessible by a platform called </w:t>
      </w:r>
      <w:r w:rsidRPr="007A460E">
        <w:rPr>
          <w:rFonts w:ascii="Arial" w:hAnsi="Arial" w:cs="Arial"/>
          <w:noProof/>
        </w:rPr>
        <w:t>Matlantis</w:t>
      </w:r>
      <w:r w:rsidRPr="007A460E">
        <w:rPr>
          <w:rFonts w:ascii="Arial" w:hAnsi="Arial" w:cs="Arial"/>
          <w:noProof/>
          <w:vertAlign w:val="superscript"/>
        </w:rPr>
        <w:t>TM</w:t>
      </w:r>
      <w:r>
        <w:rPr>
          <w:rFonts w:ascii="Arial" w:hAnsi="Arial" w:cs="Arial"/>
          <w:noProof/>
        </w:rPr>
        <w:t xml:space="preserve"> </w:t>
      </w:r>
      <w:sdt>
        <w:sdtPr>
          <w:rPr>
            <w:rFonts w:ascii="Arial" w:hAnsi="Arial" w:cs="Arial"/>
            <w:noProof/>
            <w:color w:val="000000"/>
            <w:vertAlign w:val="superscript"/>
          </w:rPr>
          <w:tag w:val="MENDELEY_CITATION_v3_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"/>
          <w:id w:val="2050867301"/>
          <w:placeholder>
            <w:docPart w:val="7115726531CA4286803F7BDA047303FB"/>
          </w:placeholder>
        </w:sdtPr>
        <w:sdtContent>
          <w:r w:rsidR="002142BE" w:rsidRPr="002142BE">
            <w:rPr>
              <w:rFonts w:ascii="Arial" w:hAnsi="Arial" w:cs="Arial"/>
              <w:noProof/>
              <w:color w:val="000000"/>
              <w:vertAlign w:val="superscript"/>
            </w:rPr>
            <w:t>1,2</w:t>
          </w:r>
        </w:sdtContent>
      </w:sdt>
      <w:r>
        <w:t xml:space="preserve">. The temperature during the MD simulation was set to 300 K using a NVT Berendsen </w:t>
      </w:r>
      <w:r w:rsidR="00FD4850" w:rsidRPr="007A460E">
        <w:rPr>
          <w:rFonts w:ascii="Arial" w:hAnsi="Arial" w:cs="Arial"/>
          <w:noProof/>
        </w:rPr>
        <w:t>Integrator</w:t>
      </w:r>
      <w:sdt>
        <w:sdtPr>
          <w:rPr>
            <w:rFonts w:ascii="Arial" w:hAnsi="Arial" w:cs="Arial"/>
            <w:noProof/>
            <w:color w:val="000000"/>
            <w:vertAlign w:val="superscript"/>
          </w:rPr>
          <w:tag w:val="MENDELEY_CITATION_v3_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"/>
          <w:id w:val="1936164031"/>
          <w:placeholder>
            <w:docPart w:val="5C4F45F61DB8494FA7C6B5992EDDC36C"/>
          </w:placeholder>
        </w:sdtPr>
        <w:sdtContent>
          <w:r w:rsidR="002142BE" w:rsidRPr="002142BE">
            <w:rPr>
              <w:rFonts w:ascii="Arial" w:hAnsi="Arial" w:cs="Arial"/>
              <w:noProof/>
              <w:color w:val="000000"/>
              <w:vertAlign w:val="superscript"/>
            </w:rPr>
            <w:t>3</w:t>
          </w:r>
        </w:sdtContent>
      </w:sdt>
      <w:r w:rsidR="00FD4850">
        <w:rPr>
          <w:rFonts w:ascii="Arial" w:hAnsi="Arial" w:cs="Arial"/>
          <w:noProof/>
        </w:rPr>
        <w:t xml:space="preserve"> </w:t>
      </w:r>
      <w:r>
        <w:t>and a timestep of 1 fs. Simulations lasted for 100,000 timesteps and subsequent energy minimizations were performed using a BFGS algorithm</w:t>
      </w:r>
      <w:sdt>
        <w:sdtPr>
          <w:rPr>
            <w:color w:val="000000"/>
            <w:vertAlign w:val="superscript"/>
          </w:rPr>
          <w:tag w:val="MENDELEY_CITATION_v3_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"/>
          <w:id w:val="86890073"/>
          <w:placeholder>
            <w:docPart w:val="DefaultPlaceholder_-1854013440"/>
          </w:placeholder>
        </w:sdtPr>
        <w:sdtContent>
          <w:r w:rsidR="002142BE" w:rsidRPr="002142BE">
            <w:rPr>
              <w:color w:val="000000"/>
              <w:vertAlign w:val="superscript"/>
            </w:rPr>
            <w:t>4</w:t>
          </w:r>
        </w:sdtContent>
      </w:sdt>
      <w:r>
        <w:t>. Figure S2 shows snapshots of molecular dynamics (MD) simulations of 6 layers of Ni</w:t>
      </w:r>
      <w:r w:rsidRPr="00131974">
        <w:rPr>
          <w:vertAlign w:val="subscript"/>
        </w:rPr>
        <w:t>3</w:t>
      </w:r>
      <w:r>
        <w:t>(HITP)</w:t>
      </w:r>
      <w:r w:rsidRPr="00131974">
        <w:rPr>
          <w:vertAlign w:val="subscript"/>
        </w:rPr>
        <w:t>2</w:t>
      </w:r>
      <w:r>
        <w:t xml:space="preserve"> MOF, starting from two different initial stackings. The upper </w:t>
      </w:r>
      <w:r>
        <w:lastRenderedPageBreak/>
        <w:t xml:space="preserve">row's initial configuration is composed of...ABAB…-stacked layers, while on the staring configuration in the lower row contains layers shifted always with respect to the previous layer to get a staircase layer configuration (…ABCD…). The MD simulations at 300 K show that the individual layers of the MOF can shift a certain margin with respect to the neighbouring layers, which indicates a weak binding between the individual layers. We took the structural snapshots every 5 ns, starting from 50 ns (i.e. 11 snapshots) from both MD runs and structurally relaxed them. The average energy difference between the two different configurations in a dry state is very small, only 21 meV for 450 atoms, forming the </w:t>
      </w:r>
      <w:r w:rsidR="000F292B">
        <w:t>6-layer</w:t>
      </w:r>
      <w:r>
        <w:t xml:space="preserve"> models (about 10</w:t>
      </w:r>
      <w:r w:rsidRPr="00131974">
        <w:rPr>
          <w:vertAlign w:val="superscript"/>
        </w:rPr>
        <w:t>-5</w:t>
      </w:r>
      <w:r>
        <w:t xml:space="preserve"> of the total potential energy of the system). We have performed similar simulations with even larger systems up to 32 layers, yielding qualitatively the same conclusions. The larger systems, however, </w:t>
      </w:r>
      <w:r w:rsidR="000F292B">
        <w:t>possess</w:t>
      </w:r>
      <w:r>
        <w:t xml:space="preserve"> more degrees of freedom (with respect to the periodic boundary conditions applied), hence resulting in configurations resembling the experimental turbostratic structures where the central -Ni-Ni- chain is almost perpendicular to the MOF layers and exhibits small random in-plane displacements around a common vertical axis, as shown in Figure S2 b).</w:t>
      </w:r>
    </w:p>
    <w:p w14:paraId="22C063C1" w14:textId="77777777" w:rsidR="00BB0A66" w:rsidRDefault="00BB0A66">
      <w:pPr>
        <w:keepNext/>
        <w:jc w:val="both"/>
        <w:rPr>
          <w:rFonts w:ascii="Arial" w:hAnsi="Arial" w:cs="Arial"/>
        </w:rPr>
      </w:pPr>
    </w:p>
    <w:p w14:paraId="2450D85F" w14:textId="77777777" w:rsidR="002142BE" w:rsidRDefault="002142BE">
      <w:pPr>
        <w:keepNext/>
        <w:jc w:val="both"/>
        <w:rPr>
          <w:rFonts w:ascii="Arial" w:hAnsi="Arial" w:cs="Arial"/>
        </w:rPr>
      </w:pPr>
    </w:p>
    <w:p w14:paraId="49BF9FF4" w14:textId="77777777" w:rsidR="00BB0A66" w:rsidRDefault="00000000">
      <w:pPr>
        <w:keepNext/>
        <w:jc w:val="both"/>
        <w:rPr>
          <w:rFonts w:ascii="Arial" w:hAnsi="Arial" w:cs="Arial"/>
        </w:rPr>
      </w:pPr>
      <w:r>
        <w:rPr>
          <w:rFonts w:ascii="Arial" w:hAnsi="Arial" w:cs="Arial"/>
          <w:noProof/>
        </w:rPr>
        <mc:AlternateContent>
          <mc:Choice Requires="wpg">
            <w:drawing>
              <wp:inline distT="0" distB="0" distL="0" distR="0" wp14:anchorId="4F864ABF" wp14:editId="6DEE5142">
                <wp:extent cx="5772650" cy="2508354"/>
                <wp:effectExtent l="0" t="0" r="0" b="6350"/>
                <wp:docPr id="4" name="Grafik 1"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85211" name="Grafik 1" descr="Ein Bild, das Text, Diagramm, Reihe, Schrift enthält.&#10;&#10;Automatisch generierte Beschreibung"/>
                        <pic:cNvPicPr>
                          <a:picLocks noChangeAspect="1"/>
                        </pic:cNvPicPr>
                      </pic:nvPicPr>
                      <pic:blipFill>
                        <a:blip r:embed="rId12"/>
                        <a:stretch/>
                      </pic:blipFill>
                      <pic:spPr bwMode="auto">
                        <a:xfrm>
                          <a:off x="0" y="0"/>
                          <a:ext cx="5794233" cy="251773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4.54pt;height:197.51pt;mso-wrap-distance-left:0.00pt;mso-wrap-distance-top:0.00pt;mso-wrap-distance-right:0.00pt;mso-wrap-distance-bottom:0.00pt;z-index:1;" stroked="false">
                <v:imagedata r:id="rId19" o:title=""/>
                <o:lock v:ext="edit" rotation="t"/>
              </v:shape>
            </w:pict>
          </mc:Fallback>
        </mc:AlternateContent>
      </w:r>
    </w:p>
    <w:p w14:paraId="5579F8C4" w14:textId="7FEF76A7" w:rsidR="00BB0A66" w:rsidRDefault="00000000">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sidR="008B4312">
        <w:rPr>
          <w:rFonts w:ascii="Arial" w:hAnsi="Arial" w:cs="Arial"/>
          <w:noProof/>
        </w:rPr>
        <w:t>3</w:t>
      </w:r>
      <w:r>
        <w:rPr>
          <w:rFonts w:ascii="Arial" w:hAnsi="Arial" w:cs="Arial"/>
        </w:rPr>
        <w:fldChar w:fldCharType="end"/>
      </w:r>
      <w:r>
        <w:rPr>
          <w:rFonts w:ascii="Arial" w:hAnsi="Arial" w:cs="Arial"/>
        </w:rPr>
        <w:t>: a) Fitting comparison of Ar@87K gas sorption analysis and the Zeolite NLDFT kernel for cylindrical pores on the adsorption branch (purple) and the Carbon QSDFT kernel for cylindrical pores on the adsorption branch and b) the derived pore size distributions. The pore size obtained from SAXS is added for reference.</w:t>
      </w:r>
    </w:p>
    <w:p w14:paraId="6E3E2A19" w14:textId="77777777" w:rsidR="00BB0A66" w:rsidRDefault="00000000">
      <w:pPr>
        <w:jc w:val="both"/>
      </w:pPr>
      <w:r>
        <w:t>Supplementary Note SN2:</w:t>
      </w:r>
    </w:p>
    <w:p w14:paraId="61E1EE1A" w14:textId="30E7DBF5" w:rsidR="00BB0A66" w:rsidRDefault="00495258" w:rsidP="00E64CD5">
      <w:pPr>
        <w:jc w:val="both"/>
      </w:pPr>
      <w:r>
        <w:t>Gas Sorption Analysis was performed with an</w:t>
      </w:r>
      <w:r w:rsidRPr="00495258">
        <w:t xml:space="preserve"> Autosorb IQ-XR-XR-AG</w:t>
      </w:r>
      <w:r>
        <w:t xml:space="preserve"> (</w:t>
      </w:r>
      <w:r w:rsidRPr="00495258">
        <w:t>Anton Paar, Graz</w:t>
      </w:r>
      <w:r>
        <w:t xml:space="preserve">, Austria) device. A comparison of the fitting </w:t>
      </w:r>
      <w:r w:rsidRPr="00E64CD5">
        <w:t>results from the two gas sorption kernels</w:t>
      </w:r>
      <w:r w:rsidR="00E64CD5" w:rsidRPr="00E64CD5">
        <w:t xml:space="preserve"> (Zeolite </w:t>
      </w:r>
      <w:r w:rsidR="00E64CD5">
        <w:t>non-local density functional theory (</w:t>
      </w:r>
      <w:r w:rsidR="00E64CD5" w:rsidRPr="00E64CD5">
        <w:t>NLDFT</w:t>
      </w:r>
      <w:r w:rsidR="00E64CD5">
        <w:t>)</w:t>
      </w:r>
      <w:r w:rsidR="00E64CD5" w:rsidRPr="00E64CD5">
        <w:t xml:space="preserve"> and Carbon</w:t>
      </w:r>
      <w:r w:rsidR="00E64CD5">
        <w:t xml:space="preserve"> quenched solid density functional theory</w:t>
      </w:r>
      <w:r w:rsidR="00E64CD5" w:rsidRPr="00E64CD5">
        <w:t xml:space="preserve"> </w:t>
      </w:r>
      <w:r w:rsidR="00E64CD5">
        <w:t>(</w:t>
      </w:r>
      <w:r w:rsidR="00E64CD5" w:rsidRPr="00E64CD5">
        <w:t>QSDFT</w:t>
      </w:r>
      <w:r w:rsidR="00E64CD5">
        <w:t>)</w:t>
      </w:r>
      <w:r w:rsidR="00E64CD5" w:rsidRPr="00E64CD5">
        <w:t>, both on the adsorption branch)</w:t>
      </w:r>
      <w:r w:rsidRPr="00E64CD5">
        <w:t xml:space="preserve"> reveals that, while the zeolite kernel accurately reproduces the experimental data, the carbon</w:t>
      </w:r>
      <w:r>
        <w:t xml:space="preserve"> kernel shows significant discrepancies. Furthermore, the pore size obtained using the carbon kernel is incompatible with the pore size determined by SAXS. These observations suggest that, for this specific MOF (Ni</w:t>
      </w:r>
      <w:r>
        <w:rPr>
          <w:vertAlign w:val="subscript"/>
        </w:rPr>
        <w:t>3</w:t>
      </w:r>
      <w:r>
        <w:t>(HITP)</w:t>
      </w:r>
      <w:r>
        <w:rPr>
          <w:vertAlign w:val="subscript"/>
        </w:rPr>
        <w:t>2</w:t>
      </w:r>
      <w:r>
        <w:t>), the use of a zeolite kernel for Ar@87K gas sorption analysis might be more appropriate.</w:t>
      </w:r>
    </w:p>
    <w:p w14:paraId="274A700E" w14:textId="77777777" w:rsidR="00BB0A66" w:rsidRDefault="00BB0A66">
      <w:pPr>
        <w:jc w:val="both"/>
      </w:pPr>
    </w:p>
    <w:p w14:paraId="6DB98002" w14:textId="5D3920B9" w:rsidR="00BB0A66" w:rsidRDefault="00E64CD5">
      <w:pPr>
        <w:keepNext/>
        <w:jc w:val="center"/>
        <w:rPr>
          <w:rFonts w:ascii="Arial" w:hAnsi="Arial" w:cs="Arial"/>
        </w:rPr>
      </w:pPr>
      <w:r w:rsidRPr="00E64CD5">
        <w:rPr>
          <w:rFonts w:ascii="Arial" w:hAnsi="Arial" w:cs="Arial"/>
          <w:noProof/>
        </w:rPr>
        <w:lastRenderedPageBreak/>
        <w:drawing>
          <wp:inline distT="0" distB="0" distL="0" distR="0" wp14:anchorId="73A94061" wp14:editId="32E7820A">
            <wp:extent cx="5891867" cy="2371165"/>
            <wp:effectExtent l="0" t="0" r="0" b="0"/>
            <wp:docPr id="1897204428"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04428" name="Picture 1" descr="A graph of a graph of a graph of a graph of a graph of a graph of a graph of a graph of a graph of a graph of a graph of a graph of a graph of&#10;&#10;Description automatically generated"/>
                    <pic:cNvPicPr/>
                  </pic:nvPicPr>
                  <pic:blipFill>
                    <a:blip r:embed="rId20"/>
                    <a:stretch>
                      <a:fillRect/>
                    </a:stretch>
                  </pic:blipFill>
                  <pic:spPr>
                    <a:xfrm>
                      <a:off x="0" y="0"/>
                      <a:ext cx="5911194" cy="2378943"/>
                    </a:xfrm>
                    <a:prstGeom prst="rect">
                      <a:avLst/>
                    </a:prstGeom>
                  </pic:spPr>
                </pic:pic>
              </a:graphicData>
            </a:graphic>
          </wp:inline>
        </w:drawing>
      </w:r>
    </w:p>
    <w:p w14:paraId="0070AC0A" w14:textId="5F16EE5E" w:rsidR="00BB0A66" w:rsidRDefault="00000000">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sidR="008B4312">
        <w:rPr>
          <w:rFonts w:ascii="Arial" w:hAnsi="Arial" w:cs="Arial"/>
          <w:noProof/>
        </w:rPr>
        <w:t>4</w:t>
      </w:r>
      <w:r>
        <w:rPr>
          <w:rFonts w:ascii="Arial" w:hAnsi="Arial" w:cs="Arial"/>
        </w:rPr>
        <w:fldChar w:fldCharType="end"/>
      </w:r>
      <w:r>
        <w:rPr>
          <w:rFonts w:ascii="Arial" w:hAnsi="Arial" w:cs="Arial"/>
        </w:rPr>
        <w:t>: SAXS signal obtained for Ni</w:t>
      </w:r>
      <w:r>
        <w:rPr>
          <w:rFonts w:ascii="Arial" w:hAnsi="Arial" w:cs="Arial"/>
          <w:vertAlign w:val="subscript"/>
        </w:rPr>
        <w:t>3</w:t>
      </w:r>
      <w:r>
        <w:rPr>
          <w:rFonts w:ascii="Arial" w:hAnsi="Arial" w:cs="Arial"/>
        </w:rPr>
        <w:t>(HITP)</w:t>
      </w:r>
      <w:r>
        <w:rPr>
          <w:rFonts w:ascii="Arial" w:hAnsi="Arial" w:cs="Arial"/>
          <w:vertAlign w:val="subscript"/>
        </w:rPr>
        <w:t>2</w:t>
      </w:r>
      <w:r>
        <w:rPr>
          <w:rFonts w:ascii="Arial" w:hAnsi="Arial" w:cs="Arial"/>
        </w:rPr>
        <w:t xml:space="preserve"> wetted with aqueous a) 1 M KTFSI, 0.1 M NaTFSI, NaTFSI showing changes in the formfactor evident by i.e. the inversion of peak intensity ratios of the 200 and 210 peaks at about 6.6 nm</w:t>
      </w:r>
      <w:r>
        <w:rPr>
          <w:rFonts w:ascii="Arial" w:hAnsi="Arial" w:cs="Arial"/>
          <w:vertAlign w:val="superscript"/>
        </w:rPr>
        <w:t>-1</w:t>
      </w:r>
      <w:r>
        <w:rPr>
          <w:rFonts w:ascii="Arial" w:hAnsi="Arial" w:cs="Arial"/>
        </w:rPr>
        <w:t xml:space="preserve"> and 8.9 nm</w:t>
      </w:r>
      <w:r>
        <w:rPr>
          <w:rFonts w:ascii="Arial" w:hAnsi="Arial" w:cs="Arial"/>
          <w:vertAlign w:val="superscript"/>
        </w:rPr>
        <w:t>-1</w:t>
      </w:r>
      <w:r>
        <w:rPr>
          <w:rFonts w:ascii="Arial" w:hAnsi="Arial" w:cs="Arial"/>
        </w:rPr>
        <w:t xml:space="preserve"> respectively and b) 1 M Na</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and 1 M RbBr showing no signs of a changed form factor. The SAXS measurements were conducted at 16 keV, which is above the adsorption edge for Rb</w:t>
      </w:r>
      <w:r>
        <w:rPr>
          <w:rFonts w:ascii="Arial" w:hAnsi="Arial" w:cs="Arial"/>
          <w:vertAlign w:val="superscript"/>
        </w:rPr>
        <w:t>+</w:t>
      </w:r>
      <w:r>
        <w:rPr>
          <w:rFonts w:ascii="Arial" w:hAnsi="Arial" w:cs="Arial"/>
        </w:rPr>
        <w:t xml:space="preserve"> and Br</w:t>
      </w:r>
      <w:r>
        <w:rPr>
          <w:rFonts w:ascii="Arial" w:hAnsi="Arial" w:cs="Arial"/>
          <w:vertAlign w:val="superscript"/>
        </w:rPr>
        <w:t>-</w:t>
      </w:r>
      <w:r>
        <w:rPr>
          <w:rFonts w:ascii="Arial" w:hAnsi="Arial" w:cs="Arial"/>
        </w:rPr>
        <w:t>, thus causing a strong background fluorescence signal. The 1 M RbBr measurement is therefore plotted on a secondary y-axis on the right.</w:t>
      </w:r>
    </w:p>
    <w:p w14:paraId="668393BD" w14:textId="77777777" w:rsidR="00BB0A66" w:rsidRDefault="00BB0A66">
      <w:pPr>
        <w:rPr>
          <w:rFonts w:ascii="Arial" w:hAnsi="Arial" w:cs="Arial"/>
        </w:rPr>
      </w:pPr>
    </w:p>
    <w:p w14:paraId="60C7AEC5" w14:textId="1B5771EE" w:rsidR="00BB0A66" w:rsidRDefault="00000000">
      <w:pPr>
        <w:pStyle w:val="Caption"/>
        <w:keepNext/>
        <w:rPr>
          <w:rFonts w:ascii="Arial" w:hAnsi="Arial" w:cs="Arial"/>
        </w:rPr>
      </w:pPr>
      <w:r>
        <w:rPr>
          <w:rFonts w:ascii="Arial" w:hAnsi="Arial" w:cs="Arial"/>
        </w:rPr>
        <w:t>Table ST</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sidR="008B4312">
        <w:rPr>
          <w:rFonts w:ascii="Arial" w:hAnsi="Arial" w:cs="Arial"/>
          <w:noProof/>
        </w:rPr>
        <w:t>1</w:t>
      </w:r>
      <w:r>
        <w:rPr>
          <w:rFonts w:ascii="Arial" w:hAnsi="Arial" w:cs="Arial"/>
        </w:rPr>
        <w:fldChar w:fldCharType="end"/>
      </w:r>
      <w:r>
        <w:rPr>
          <w:rFonts w:ascii="Arial" w:hAnsi="Arial" w:cs="Arial"/>
        </w:rPr>
        <w:t>: Electron density (ρ</w:t>
      </w:r>
      <w:r>
        <w:rPr>
          <w:rFonts w:ascii="Arial" w:hAnsi="Arial" w:cs="Arial"/>
          <w:vertAlign w:val="subscript"/>
        </w:rPr>
        <w:t>el</w:t>
      </w:r>
      <w:r>
        <w:rPr>
          <w:rFonts w:ascii="Arial" w:hAnsi="Arial" w:cs="Arial"/>
        </w:rPr>
        <w:t>)</w:t>
      </w:r>
      <w:sdt>
        <w:sdtPr>
          <w:rPr>
            <w:rFonts w:ascii="Arial" w:hAnsi="Arial" w:cs="Arial"/>
            <w:color w:val="000000"/>
            <w:vertAlign w:val="superscript"/>
          </w:rPr>
          <w:tag w:val="MENDELEY_CITATION_v3_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"/>
          <w:id w:val="1893069198"/>
          <w:placeholder>
            <w:docPart w:val="DefaultPlaceholder_-1854013440"/>
          </w:placeholder>
        </w:sdtPr>
        <w:sdtContent>
          <w:r w:rsidR="002142BE" w:rsidRPr="002142BE">
            <w:rPr>
              <w:color w:val="000000"/>
              <w:vertAlign w:val="superscript"/>
            </w:rPr>
            <w:t>5</w:t>
          </w:r>
        </w:sdtContent>
      </w:sdt>
      <w:r>
        <w:rPr>
          <w:rFonts w:ascii="Arial" w:hAnsi="Arial" w:cs="Arial"/>
        </w:rPr>
        <w:t>, electron number, linear absorption coefficient (μ) at 16.4 keV</w:t>
      </w:r>
      <w:sdt>
        <w:sdtPr>
          <w:rPr>
            <w:rFonts w:ascii="Arial" w:hAnsi="Arial" w:cs="Arial"/>
            <w:color w:val="000000"/>
            <w:vertAlign w:val="superscript"/>
          </w:rPr>
          <w:tag w:val="MENDELEY_CITATION_v3_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"/>
          <w:id w:val="-601424707"/>
          <w:placeholder>
            <w:docPart w:val="DefaultPlaceholder_-1854013440"/>
          </w:placeholder>
        </w:sdtPr>
        <w:sdtContent>
          <w:r w:rsidR="002142BE" w:rsidRPr="002142BE">
            <w:rPr>
              <w:color w:val="000000"/>
              <w:vertAlign w:val="superscript"/>
            </w:rPr>
            <w:t>6</w:t>
          </w:r>
        </w:sdtContent>
      </w:sdt>
      <w:r>
        <w:rPr>
          <w:rFonts w:ascii="Arial" w:hAnsi="Arial" w:cs="Arial"/>
        </w:rPr>
        <w:t xml:space="preserve"> and molecular volume (V</w:t>
      </w:r>
      <w:r>
        <w:rPr>
          <w:rFonts w:ascii="Arial" w:hAnsi="Arial" w:cs="Arial"/>
          <w:vertAlign w:val="subscript"/>
        </w:rPr>
        <w:t>mol</w:t>
      </w:r>
      <w:r>
        <w:rPr>
          <w:rFonts w:ascii="Arial" w:hAnsi="Arial" w:cs="Arial"/>
          <w:sz w:val="20"/>
          <w:szCs w:val="20"/>
        </w:rPr>
        <w:t>) and -mass (m</w:t>
      </w:r>
      <w:r>
        <w:rPr>
          <w:rFonts w:ascii="Arial" w:hAnsi="Arial" w:cs="Arial"/>
          <w:sz w:val="20"/>
          <w:szCs w:val="20"/>
          <w:vertAlign w:val="subscript"/>
        </w:rPr>
        <w:t>mol</w:t>
      </w:r>
      <w:r>
        <w:rPr>
          <w:rFonts w:ascii="Arial" w:hAnsi="Arial" w:cs="Arial"/>
          <w:sz w:val="20"/>
          <w:szCs w:val="20"/>
        </w:rPr>
        <w:t>)</w:t>
      </w:r>
      <w:sdt>
        <w:sdtPr>
          <w:rPr>
            <w:rFonts w:ascii="Arial" w:hAnsi="Arial" w:cs="Arial"/>
            <w:color w:val="000000"/>
            <w:sz w:val="20"/>
            <w:szCs w:val="20"/>
            <w:vertAlign w:val="superscript"/>
          </w:rPr>
          <w:tag w:val="MENDELEY_CITATION_v3_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"/>
          <w:id w:val="-510608170"/>
          <w:placeholder>
            <w:docPart w:val="DefaultPlaceholder_-1854013440"/>
          </w:placeholder>
        </w:sdtPr>
        <w:sdtContent>
          <w:r w:rsidR="002142BE" w:rsidRPr="002142BE">
            <w:rPr>
              <w:color w:val="000000"/>
              <w:vertAlign w:val="superscript"/>
            </w:rPr>
            <w:t>7,8</w:t>
          </w:r>
        </w:sdtContent>
      </w:sdt>
      <w:r>
        <w:rPr>
          <w:rFonts w:ascii="Arial" w:hAnsi="Arial" w:cs="Arial"/>
        </w:rPr>
        <w:t xml:space="preserve">. </w:t>
      </w:r>
    </w:p>
    <w:tbl>
      <w:tblPr>
        <w:tblStyle w:val="TableGrid"/>
        <w:tblW w:w="6458" w:type="dxa"/>
        <w:jc w:val="center"/>
        <w:tblLook w:val="04A0" w:firstRow="1" w:lastRow="0" w:firstColumn="1" w:lastColumn="0" w:noHBand="0" w:noVBand="1"/>
      </w:tblPr>
      <w:tblGrid>
        <w:gridCol w:w="1240"/>
        <w:gridCol w:w="999"/>
        <w:gridCol w:w="1097"/>
        <w:gridCol w:w="997"/>
        <w:gridCol w:w="1052"/>
        <w:gridCol w:w="1073"/>
      </w:tblGrid>
      <w:tr w:rsidR="00BB0A66" w14:paraId="198EA35A" w14:textId="77777777">
        <w:trPr>
          <w:trHeight w:val="257"/>
          <w:jc w:val="center"/>
        </w:trPr>
        <w:tc>
          <w:tcPr>
            <w:tcW w:w="1240" w:type="dxa"/>
          </w:tcPr>
          <w:p w14:paraId="6788B818" w14:textId="77777777" w:rsidR="00BB0A66" w:rsidRDefault="00BB0A66">
            <w:pPr>
              <w:jc w:val="right"/>
              <w:rPr>
                <w:rFonts w:ascii="Arial" w:hAnsi="Arial" w:cs="Arial"/>
                <w:b/>
                <w:bCs/>
              </w:rPr>
            </w:pPr>
          </w:p>
        </w:tc>
        <w:tc>
          <w:tcPr>
            <w:tcW w:w="999" w:type="dxa"/>
          </w:tcPr>
          <w:p w14:paraId="030B6C94" w14:textId="77777777" w:rsidR="00BB0A66" w:rsidRDefault="00000000">
            <w:pPr>
              <w:jc w:val="center"/>
              <w:rPr>
                <w:rFonts w:ascii="Arial" w:hAnsi="Arial" w:cs="Arial"/>
                <w:b/>
                <w:bCs/>
              </w:rPr>
            </w:pPr>
            <w:r>
              <w:rPr>
                <w:rFonts w:ascii="Arial" w:hAnsi="Arial" w:cs="Arial"/>
                <w:b/>
                <w:bCs/>
              </w:rPr>
              <w:t>ρ</w:t>
            </w:r>
            <w:r>
              <w:rPr>
                <w:rFonts w:ascii="Arial" w:hAnsi="Arial" w:cs="Arial"/>
                <w:b/>
                <w:bCs/>
                <w:vertAlign w:val="subscript"/>
              </w:rPr>
              <w:t>el</w:t>
            </w:r>
          </w:p>
        </w:tc>
        <w:tc>
          <w:tcPr>
            <w:tcW w:w="1097" w:type="dxa"/>
          </w:tcPr>
          <w:p w14:paraId="685126E8" w14:textId="77777777" w:rsidR="00BB0A66" w:rsidRDefault="00000000">
            <w:pPr>
              <w:jc w:val="center"/>
              <w:rPr>
                <w:rFonts w:ascii="Arial" w:hAnsi="Arial" w:cs="Arial"/>
                <w:b/>
                <w:bCs/>
              </w:rPr>
            </w:pPr>
            <w:r>
              <w:rPr>
                <w:rFonts w:ascii="Arial" w:hAnsi="Arial" w:cs="Arial"/>
                <w:b/>
                <w:bCs/>
              </w:rPr>
              <w:t>Electron number</w:t>
            </w:r>
          </w:p>
        </w:tc>
        <w:tc>
          <w:tcPr>
            <w:tcW w:w="997" w:type="dxa"/>
          </w:tcPr>
          <w:p w14:paraId="0C4E7485" w14:textId="77777777" w:rsidR="00BB0A66" w:rsidRDefault="00000000">
            <w:pPr>
              <w:jc w:val="center"/>
              <w:rPr>
                <w:rFonts w:ascii="Arial" w:hAnsi="Arial" w:cs="Arial"/>
                <w:b/>
                <w:bCs/>
              </w:rPr>
            </w:pPr>
            <w:r>
              <w:rPr>
                <w:rFonts w:ascii="Arial" w:hAnsi="Arial" w:cs="Arial"/>
                <w:b/>
                <w:bCs/>
              </w:rPr>
              <w:t>μ (16.4 keV)</w:t>
            </w:r>
          </w:p>
        </w:tc>
        <w:tc>
          <w:tcPr>
            <w:tcW w:w="1052" w:type="dxa"/>
          </w:tcPr>
          <w:p w14:paraId="38D8BB74" w14:textId="77777777" w:rsidR="00BB0A66" w:rsidRDefault="00000000">
            <w:pPr>
              <w:jc w:val="center"/>
              <w:rPr>
                <w:rFonts w:ascii="Arial" w:hAnsi="Arial" w:cs="Arial"/>
                <w:b/>
                <w:bCs/>
              </w:rPr>
            </w:pPr>
            <w:r>
              <w:rPr>
                <w:rFonts w:ascii="Arial" w:hAnsi="Arial" w:cs="Arial"/>
                <w:b/>
                <w:bCs/>
              </w:rPr>
              <w:t>V</w:t>
            </w:r>
            <w:r>
              <w:rPr>
                <w:rFonts w:ascii="Arial" w:hAnsi="Arial" w:cs="Arial"/>
                <w:b/>
                <w:bCs/>
                <w:vertAlign w:val="subscript"/>
              </w:rPr>
              <w:t>molecular</w:t>
            </w:r>
          </w:p>
        </w:tc>
        <w:tc>
          <w:tcPr>
            <w:tcW w:w="1073" w:type="dxa"/>
          </w:tcPr>
          <w:p w14:paraId="6D9C2043" w14:textId="77777777" w:rsidR="00BB0A66" w:rsidRDefault="00000000">
            <w:pPr>
              <w:jc w:val="center"/>
              <w:rPr>
                <w:rFonts w:ascii="Arial" w:hAnsi="Arial" w:cs="Arial"/>
                <w:b/>
                <w:bCs/>
                <w:vertAlign w:val="subscript"/>
              </w:rPr>
            </w:pPr>
            <w:r>
              <w:rPr>
                <w:rFonts w:ascii="Arial" w:hAnsi="Arial" w:cs="Arial"/>
                <w:b/>
                <w:bCs/>
              </w:rPr>
              <w:t>m</w:t>
            </w:r>
            <w:r>
              <w:rPr>
                <w:rFonts w:ascii="Arial" w:hAnsi="Arial" w:cs="Arial"/>
                <w:b/>
                <w:bCs/>
                <w:vertAlign w:val="subscript"/>
              </w:rPr>
              <w:t>molecular</w:t>
            </w:r>
          </w:p>
        </w:tc>
      </w:tr>
      <w:tr w:rsidR="00BB0A66" w14:paraId="56F8F758" w14:textId="77777777">
        <w:trPr>
          <w:trHeight w:val="177"/>
          <w:jc w:val="center"/>
        </w:trPr>
        <w:tc>
          <w:tcPr>
            <w:tcW w:w="1240" w:type="dxa"/>
          </w:tcPr>
          <w:p w14:paraId="101D74A9" w14:textId="77777777" w:rsidR="00BB0A66" w:rsidRDefault="00BB0A66">
            <w:pPr>
              <w:jc w:val="center"/>
              <w:rPr>
                <w:rFonts w:ascii="Arial" w:hAnsi="Arial" w:cs="Arial"/>
                <w:b/>
                <w:bCs/>
              </w:rPr>
            </w:pPr>
          </w:p>
        </w:tc>
        <w:tc>
          <w:tcPr>
            <w:tcW w:w="999" w:type="dxa"/>
          </w:tcPr>
          <w:p w14:paraId="55113D60" w14:textId="77777777" w:rsidR="00BB0A66" w:rsidRDefault="00000000">
            <w:pPr>
              <w:jc w:val="center"/>
              <w:rPr>
                <w:rFonts w:ascii="Arial" w:hAnsi="Arial" w:cs="Arial"/>
                <w:b/>
                <w:bCs/>
              </w:rPr>
            </w:pPr>
            <w:r>
              <w:rPr>
                <w:rFonts w:ascii="Arial" w:hAnsi="Arial" w:cs="Arial"/>
                <w:b/>
                <w:bCs/>
              </w:rPr>
              <w:t>e</w:t>
            </w:r>
            <w:r>
              <w:rPr>
                <w:rFonts w:ascii="Arial" w:hAnsi="Arial" w:cs="Arial"/>
                <w:b/>
                <w:bCs/>
                <w:vertAlign w:val="superscript"/>
              </w:rPr>
              <w:t>-</w:t>
            </w:r>
            <w:r>
              <w:rPr>
                <w:rFonts w:ascii="Arial" w:hAnsi="Arial" w:cs="Arial"/>
                <w:b/>
                <w:bCs/>
              </w:rPr>
              <w:t>/Å</w:t>
            </w:r>
            <w:r>
              <w:rPr>
                <w:rFonts w:ascii="Arial" w:hAnsi="Arial" w:cs="Arial"/>
                <w:b/>
                <w:bCs/>
                <w:vertAlign w:val="superscript"/>
              </w:rPr>
              <w:t>3</w:t>
            </w:r>
          </w:p>
        </w:tc>
        <w:tc>
          <w:tcPr>
            <w:tcW w:w="1097" w:type="dxa"/>
          </w:tcPr>
          <w:p w14:paraId="116C7EBE" w14:textId="77777777" w:rsidR="00BB0A66" w:rsidRDefault="00000000">
            <w:pPr>
              <w:jc w:val="center"/>
              <w:rPr>
                <w:rFonts w:ascii="Arial" w:hAnsi="Arial" w:cs="Arial"/>
                <w:b/>
                <w:bCs/>
              </w:rPr>
            </w:pPr>
            <w:r>
              <w:rPr>
                <w:rFonts w:ascii="Arial" w:hAnsi="Arial" w:cs="Arial"/>
                <w:b/>
                <w:bCs/>
              </w:rPr>
              <w:t>-</w:t>
            </w:r>
          </w:p>
        </w:tc>
        <w:tc>
          <w:tcPr>
            <w:tcW w:w="997" w:type="dxa"/>
          </w:tcPr>
          <w:p w14:paraId="0A4703F6" w14:textId="77777777" w:rsidR="00BB0A66" w:rsidRDefault="00000000">
            <w:pPr>
              <w:jc w:val="center"/>
              <w:rPr>
                <w:rFonts w:ascii="Arial" w:hAnsi="Arial" w:cs="Arial"/>
                <w:b/>
                <w:bCs/>
              </w:rPr>
            </w:pPr>
            <w:r>
              <w:rPr>
                <w:rFonts w:ascii="Arial" w:hAnsi="Arial" w:cs="Arial"/>
                <w:b/>
                <w:bCs/>
              </w:rPr>
              <w:t>1/cm</w:t>
            </w:r>
          </w:p>
        </w:tc>
        <w:tc>
          <w:tcPr>
            <w:tcW w:w="1052" w:type="dxa"/>
          </w:tcPr>
          <w:p w14:paraId="616FAC0A" w14:textId="77777777" w:rsidR="00BB0A66" w:rsidRDefault="00000000">
            <w:pPr>
              <w:jc w:val="center"/>
              <w:rPr>
                <w:rFonts w:ascii="Arial" w:hAnsi="Arial" w:cs="Arial"/>
                <w:b/>
                <w:bCs/>
              </w:rPr>
            </w:pPr>
            <w:r>
              <w:rPr>
                <w:rFonts w:ascii="Arial" w:hAnsi="Arial" w:cs="Arial"/>
                <w:b/>
                <w:bCs/>
              </w:rPr>
              <w:t>Å</w:t>
            </w:r>
            <w:r>
              <w:rPr>
                <w:rFonts w:ascii="Arial" w:hAnsi="Arial" w:cs="Arial"/>
                <w:b/>
                <w:bCs/>
                <w:vertAlign w:val="superscript"/>
              </w:rPr>
              <w:t>3</w:t>
            </w:r>
          </w:p>
        </w:tc>
        <w:tc>
          <w:tcPr>
            <w:tcW w:w="1073" w:type="dxa"/>
          </w:tcPr>
          <w:p w14:paraId="1427D3E7" w14:textId="77777777" w:rsidR="00BB0A66" w:rsidRDefault="00000000">
            <w:pPr>
              <w:jc w:val="center"/>
              <w:rPr>
                <w:rFonts w:ascii="Arial" w:hAnsi="Arial" w:cs="Arial"/>
                <w:b/>
                <w:bCs/>
              </w:rPr>
            </w:pPr>
            <w:r>
              <w:rPr>
                <w:rFonts w:ascii="Arial" w:hAnsi="Arial" w:cs="Arial"/>
                <w:b/>
                <w:bCs/>
              </w:rPr>
              <w:t>10</w:t>
            </w:r>
            <w:r>
              <w:rPr>
                <w:rFonts w:ascii="Arial" w:hAnsi="Arial" w:cs="Arial"/>
                <w:b/>
                <w:bCs/>
                <w:vertAlign w:val="superscript"/>
              </w:rPr>
              <w:t>-25</w:t>
            </w:r>
            <w:r>
              <w:rPr>
                <w:rFonts w:ascii="Arial" w:hAnsi="Arial" w:cs="Arial"/>
                <w:b/>
                <w:bCs/>
              </w:rPr>
              <w:t xml:space="preserve"> g</w:t>
            </w:r>
          </w:p>
        </w:tc>
      </w:tr>
      <w:tr w:rsidR="00BB0A66" w14:paraId="15A843C5" w14:textId="77777777">
        <w:trPr>
          <w:trHeight w:val="183"/>
          <w:jc w:val="center"/>
        </w:trPr>
        <w:tc>
          <w:tcPr>
            <w:tcW w:w="1240" w:type="dxa"/>
          </w:tcPr>
          <w:p w14:paraId="2835CE2D" w14:textId="77777777" w:rsidR="00BB0A66" w:rsidRDefault="00000000">
            <w:pPr>
              <w:jc w:val="center"/>
              <w:rPr>
                <w:rFonts w:ascii="Arial" w:hAnsi="Arial" w:cs="Arial"/>
                <w:b/>
                <w:bCs/>
              </w:rPr>
            </w:pPr>
            <w:r>
              <w:rPr>
                <w:rFonts w:ascii="Arial" w:hAnsi="Arial" w:cs="Arial"/>
                <w:b/>
                <w:bCs/>
              </w:rPr>
              <w:t>Ni</w:t>
            </w:r>
            <w:r>
              <w:rPr>
                <w:rFonts w:ascii="Arial" w:hAnsi="Arial" w:cs="Arial"/>
                <w:b/>
                <w:bCs/>
                <w:vertAlign w:val="subscript"/>
              </w:rPr>
              <w:t>3</w:t>
            </w:r>
            <w:r>
              <w:rPr>
                <w:rFonts w:ascii="Arial" w:hAnsi="Arial" w:cs="Arial"/>
                <w:b/>
                <w:bCs/>
              </w:rPr>
              <w:t>(HITP)</w:t>
            </w:r>
            <w:r>
              <w:rPr>
                <w:rFonts w:ascii="Arial" w:hAnsi="Arial" w:cs="Arial"/>
                <w:b/>
                <w:bCs/>
                <w:vertAlign w:val="subscript"/>
              </w:rPr>
              <w:t>2</w:t>
            </w:r>
          </w:p>
        </w:tc>
        <w:tc>
          <w:tcPr>
            <w:tcW w:w="999" w:type="dxa"/>
          </w:tcPr>
          <w:p w14:paraId="33335AB5" w14:textId="77777777" w:rsidR="00BB0A66" w:rsidRDefault="00000000">
            <w:pPr>
              <w:jc w:val="center"/>
              <w:rPr>
                <w:rFonts w:ascii="Arial" w:hAnsi="Arial" w:cs="Arial"/>
              </w:rPr>
            </w:pPr>
            <w:r>
              <w:rPr>
                <w:rFonts w:ascii="Arial" w:hAnsi="Arial" w:cs="Arial"/>
              </w:rPr>
              <w:t>0.781</w:t>
            </w:r>
          </w:p>
        </w:tc>
        <w:tc>
          <w:tcPr>
            <w:tcW w:w="1097" w:type="dxa"/>
          </w:tcPr>
          <w:p w14:paraId="542B9ABC" w14:textId="77777777" w:rsidR="00BB0A66" w:rsidRDefault="00BB0A66">
            <w:pPr>
              <w:jc w:val="center"/>
              <w:rPr>
                <w:rFonts w:ascii="Arial" w:hAnsi="Arial" w:cs="Arial"/>
              </w:rPr>
            </w:pPr>
          </w:p>
        </w:tc>
        <w:tc>
          <w:tcPr>
            <w:tcW w:w="997" w:type="dxa"/>
          </w:tcPr>
          <w:p w14:paraId="27DBF4FE" w14:textId="77777777" w:rsidR="00BB0A66" w:rsidRDefault="00BB0A66">
            <w:pPr>
              <w:jc w:val="center"/>
              <w:rPr>
                <w:rFonts w:ascii="Arial" w:hAnsi="Arial" w:cs="Arial"/>
              </w:rPr>
            </w:pPr>
          </w:p>
        </w:tc>
        <w:tc>
          <w:tcPr>
            <w:tcW w:w="1052" w:type="dxa"/>
          </w:tcPr>
          <w:p w14:paraId="3C526DD2" w14:textId="77777777" w:rsidR="00BB0A66" w:rsidRDefault="00BB0A66">
            <w:pPr>
              <w:jc w:val="center"/>
              <w:rPr>
                <w:rFonts w:ascii="Arial" w:hAnsi="Arial" w:cs="Arial"/>
              </w:rPr>
            </w:pPr>
          </w:p>
        </w:tc>
        <w:tc>
          <w:tcPr>
            <w:tcW w:w="1073" w:type="dxa"/>
          </w:tcPr>
          <w:p w14:paraId="414BD7F2" w14:textId="77777777" w:rsidR="00BB0A66" w:rsidRDefault="00BB0A66">
            <w:pPr>
              <w:jc w:val="center"/>
              <w:rPr>
                <w:rFonts w:ascii="Arial" w:hAnsi="Arial" w:cs="Arial"/>
              </w:rPr>
            </w:pPr>
          </w:p>
        </w:tc>
      </w:tr>
      <w:tr w:rsidR="00BB0A66" w14:paraId="710D0022" w14:textId="77777777">
        <w:trPr>
          <w:trHeight w:val="183"/>
          <w:jc w:val="center"/>
        </w:trPr>
        <w:tc>
          <w:tcPr>
            <w:tcW w:w="1240" w:type="dxa"/>
          </w:tcPr>
          <w:p w14:paraId="733CA2C5" w14:textId="77777777" w:rsidR="00BB0A66" w:rsidRDefault="00000000">
            <w:pPr>
              <w:jc w:val="center"/>
              <w:rPr>
                <w:rFonts w:ascii="Arial" w:hAnsi="Arial" w:cs="Arial"/>
                <w:b/>
                <w:bCs/>
              </w:rPr>
            </w:pPr>
            <w:r>
              <w:rPr>
                <w:rFonts w:ascii="Arial" w:hAnsi="Arial" w:cs="Arial"/>
                <w:b/>
                <w:bCs/>
              </w:rPr>
              <w:t>H</w:t>
            </w:r>
            <w:r>
              <w:rPr>
                <w:rFonts w:ascii="Arial" w:hAnsi="Arial" w:cs="Arial"/>
                <w:b/>
                <w:bCs/>
                <w:vertAlign w:val="subscript"/>
              </w:rPr>
              <w:t>2</w:t>
            </w:r>
            <w:r>
              <w:rPr>
                <w:rFonts w:ascii="Arial" w:hAnsi="Arial" w:cs="Arial"/>
                <w:b/>
                <w:bCs/>
              </w:rPr>
              <w:t>O</w:t>
            </w:r>
          </w:p>
        </w:tc>
        <w:tc>
          <w:tcPr>
            <w:tcW w:w="999" w:type="dxa"/>
          </w:tcPr>
          <w:p w14:paraId="783D6755" w14:textId="77777777" w:rsidR="00BB0A66" w:rsidRDefault="00000000">
            <w:pPr>
              <w:jc w:val="center"/>
              <w:rPr>
                <w:rFonts w:ascii="Arial" w:hAnsi="Arial" w:cs="Arial"/>
              </w:rPr>
            </w:pPr>
            <w:r>
              <w:rPr>
                <w:rFonts w:ascii="Arial" w:hAnsi="Arial" w:cs="Arial"/>
              </w:rPr>
              <w:t>0.335</w:t>
            </w:r>
          </w:p>
        </w:tc>
        <w:tc>
          <w:tcPr>
            <w:tcW w:w="1097" w:type="dxa"/>
          </w:tcPr>
          <w:p w14:paraId="66B22D2D" w14:textId="77777777" w:rsidR="00BB0A66" w:rsidRDefault="00BB0A66">
            <w:pPr>
              <w:jc w:val="center"/>
              <w:rPr>
                <w:rFonts w:ascii="Arial" w:hAnsi="Arial" w:cs="Arial"/>
              </w:rPr>
            </w:pPr>
          </w:p>
        </w:tc>
        <w:tc>
          <w:tcPr>
            <w:tcW w:w="997" w:type="dxa"/>
          </w:tcPr>
          <w:p w14:paraId="5C7BF695" w14:textId="77777777" w:rsidR="00BB0A66" w:rsidRDefault="00BB0A66">
            <w:pPr>
              <w:jc w:val="center"/>
              <w:rPr>
                <w:rFonts w:ascii="Arial" w:hAnsi="Arial" w:cs="Arial"/>
              </w:rPr>
            </w:pPr>
          </w:p>
        </w:tc>
        <w:tc>
          <w:tcPr>
            <w:tcW w:w="1052" w:type="dxa"/>
          </w:tcPr>
          <w:p w14:paraId="1AAF86CD" w14:textId="77777777" w:rsidR="00BB0A66" w:rsidRDefault="00BB0A66">
            <w:pPr>
              <w:jc w:val="center"/>
              <w:rPr>
                <w:rFonts w:ascii="Arial" w:hAnsi="Arial" w:cs="Arial"/>
              </w:rPr>
            </w:pPr>
          </w:p>
        </w:tc>
        <w:tc>
          <w:tcPr>
            <w:tcW w:w="1073" w:type="dxa"/>
          </w:tcPr>
          <w:p w14:paraId="5AD323B0" w14:textId="77777777" w:rsidR="00BB0A66" w:rsidRDefault="00BB0A66">
            <w:pPr>
              <w:jc w:val="center"/>
              <w:rPr>
                <w:rFonts w:ascii="Arial" w:hAnsi="Arial" w:cs="Arial"/>
              </w:rPr>
            </w:pPr>
          </w:p>
        </w:tc>
      </w:tr>
      <w:tr w:rsidR="00BB0A66" w14:paraId="4B59CA48" w14:textId="77777777">
        <w:trPr>
          <w:trHeight w:val="177"/>
          <w:jc w:val="center"/>
        </w:trPr>
        <w:tc>
          <w:tcPr>
            <w:tcW w:w="1240" w:type="dxa"/>
          </w:tcPr>
          <w:p w14:paraId="1ACB1975" w14:textId="77777777" w:rsidR="00BB0A66" w:rsidRDefault="00000000">
            <w:pPr>
              <w:jc w:val="center"/>
              <w:rPr>
                <w:rFonts w:ascii="Arial" w:hAnsi="Arial" w:cs="Arial"/>
                <w:b/>
                <w:bCs/>
              </w:rPr>
            </w:pPr>
            <w:r>
              <w:rPr>
                <w:rFonts w:ascii="Arial" w:hAnsi="Arial" w:cs="Arial"/>
                <w:b/>
                <w:bCs/>
              </w:rPr>
              <w:t>1 M NaTFSI (aq.)</w:t>
            </w:r>
          </w:p>
        </w:tc>
        <w:tc>
          <w:tcPr>
            <w:tcW w:w="999" w:type="dxa"/>
          </w:tcPr>
          <w:p w14:paraId="7C9C4FC7" w14:textId="77777777" w:rsidR="00BB0A66" w:rsidRDefault="00000000">
            <w:pPr>
              <w:jc w:val="center"/>
              <w:rPr>
                <w:rFonts w:ascii="Arial" w:hAnsi="Arial" w:cs="Arial"/>
                <w:color w:val="000000"/>
              </w:rPr>
            </w:pPr>
            <w:r>
              <w:rPr>
                <w:rFonts w:ascii="Arial" w:hAnsi="Arial" w:cs="Arial"/>
                <w:color w:val="000000"/>
              </w:rPr>
              <w:t>0.393</w:t>
            </w:r>
          </w:p>
        </w:tc>
        <w:tc>
          <w:tcPr>
            <w:tcW w:w="1097" w:type="dxa"/>
          </w:tcPr>
          <w:p w14:paraId="13AD80ED" w14:textId="77777777" w:rsidR="00BB0A66" w:rsidRDefault="00BB0A66">
            <w:pPr>
              <w:jc w:val="center"/>
              <w:rPr>
                <w:rFonts w:ascii="Arial" w:hAnsi="Arial" w:cs="Arial"/>
              </w:rPr>
            </w:pPr>
          </w:p>
        </w:tc>
        <w:tc>
          <w:tcPr>
            <w:tcW w:w="997" w:type="dxa"/>
          </w:tcPr>
          <w:p w14:paraId="0237D2DA" w14:textId="77777777" w:rsidR="00BB0A66" w:rsidRDefault="00BB0A66">
            <w:pPr>
              <w:jc w:val="center"/>
              <w:rPr>
                <w:rFonts w:ascii="Arial" w:hAnsi="Arial" w:cs="Arial"/>
              </w:rPr>
            </w:pPr>
          </w:p>
        </w:tc>
        <w:tc>
          <w:tcPr>
            <w:tcW w:w="1052" w:type="dxa"/>
          </w:tcPr>
          <w:p w14:paraId="32A0A500" w14:textId="77777777" w:rsidR="00BB0A66" w:rsidRDefault="00BB0A66">
            <w:pPr>
              <w:jc w:val="center"/>
              <w:rPr>
                <w:rFonts w:ascii="Arial" w:hAnsi="Arial" w:cs="Arial"/>
              </w:rPr>
            </w:pPr>
          </w:p>
        </w:tc>
        <w:tc>
          <w:tcPr>
            <w:tcW w:w="1073" w:type="dxa"/>
          </w:tcPr>
          <w:p w14:paraId="57E6C67F" w14:textId="77777777" w:rsidR="00BB0A66" w:rsidRDefault="00BB0A66">
            <w:pPr>
              <w:jc w:val="center"/>
              <w:rPr>
                <w:rFonts w:ascii="Arial" w:hAnsi="Arial" w:cs="Arial"/>
              </w:rPr>
            </w:pPr>
          </w:p>
        </w:tc>
      </w:tr>
      <w:tr w:rsidR="00BB0A66" w14:paraId="7DD50CD4" w14:textId="77777777">
        <w:trPr>
          <w:trHeight w:val="183"/>
          <w:jc w:val="center"/>
        </w:trPr>
        <w:tc>
          <w:tcPr>
            <w:tcW w:w="1240" w:type="dxa"/>
          </w:tcPr>
          <w:p w14:paraId="4EB20552" w14:textId="77777777" w:rsidR="00BB0A66" w:rsidRDefault="00000000">
            <w:pPr>
              <w:jc w:val="center"/>
              <w:rPr>
                <w:rFonts w:ascii="Arial" w:hAnsi="Arial" w:cs="Arial"/>
                <w:b/>
                <w:bCs/>
              </w:rPr>
            </w:pPr>
            <w:r>
              <w:rPr>
                <w:rFonts w:ascii="Arial" w:hAnsi="Arial" w:cs="Arial"/>
                <w:b/>
                <w:bCs/>
              </w:rPr>
              <w:t>1 M Na</w:t>
            </w:r>
            <w:r>
              <w:rPr>
                <w:rFonts w:ascii="Arial" w:hAnsi="Arial" w:cs="Arial"/>
                <w:b/>
                <w:bCs/>
                <w:vertAlign w:val="superscript"/>
              </w:rPr>
              <w:t>+</w:t>
            </w:r>
            <w:r>
              <w:rPr>
                <w:rFonts w:ascii="Arial" w:hAnsi="Arial" w:cs="Arial"/>
                <w:b/>
                <w:bCs/>
              </w:rPr>
              <w:t xml:space="preserve"> in H</w:t>
            </w:r>
            <w:r>
              <w:rPr>
                <w:rFonts w:ascii="Arial" w:hAnsi="Arial" w:cs="Arial"/>
                <w:b/>
                <w:bCs/>
                <w:vertAlign w:val="subscript"/>
              </w:rPr>
              <w:t>2</w:t>
            </w:r>
            <w:r>
              <w:rPr>
                <w:rFonts w:ascii="Arial" w:hAnsi="Arial" w:cs="Arial"/>
                <w:b/>
                <w:bCs/>
              </w:rPr>
              <w:t>O</w:t>
            </w:r>
          </w:p>
        </w:tc>
        <w:tc>
          <w:tcPr>
            <w:tcW w:w="999" w:type="dxa"/>
          </w:tcPr>
          <w:p w14:paraId="1E82FA7A" w14:textId="77777777" w:rsidR="00BB0A66" w:rsidRDefault="00000000">
            <w:pPr>
              <w:jc w:val="center"/>
              <w:rPr>
                <w:rFonts w:ascii="Arial" w:hAnsi="Arial" w:cs="Arial"/>
                <w:color w:val="000000"/>
              </w:rPr>
            </w:pPr>
            <w:r>
              <w:rPr>
                <w:rFonts w:ascii="Arial" w:hAnsi="Arial" w:cs="Arial"/>
                <w:color w:val="000000"/>
              </w:rPr>
              <w:t>0.342</w:t>
            </w:r>
          </w:p>
        </w:tc>
        <w:tc>
          <w:tcPr>
            <w:tcW w:w="1097" w:type="dxa"/>
          </w:tcPr>
          <w:p w14:paraId="21CFCC13" w14:textId="77777777" w:rsidR="00BB0A66" w:rsidRDefault="00BB0A66">
            <w:pPr>
              <w:jc w:val="center"/>
              <w:rPr>
                <w:rFonts w:ascii="Arial" w:hAnsi="Arial" w:cs="Arial"/>
              </w:rPr>
            </w:pPr>
          </w:p>
        </w:tc>
        <w:tc>
          <w:tcPr>
            <w:tcW w:w="997" w:type="dxa"/>
          </w:tcPr>
          <w:p w14:paraId="3BD4BFC2" w14:textId="77777777" w:rsidR="00BB0A66" w:rsidRDefault="00BB0A66">
            <w:pPr>
              <w:jc w:val="center"/>
              <w:rPr>
                <w:rFonts w:ascii="Arial" w:hAnsi="Arial" w:cs="Arial"/>
              </w:rPr>
            </w:pPr>
          </w:p>
        </w:tc>
        <w:tc>
          <w:tcPr>
            <w:tcW w:w="1052" w:type="dxa"/>
          </w:tcPr>
          <w:p w14:paraId="6BCD3A8F" w14:textId="77777777" w:rsidR="00BB0A66" w:rsidRDefault="00BB0A66">
            <w:pPr>
              <w:jc w:val="center"/>
              <w:rPr>
                <w:rFonts w:ascii="Arial" w:hAnsi="Arial" w:cs="Arial"/>
              </w:rPr>
            </w:pPr>
          </w:p>
        </w:tc>
        <w:tc>
          <w:tcPr>
            <w:tcW w:w="1073" w:type="dxa"/>
          </w:tcPr>
          <w:p w14:paraId="3B4C6BEC" w14:textId="77777777" w:rsidR="00BB0A66" w:rsidRDefault="00BB0A66">
            <w:pPr>
              <w:jc w:val="center"/>
              <w:rPr>
                <w:rFonts w:ascii="Arial" w:hAnsi="Arial" w:cs="Arial"/>
              </w:rPr>
            </w:pPr>
          </w:p>
        </w:tc>
      </w:tr>
      <w:tr w:rsidR="00BB0A66" w14:paraId="2B8D6BD5" w14:textId="77777777">
        <w:trPr>
          <w:trHeight w:val="177"/>
          <w:jc w:val="center"/>
        </w:trPr>
        <w:tc>
          <w:tcPr>
            <w:tcW w:w="1240" w:type="dxa"/>
          </w:tcPr>
          <w:p w14:paraId="715A27E2" w14:textId="77777777" w:rsidR="00BB0A66" w:rsidRDefault="00000000">
            <w:pPr>
              <w:jc w:val="center"/>
              <w:rPr>
                <w:rFonts w:ascii="Arial" w:hAnsi="Arial" w:cs="Arial"/>
                <w:b/>
                <w:bCs/>
              </w:rPr>
            </w:pPr>
            <w:r>
              <w:rPr>
                <w:rFonts w:ascii="Arial" w:hAnsi="Arial" w:cs="Arial"/>
                <w:b/>
                <w:bCs/>
              </w:rPr>
              <w:t>Na</w:t>
            </w:r>
            <w:r>
              <w:rPr>
                <w:rFonts w:ascii="Arial" w:hAnsi="Arial" w:cs="Arial"/>
                <w:b/>
                <w:bCs/>
                <w:vertAlign w:val="superscript"/>
              </w:rPr>
              <w:t>+</w:t>
            </w:r>
            <w:r>
              <w:rPr>
                <w:rFonts w:ascii="Arial" w:hAnsi="Arial" w:cs="Arial"/>
                <w:b/>
                <w:bCs/>
              </w:rPr>
              <w:t xml:space="preserve"> ion </w:t>
            </w:r>
          </w:p>
        </w:tc>
        <w:tc>
          <w:tcPr>
            <w:tcW w:w="999" w:type="dxa"/>
          </w:tcPr>
          <w:p w14:paraId="2AB90782" w14:textId="77777777" w:rsidR="00BB0A66" w:rsidRDefault="00000000">
            <w:pPr>
              <w:jc w:val="center"/>
              <w:rPr>
                <w:rFonts w:ascii="Arial" w:hAnsi="Arial" w:cs="Arial"/>
                <w:color w:val="000000"/>
              </w:rPr>
            </w:pPr>
            <w:r>
              <w:rPr>
                <w:rFonts w:ascii="Arial" w:hAnsi="Arial" w:cs="Arial"/>
              </w:rPr>
              <w:t>2.784</w:t>
            </w:r>
          </w:p>
        </w:tc>
        <w:tc>
          <w:tcPr>
            <w:tcW w:w="1097" w:type="dxa"/>
          </w:tcPr>
          <w:p w14:paraId="1761CA30" w14:textId="77777777" w:rsidR="00BB0A66" w:rsidRDefault="00000000">
            <w:pPr>
              <w:jc w:val="center"/>
              <w:rPr>
                <w:rFonts w:ascii="Arial" w:hAnsi="Arial" w:cs="Arial"/>
              </w:rPr>
            </w:pPr>
            <w:r>
              <w:rPr>
                <w:rFonts w:ascii="Arial" w:hAnsi="Arial" w:cs="Arial"/>
              </w:rPr>
              <w:t>10</w:t>
            </w:r>
          </w:p>
        </w:tc>
        <w:tc>
          <w:tcPr>
            <w:tcW w:w="997" w:type="dxa"/>
          </w:tcPr>
          <w:p w14:paraId="1D96639D" w14:textId="77777777" w:rsidR="00BB0A66" w:rsidRDefault="00000000">
            <w:pPr>
              <w:jc w:val="center"/>
              <w:rPr>
                <w:rFonts w:ascii="Arial" w:hAnsi="Arial" w:cs="Arial"/>
              </w:rPr>
            </w:pPr>
            <w:r>
              <w:rPr>
                <w:rFonts w:ascii="Arial" w:hAnsi="Arial" w:cs="Arial"/>
              </w:rPr>
              <w:t>36.75</w:t>
            </w:r>
          </w:p>
        </w:tc>
        <w:tc>
          <w:tcPr>
            <w:tcW w:w="1052" w:type="dxa"/>
          </w:tcPr>
          <w:p w14:paraId="2D783F26" w14:textId="77777777" w:rsidR="00BB0A66" w:rsidRDefault="00000000">
            <w:pPr>
              <w:jc w:val="center"/>
              <w:rPr>
                <w:rFonts w:ascii="Arial" w:hAnsi="Arial" w:cs="Arial"/>
              </w:rPr>
            </w:pPr>
            <w:r>
              <w:rPr>
                <w:rFonts w:ascii="Arial" w:hAnsi="Arial" w:cs="Arial"/>
              </w:rPr>
              <w:t>3.6</w:t>
            </w:r>
          </w:p>
        </w:tc>
        <w:tc>
          <w:tcPr>
            <w:tcW w:w="1073" w:type="dxa"/>
          </w:tcPr>
          <w:p w14:paraId="791B68B9" w14:textId="77777777" w:rsidR="00BB0A66" w:rsidRDefault="00000000">
            <w:pPr>
              <w:jc w:val="center"/>
              <w:rPr>
                <w:rFonts w:ascii="Arial" w:hAnsi="Arial" w:cs="Arial"/>
              </w:rPr>
            </w:pPr>
            <w:r>
              <w:rPr>
                <w:rFonts w:ascii="Arial" w:hAnsi="Arial" w:cs="Arial"/>
              </w:rPr>
              <w:t>3.8</w:t>
            </w:r>
          </w:p>
        </w:tc>
      </w:tr>
      <w:tr w:rsidR="00BB0A66" w14:paraId="33AF170F" w14:textId="77777777">
        <w:trPr>
          <w:trHeight w:val="183"/>
          <w:jc w:val="center"/>
        </w:trPr>
        <w:tc>
          <w:tcPr>
            <w:tcW w:w="1240" w:type="dxa"/>
          </w:tcPr>
          <w:p w14:paraId="6B6E9023" w14:textId="77777777" w:rsidR="00BB0A66" w:rsidRDefault="00000000">
            <w:pPr>
              <w:jc w:val="center"/>
              <w:rPr>
                <w:rFonts w:ascii="Arial" w:hAnsi="Arial" w:cs="Arial"/>
                <w:b/>
                <w:bCs/>
              </w:rPr>
            </w:pPr>
            <w:r>
              <w:rPr>
                <w:rFonts w:ascii="Arial" w:hAnsi="Arial" w:cs="Arial"/>
                <w:b/>
                <w:bCs/>
              </w:rPr>
              <w:t>TFSI</w:t>
            </w:r>
            <w:r>
              <w:rPr>
                <w:rFonts w:ascii="Arial" w:hAnsi="Arial" w:cs="Arial"/>
                <w:b/>
                <w:bCs/>
                <w:vertAlign w:val="superscript"/>
              </w:rPr>
              <w:t>-</w:t>
            </w:r>
            <w:r>
              <w:rPr>
                <w:rFonts w:ascii="Arial" w:hAnsi="Arial" w:cs="Arial"/>
                <w:b/>
                <w:bCs/>
              </w:rPr>
              <w:t xml:space="preserve"> ion</w:t>
            </w:r>
          </w:p>
        </w:tc>
        <w:tc>
          <w:tcPr>
            <w:tcW w:w="999" w:type="dxa"/>
          </w:tcPr>
          <w:p w14:paraId="0B9C6CAE" w14:textId="77777777" w:rsidR="00BB0A66" w:rsidRDefault="00000000">
            <w:pPr>
              <w:jc w:val="center"/>
              <w:rPr>
                <w:rFonts w:ascii="Arial" w:hAnsi="Arial" w:cs="Arial"/>
                <w:color w:val="000000"/>
              </w:rPr>
            </w:pPr>
            <w:r>
              <w:rPr>
                <w:rFonts w:ascii="Arial" w:hAnsi="Arial" w:cs="Arial"/>
                <w:color w:val="000000"/>
              </w:rPr>
              <w:t>0.760</w:t>
            </w:r>
          </w:p>
        </w:tc>
        <w:tc>
          <w:tcPr>
            <w:tcW w:w="1097" w:type="dxa"/>
          </w:tcPr>
          <w:p w14:paraId="0B01FA4C" w14:textId="77777777" w:rsidR="00BB0A66" w:rsidRDefault="00000000">
            <w:pPr>
              <w:jc w:val="center"/>
              <w:rPr>
                <w:rFonts w:ascii="Arial" w:hAnsi="Arial" w:cs="Arial"/>
              </w:rPr>
            </w:pPr>
            <w:r>
              <w:rPr>
                <w:rFonts w:ascii="Arial" w:hAnsi="Arial" w:cs="Arial"/>
              </w:rPr>
              <w:t>136</w:t>
            </w:r>
          </w:p>
        </w:tc>
        <w:tc>
          <w:tcPr>
            <w:tcW w:w="997" w:type="dxa"/>
          </w:tcPr>
          <w:p w14:paraId="65EBFA18" w14:textId="77777777" w:rsidR="00BB0A66" w:rsidRDefault="00000000">
            <w:pPr>
              <w:jc w:val="center"/>
              <w:rPr>
                <w:rFonts w:ascii="Arial" w:hAnsi="Arial" w:cs="Arial"/>
              </w:rPr>
            </w:pPr>
            <w:r>
              <w:rPr>
                <w:rFonts w:ascii="Arial" w:hAnsi="Arial" w:cs="Arial"/>
              </w:rPr>
              <w:t>11.20</w:t>
            </w:r>
          </w:p>
        </w:tc>
        <w:tc>
          <w:tcPr>
            <w:tcW w:w="1052" w:type="dxa"/>
          </w:tcPr>
          <w:p w14:paraId="28E6454F" w14:textId="77777777" w:rsidR="00BB0A66" w:rsidRDefault="00000000">
            <w:pPr>
              <w:jc w:val="center"/>
              <w:rPr>
                <w:rFonts w:ascii="Arial" w:hAnsi="Arial" w:cs="Arial"/>
              </w:rPr>
            </w:pPr>
            <w:r>
              <w:rPr>
                <w:rFonts w:ascii="Arial" w:hAnsi="Arial" w:cs="Arial"/>
              </w:rPr>
              <w:t>179.0</w:t>
            </w:r>
          </w:p>
        </w:tc>
        <w:tc>
          <w:tcPr>
            <w:tcW w:w="1073" w:type="dxa"/>
          </w:tcPr>
          <w:p w14:paraId="24FDB254" w14:textId="77777777" w:rsidR="00BB0A66" w:rsidRDefault="00000000">
            <w:pPr>
              <w:jc w:val="center"/>
              <w:rPr>
                <w:rFonts w:ascii="Arial" w:hAnsi="Arial" w:cs="Arial"/>
              </w:rPr>
            </w:pPr>
            <w:r>
              <w:rPr>
                <w:rFonts w:ascii="Arial" w:hAnsi="Arial" w:cs="Arial"/>
              </w:rPr>
              <w:t>46.5</w:t>
            </w:r>
          </w:p>
        </w:tc>
      </w:tr>
    </w:tbl>
    <w:p w14:paraId="5F146C6B" w14:textId="77777777" w:rsidR="00BB0A66" w:rsidRDefault="00BB0A66">
      <w:pPr>
        <w:rPr>
          <w:rFonts w:ascii="Arial" w:hAnsi="Arial" w:cs="Arial"/>
        </w:rPr>
      </w:pPr>
    </w:p>
    <w:p w14:paraId="7EAC2BC7" w14:textId="77777777" w:rsidR="00495258" w:rsidRDefault="00495258">
      <w:pPr>
        <w:rPr>
          <w:rFonts w:ascii="Arial" w:hAnsi="Arial" w:cs="Arial"/>
        </w:rPr>
      </w:pPr>
    </w:p>
    <w:p w14:paraId="11130E75" w14:textId="77777777" w:rsidR="00BB0A66" w:rsidRDefault="00000000" w:rsidP="000F292B">
      <w:pPr>
        <w:jc w:val="both"/>
      </w:pPr>
      <w:r>
        <w:t>Supplementary Note SN3:</w:t>
      </w:r>
    </w:p>
    <w:p w14:paraId="231E6BC2" w14:textId="77777777" w:rsidR="00BB0A66" w:rsidRDefault="00000000" w:rsidP="000F292B">
      <w:pPr>
        <w:jc w:val="both"/>
      </w:pPr>
      <w:r>
        <w:t>The electron density of a multicomponent system ρ</w:t>
      </w:r>
      <w:r>
        <w:rPr>
          <w:vertAlign w:val="subscript"/>
        </w:rPr>
        <w:t>mix</w:t>
      </w:r>
      <w:r>
        <w:t xml:space="preserve"> can be calculated by summing the individual electron densities ρ</w:t>
      </w:r>
      <w:r>
        <w:rPr>
          <w:vertAlign w:val="subscript"/>
        </w:rPr>
        <w:t>i</w:t>
      </w:r>
      <w:r>
        <w:t>, weighted by their respective volume fraction w</w:t>
      </w:r>
      <w:r>
        <w:rPr>
          <w:vertAlign w:val="subscript"/>
        </w:rPr>
        <w:t>i</w:t>
      </w:r>
      <w:r>
        <w:t xml:space="preserve">: </w:t>
      </w:r>
    </w:p>
    <w:p w14:paraId="6118AF5E" w14:textId="77777777" w:rsidR="00BB0A66"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mix</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i</m:t>
              </m:r>
            </m:sub>
            <m:sup/>
            <m:e>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i</m:t>
                  </m:r>
                </m:sub>
              </m:sSub>
            </m:e>
          </m:nary>
        </m:oMath>
      </m:oMathPara>
    </w:p>
    <w:p w14:paraId="4751C5A9" w14:textId="77777777" w:rsidR="00BB0A66" w:rsidRDefault="00000000" w:rsidP="000F292B">
      <w:pPr>
        <w:jc w:val="both"/>
      </w:pPr>
      <w:r>
        <w:t>Since the difference between the electron density of the TFSI</w:t>
      </w:r>
      <w:r>
        <w:rPr>
          <w:vertAlign w:val="superscript"/>
        </w:rPr>
        <w:t>-</w:t>
      </w:r>
      <w:r>
        <w:t xml:space="preserve"> rich layer (ρ</w:t>
      </w:r>
      <w:r>
        <w:rPr>
          <w:vertAlign w:val="subscript"/>
        </w:rPr>
        <w:t>TFSI-rich</w:t>
      </w:r>
      <w:r>
        <w:t>) and the rest of the pore (ρ</w:t>
      </w:r>
      <w:r>
        <w:rPr>
          <w:vertAlign w:val="subscript"/>
        </w:rPr>
        <w:t>pore</w:t>
      </w:r>
      <w:r>
        <w:t>) is caused by additional TFSI</w:t>
      </w:r>
      <w:r>
        <w:rPr>
          <w:vertAlign w:val="superscript"/>
        </w:rPr>
        <w:t>-</w:t>
      </w:r>
      <w:r>
        <w:t xml:space="preserve"> ions, we can rewrite the equation above as:</w:t>
      </w:r>
    </w:p>
    <w:p w14:paraId="2718D085" w14:textId="77777777" w:rsidR="00BB0A66" w:rsidRDefault="00000000">
      <w:pPr>
        <w:rPr>
          <w:rFonts w:ascii="Arial" w:eastAsiaTheme="minorEastAsia" w:hAnsi="Arial" w:cs="Arial"/>
        </w:rPr>
      </w:pPr>
      <m:oMathPara>
        <m:oMath>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ρ</m:t>
                  </m:r>
                </m:e>
                <m:sub>
                  <m:r>
                    <w:rPr>
                      <w:rFonts w:ascii="Cambria Math" w:hAnsi="Cambria Math" w:cs="Arial"/>
                    </w:rPr>
                    <m:t>TFSI-rich</m:t>
                  </m:r>
                </m:sub>
              </m:sSub>
              <m:r>
                <w:rPr>
                  <w:rFonts w:ascii="Cambria Math" w:hAnsi="Cambria Math" w:cs="Arial"/>
                </w:rPr>
                <m:t>-ρ</m:t>
              </m:r>
            </m:e>
            <m:sub>
              <m:r>
                <w:rPr>
                  <w:rFonts w:ascii="Cambria Math" w:hAnsi="Cambria Math" w:cs="Arial"/>
                </w:rPr>
                <m:t>pore</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Δw</m:t>
              </m:r>
            </m:e>
            <m:sub>
              <m:r>
                <w:rPr>
                  <w:rFonts w:ascii="Cambria Math" w:hAnsi="Cambria Math" w:cs="Arial"/>
                </w:rPr>
                <m:t>TFSI</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TFSI</m:t>
              </m:r>
            </m:sub>
          </m:sSub>
        </m:oMath>
      </m:oMathPara>
    </w:p>
    <w:p w14:paraId="473E873A" w14:textId="4433FA70" w:rsidR="00BB0A66" w:rsidRDefault="00000000" w:rsidP="000F292B">
      <w:pPr>
        <w:jc w:val="both"/>
      </w:pPr>
      <w:r>
        <w:rPr>
          <w:rFonts w:eastAsiaTheme="minorEastAsia"/>
        </w:rPr>
        <w:t>With Δw</w:t>
      </w:r>
      <w:r>
        <w:rPr>
          <w:rFonts w:eastAsiaTheme="minorEastAsia"/>
          <w:vertAlign w:val="subscript"/>
        </w:rPr>
        <w:t>TFSI</w:t>
      </w:r>
      <w:r>
        <w:rPr>
          <w:rFonts w:eastAsiaTheme="minorEastAsia"/>
        </w:rPr>
        <w:t xml:space="preserve"> representing the change in volume fraction of TFSI</w:t>
      </w:r>
      <w:r>
        <w:rPr>
          <w:rFonts w:eastAsiaTheme="minorEastAsia"/>
          <w:vertAlign w:val="superscript"/>
        </w:rPr>
        <w:t>-</w:t>
      </w:r>
      <w:r>
        <w:rPr>
          <w:rFonts w:eastAsiaTheme="minorEastAsia"/>
        </w:rPr>
        <w:t xml:space="preserve"> between the TFSI-rich surface layer and the pore, and</w:t>
      </w:r>
      <w:r>
        <w:t xml:space="preserve"> ρ denoting the electron densities of the TFSI-rich surface layer, the pore and </w:t>
      </w:r>
      <w:r>
        <w:lastRenderedPageBreak/>
        <w:t>TFSI</w:t>
      </w:r>
      <w:r>
        <w:rPr>
          <w:vertAlign w:val="superscript"/>
        </w:rPr>
        <w:t>-</w:t>
      </w:r>
      <w:r>
        <w:t xml:space="preserve"> ions, respectively. Based on the molecular volume of TFSI</w:t>
      </w:r>
      <w:r>
        <w:rPr>
          <w:vertAlign w:val="superscript"/>
        </w:rPr>
        <w:t>-</w:t>
      </w:r>
      <w:r>
        <w:t xml:space="preserve"> (Ref.</w:t>
      </w:r>
      <w:sdt>
        <w:sdtPr>
          <w:rPr>
            <w:color w:val="000000"/>
            <w:vertAlign w:val="superscript"/>
          </w:rPr>
          <w:tag w:val="MENDELEY_CITATION_v3_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"/>
          <w:id w:val="-578909643"/>
          <w:placeholder>
            <w:docPart w:val="DefaultPlaceholder_-1854013440"/>
          </w:placeholder>
        </w:sdtPr>
        <w:sdtContent>
          <w:r w:rsidR="002142BE" w:rsidRPr="002142BE">
            <w:rPr>
              <w:color w:val="000000"/>
              <w:vertAlign w:val="superscript"/>
            </w:rPr>
            <w:t>8</w:t>
          </w:r>
        </w:sdtContent>
      </w:sdt>
      <w:r>
        <w:t>), as shown in Supplementary Table ST1, a 10% volume fraction of TFSI</w:t>
      </w:r>
      <w:r>
        <w:rPr>
          <w:vertAlign w:val="superscript"/>
        </w:rPr>
        <w:t>-</w:t>
      </w:r>
      <w:r>
        <w:t xml:space="preserve"> corresponds to approximately a 1 M concentration.</w:t>
      </w:r>
    </w:p>
    <w:p w14:paraId="44D69DDA" w14:textId="77777777" w:rsidR="00BB0A66" w:rsidRDefault="00BB0A66">
      <w:pPr>
        <w:jc w:val="both"/>
        <w:rPr>
          <w:rFonts w:ascii="Arial" w:hAnsi="Arial" w:cs="Arial"/>
        </w:rPr>
      </w:pPr>
    </w:p>
    <w:p w14:paraId="1D5E4313" w14:textId="77777777" w:rsidR="00131974" w:rsidRDefault="00131974" w:rsidP="00131974">
      <w:pPr>
        <w:rPr>
          <w:rFonts w:ascii="Arial" w:hAnsi="Arial" w:cs="Arial"/>
          <w:highlight w:val="yellow"/>
        </w:rPr>
      </w:pPr>
    </w:p>
    <w:p w14:paraId="444004CC" w14:textId="77777777" w:rsidR="00131974" w:rsidRDefault="00131974" w:rsidP="00131974">
      <w:pPr>
        <w:jc w:val="center"/>
        <w:rPr>
          <w:rFonts w:ascii="Arial" w:hAnsi="Arial" w:cs="Arial"/>
        </w:rPr>
      </w:pPr>
      <w:r w:rsidRPr="009D2939">
        <w:rPr>
          <w:rFonts w:ascii="Arial" w:hAnsi="Arial" w:cs="Arial"/>
          <w:noProof/>
        </w:rPr>
        <w:drawing>
          <wp:inline distT="0" distB="0" distL="0" distR="0" wp14:anchorId="3FE82C45" wp14:editId="48F72EEE">
            <wp:extent cx="4119936" cy="3590866"/>
            <wp:effectExtent l="0" t="0" r="0" b="0"/>
            <wp:docPr id="186728112" name="Picture 1"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8112" name="Picture 1" descr="A graph of a model&#10;&#10;Description automatically generated"/>
                    <pic:cNvPicPr/>
                  </pic:nvPicPr>
                  <pic:blipFill>
                    <a:blip r:embed="rId21"/>
                    <a:stretch>
                      <a:fillRect/>
                    </a:stretch>
                  </pic:blipFill>
                  <pic:spPr>
                    <a:xfrm>
                      <a:off x="0" y="0"/>
                      <a:ext cx="4131543" cy="3600983"/>
                    </a:xfrm>
                    <a:prstGeom prst="rect">
                      <a:avLst/>
                    </a:prstGeom>
                  </pic:spPr>
                </pic:pic>
              </a:graphicData>
            </a:graphic>
          </wp:inline>
        </w:drawing>
      </w:r>
    </w:p>
    <w:p w14:paraId="6704D83B" w14:textId="77777777" w:rsidR="00131974" w:rsidRDefault="00131974" w:rsidP="00131974">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Pr>
          <w:rFonts w:ascii="Arial" w:hAnsi="Arial" w:cs="Arial"/>
          <w:noProof/>
        </w:rPr>
        <w:t>5</w:t>
      </w:r>
      <w:r>
        <w:rPr>
          <w:rFonts w:ascii="Arial" w:hAnsi="Arial" w:cs="Arial"/>
        </w:rPr>
        <w:fldChar w:fldCharType="end"/>
      </w:r>
      <w:r>
        <w:rPr>
          <w:rFonts w:ascii="Arial" w:hAnsi="Arial" w:cs="Arial"/>
        </w:rPr>
        <w:t>: Comparison of analytical form factor models with numerical models taking radially varying electron density of the MOF (i.e. higher electron density for Ni) into account. The Ni regions formed circular segment rings spanning 10° at six positions around the circumference, contributing 80% of the average MOF electron density, while the non-Ni regions accounted for the remaining 20%. The inner diameter is 1.4 nm, the outer one 1.8 nm.</w:t>
      </w:r>
    </w:p>
    <w:p w14:paraId="45E45D33" w14:textId="77777777" w:rsidR="00131974" w:rsidRDefault="00131974">
      <w:pPr>
        <w:jc w:val="both"/>
        <w:rPr>
          <w:rFonts w:ascii="Arial" w:hAnsi="Arial" w:cs="Arial"/>
        </w:rPr>
      </w:pPr>
    </w:p>
    <w:p w14:paraId="78728F9B" w14:textId="77777777" w:rsidR="00BB0A66" w:rsidRDefault="00000000" w:rsidP="000F292B">
      <w:pPr>
        <w:jc w:val="both"/>
      </w:pPr>
      <w:r>
        <w:t>Supplementary Note SN4:</w:t>
      </w:r>
    </w:p>
    <w:p w14:paraId="3674EB7A" w14:textId="62E635EC" w:rsidR="00495258" w:rsidRPr="00495258" w:rsidRDefault="002142BE" w:rsidP="00495258">
      <w:pPr>
        <w:jc w:val="both"/>
      </w:pPr>
      <w:r w:rsidRPr="002142BE">
        <w:t>In this approach, the form factor was numerically computed to account for cylinders with not only a radially varying electron density distribution but also azimuthally varying electron density contributions around the circumference, as illustrated in Figure S5 in the model with Ni-regions.</w:t>
      </w:r>
      <w:r>
        <w:t xml:space="preserve"> The form factor of the cross-section of the cylinders was determined using a Monte Carlo method</w:t>
      </w:r>
      <w:sdt>
        <w:sdtPr>
          <w:rPr>
            <w:color w:val="000000"/>
            <w:vertAlign w:val="superscript"/>
          </w:rPr>
          <w:tag w:val="MENDELEY_CITATION_v3_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"/>
          <w:id w:val="-1905048688"/>
          <w:placeholder>
            <w:docPart w:val="DefaultPlaceholder_-1854013440"/>
          </w:placeholder>
        </w:sdtPr>
        <w:sdtContent>
          <w:r w:rsidRPr="002142BE">
            <w:rPr>
              <w:color w:val="000000"/>
              <w:vertAlign w:val="superscript"/>
            </w:rPr>
            <w:t>9,10</w:t>
          </w:r>
        </w:sdtContent>
      </w:sdt>
      <w:r>
        <w:t xml:space="preserve">. </w:t>
      </w:r>
      <w:r w:rsidR="00495258" w:rsidRPr="00495258">
        <w:t xml:space="preserve">This calculation was done in a two-step approach. First the cross-section pair distance distribution function </w:t>
      </w:r>
      <m:oMath>
        <m:sSub>
          <m:sSubPr>
            <m:ctrlPr>
              <w:rPr>
                <w:rFonts w:ascii="Cambria Math" w:hAnsi="Cambria Math"/>
              </w:rPr>
            </m:ctrlPr>
          </m:sSubPr>
          <m:e>
            <m:r>
              <w:rPr>
                <w:rFonts w:ascii="Cambria Math" w:hAnsi="Cambria Math"/>
              </w:rPr>
              <m:t>p</m:t>
            </m:r>
          </m:e>
          <m:sub>
            <m:r>
              <w:rPr>
                <w:rFonts w:ascii="Cambria Math" w:hAnsi="Cambria Math"/>
              </w:rPr>
              <m:t>c</m:t>
            </m:r>
          </m:sub>
        </m:sSub>
        <m:r>
          <w:rPr>
            <w:rFonts w:ascii="Cambria Math" w:hAnsi="Cambria Math"/>
          </w:rPr>
          <m:t>(r)</m:t>
        </m:r>
      </m:oMath>
      <w:r w:rsidR="00495258" w:rsidRPr="00495258">
        <w:t xml:space="preserve"> was simulated. This function was then transformed numerically into reciprocal space resulting in the form factor of the cross-section of the cylinder.</w:t>
      </w:r>
    </w:p>
    <w:p w14:paraId="26093275" w14:textId="7B7554C9" w:rsidR="00495258" w:rsidRDefault="00495258" w:rsidP="00495258">
      <w:pPr>
        <w:jc w:val="both"/>
      </w:pPr>
      <w:r>
        <w:t xml:space="preserve">A two-dimensional square bounding box with side length </w:t>
      </w:r>
      <m:oMath>
        <m:r>
          <w:rPr>
            <w:rFonts w:ascii="Cambria Math" w:hAnsi="Cambria Math"/>
          </w:rPr>
          <m:t>a = 4</m:t>
        </m:r>
      </m:oMath>
      <w:r>
        <w:t xml:space="preserve"> nm was defined and </w:t>
      </w:r>
      <m:oMath>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pseudo-random points were generated within this box. For each point </w:t>
      </w:r>
      <m:oMath>
        <m:r>
          <w:rPr>
            <w:rFonts w:ascii="Cambria Math" w:hAnsi="Cambria Math"/>
          </w:rPr>
          <m:t>i</m:t>
        </m:r>
      </m:oMath>
      <w:r>
        <w:t xml:space="preserve">, the difference in scattering length density, </w:t>
      </w:r>
      <m:oMath>
        <m:r>
          <m:rPr>
            <m:sty m:val="p"/>
          </m:rPr>
          <w:rPr>
            <w:rFonts w:ascii="Cambria Math" w:hAnsi="Cambria Math"/>
          </w:rPr>
          <m:t>Δ</m:t>
        </m:r>
        <m:sSub>
          <m:sSubPr>
            <m:ctrlPr>
              <w:rPr>
                <w:rFonts w:ascii="Cambria Math" w:hAnsi="Cambria Math"/>
                <w:i/>
              </w:rPr>
            </m:ctrlPr>
          </m:sSubPr>
          <m:e>
            <m:r>
              <w:rPr>
                <w:rFonts w:ascii="Cambria Math" w:hAnsi="Cambria Math"/>
              </w:rPr>
              <m:t>ϱ</m:t>
            </m:r>
          </m:e>
          <m:sub>
            <m:r>
              <w:rPr>
                <w:rFonts w:ascii="Cambria Math" w:hAnsi="Cambria Math"/>
              </w:rPr>
              <m:t>i</m:t>
            </m:r>
          </m:sub>
        </m:sSub>
      </m:oMath>
      <w:r>
        <w:t xml:space="preserve"> relative to the scattering length density outside the cylinder, was determined. This was done by a set of conditions that linked the coordinates with the scattering length density at the given point. The inserts in Figure S5 show sketches of the corresponding parts within the bounding box having various electron densities. Then, an iteration over all possible pairs of points </w:t>
      </w:r>
      <m:oMath>
        <m:r>
          <w:rPr>
            <w:rFonts w:ascii="Cambria Math" w:hAnsi="Cambria Math"/>
          </w:rPr>
          <m:t>i</m:t>
        </m:r>
      </m:oMath>
      <w:r>
        <w:t xml:space="preserve"> and </w:t>
      </w:r>
      <m:oMath>
        <m:r>
          <w:rPr>
            <w:rFonts w:ascii="Cambria Math" w:hAnsi="Cambria Math"/>
          </w:rPr>
          <m:t>j</m:t>
        </m:r>
      </m:oMath>
      <w:r>
        <w:t xml:space="preserve"> (where </w:t>
      </w:r>
      <m:oMath>
        <m:r>
          <w:rPr>
            <w:rFonts w:ascii="Cambria Math" w:hAnsi="Cambria Math"/>
          </w:rPr>
          <m:t>i≠j</m:t>
        </m:r>
      </m:oMath>
      <w:r>
        <w:t xml:space="preserve">) was conducted, and the distances </w:t>
      </w:r>
      <m:oMath>
        <m:sSub>
          <m:sSubPr>
            <m:ctrlPr>
              <w:rPr>
                <w:rFonts w:ascii="Cambria Math" w:hAnsi="Cambria Math"/>
                <w:i/>
              </w:rPr>
            </m:ctrlPr>
          </m:sSubPr>
          <m:e>
            <m:r>
              <w:rPr>
                <w:rFonts w:ascii="Cambria Math" w:hAnsi="Cambria Math"/>
              </w:rPr>
              <m:t>r</m:t>
            </m:r>
          </m:e>
          <m:sub>
            <m:r>
              <w:rPr>
                <w:rFonts w:ascii="Cambria Math" w:hAnsi="Cambria Math"/>
                <w:vertAlign w:val="subscript"/>
              </w:rPr>
              <m:t>ij</m:t>
            </m:r>
          </m:sub>
        </m:sSub>
      </m:oMath>
      <w:r>
        <w:t xml:space="preserve"> between these points as well as the products </w:t>
      </w:r>
      <m:oMath>
        <m:sSubSup>
          <m:sSubSupPr>
            <m:ctrlPr>
              <w:rPr>
                <w:rFonts w:ascii="Cambria Math" w:hAnsi="Cambria Math"/>
                <w:i/>
              </w:rPr>
            </m:ctrlPr>
          </m:sSubSupPr>
          <m:e>
            <m:r>
              <w:rPr>
                <w:rFonts w:ascii="Cambria Math" w:hAnsi="Cambria Math"/>
              </w:rPr>
              <m:t>ϱ</m:t>
            </m:r>
          </m:e>
          <m:sub>
            <m:r>
              <w:rPr>
                <w:rFonts w:ascii="Cambria Math" w:hAnsi="Cambria Math"/>
              </w:rPr>
              <m:t>ij</m:t>
            </m:r>
          </m:sub>
          <m:sup>
            <m:r>
              <w:rPr>
                <w:rFonts w:ascii="Cambria Math" w:hAnsi="Cambria Math"/>
              </w:rPr>
              <m:t>2</m:t>
            </m:r>
          </m:sup>
        </m:sSub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ϱ</m:t>
            </m:r>
          </m:e>
          <m:sub>
            <m: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ϱ</m:t>
            </m:r>
          </m:e>
          <m:sub>
            <m:r>
              <w:rPr>
                <w:rFonts w:ascii="Cambria Math" w:hAnsi="Cambria Math"/>
              </w:rPr>
              <m:t>j</m:t>
            </m:r>
          </m:sub>
        </m:sSub>
      </m:oMath>
      <w:r>
        <w:t xml:space="preserve"> were calculated.</w:t>
      </w:r>
    </w:p>
    <w:p w14:paraId="574ADB88" w14:textId="77777777" w:rsidR="009D2939" w:rsidRDefault="009D2939" w:rsidP="009D2939">
      <w:pPr>
        <w:jc w:val="both"/>
      </w:pPr>
      <w:r>
        <w:lastRenderedPageBreak/>
        <w:t xml:space="preserve">The </w:t>
      </w:r>
      <m:oMath>
        <m:sSub>
          <m:sSubPr>
            <m:ctrlPr>
              <w:rPr>
                <w:rFonts w:ascii="Cambria Math" w:hAnsi="Cambria Math"/>
                <w:i/>
              </w:rPr>
            </m:ctrlPr>
          </m:sSubPr>
          <m:e>
            <m:r>
              <w:rPr>
                <w:rFonts w:ascii="Cambria Math" w:hAnsi="Cambria Math"/>
              </w:rPr>
              <m:t>p</m:t>
            </m:r>
          </m:e>
          <m:sub>
            <m:r>
              <w:rPr>
                <w:rFonts w:ascii="Cambria Math" w:hAnsi="Cambria Math"/>
                <w:vertAlign w:val="subscript"/>
              </w:rPr>
              <m:t>c</m:t>
            </m:r>
          </m:sub>
        </m:sSub>
        <m:r>
          <w:rPr>
            <w:rFonts w:ascii="Cambria Math" w:hAnsi="Cambria Math"/>
          </w:rPr>
          <m:t>(r)</m:t>
        </m:r>
      </m:oMath>
      <w:r>
        <w:t xml:space="preserve"> function was approximated by a histogram. The distance scale </w:t>
      </w:r>
      <m:oMath>
        <m:r>
          <w:rPr>
            <w:rFonts w:ascii="Cambria Math" w:hAnsi="Cambria Math"/>
          </w:rPr>
          <m:t>r</m:t>
        </m:r>
      </m:oMath>
      <w:r>
        <w:t xml:space="preserve"> was divided into </w:t>
      </w: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bins with each bin having a width </w:t>
      </w:r>
      <m:oMath>
        <m:r>
          <m:rPr>
            <m:sty m:val="p"/>
          </m:rPr>
          <w:rPr>
            <w:rFonts w:ascii="Cambria Math" w:hAnsi="Cambria Math"/>
          </w:rPr>
          <m:t>Δ</m:t>
        </m:r>
        <m:r>
          <w:rPr>
            <w:rFonts w:ascii="Cambria Math" w:hAnsi="Cambria Math"/>
          </w:rPr>
          <m:t>r=</m:t>
        </m:r>
        <m:rad>
          <m:radPr>
            <m:degHide m:val="1"/>
            <m:ctrlPr>
              <w:rPr>
                <w:rFonts w:ascii="Cambria Math" w:hAnsi="Cambria Math"/>
                <w:i/>
              </w:rPr>
            </m:ctrlPr>
          </m:radPr>
          <m:deg/>
          <m:e>
            <m:r>
              <w:rPr>
                <w:rFonts w:ascii="Cambria Math" w:hAnsi="Cambria Math"/>
              </w:rPr>
              <m:t>2</m:t>
            </m:r>
          </m:e>
        </m:rad>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oMath>
      <w:r>
        <w:rPr>
          <w:rFonts w:eastAsiaTheme="minorEastAsia"/>
        </w:rPr>
        <w:t xml:space="preserve">. Therefore, bin number </w:t>
      </w:r>
      <m:oMath>
        <m:r>
          <w:rPr>
            <w:rFonts w:ascii="Cambria Math" w:eastAsiaTheme="minorEastAsia" w:hAnsi="Cambria Math"/>
          </w:rPr>
          <m:t>k</m:t>
        </m:r>
      </m:oMath>
      <w:r>
        <w:rPr>
          <w:rFonts w:eastAsiaTheme="minorEastAsia"/>
        </w:rPr>
        <w:t xml:space="preserve"> corresponded to the distance range from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r>
          <w:rPr>
            <w:rFonts w:ascii="Cambria Math" w:eastAsiaTheme="minorEastAsia" w:hAnsi="Cambria Math"/>
          </w:rPr>
          <m:t>=(k-1)⋅</m:t>
        </m:r>
        <m:r>
          <m:rPr>
            <m:sty m:val="p"/>
          </m:rPr>
          <w:rPr>
            <w:rFonts w:ascii="Cambria Math" w:eastAsiaTheme="minorEastAsia" w:hAnsi="Cambria Math"/>
          </w:rPr>
          <m:t>Δ</m:t>
        </m:r>
        <m:r>
          <w:rPr>
            <w:rFonts w:ascii="Cambria Math" w:eastAsiaTheme="minorEastAsia" w:hAnsi="Cambria Math"/>
          </w:rPr>
          <m:t>r</m:t>
        </m:r>
      </m:oMath>
      <w:r>
        <w:rPr>
          <w:rFonts w:eastAsiaTheme="minorEastAsia"/>
        </w:rPr>
        <w:t xml:space="preserve"> up to </w:t>
      </w:r>
      <m:oMath>
        <m:r>
          <w:rPr>
            <w:rFonts w:ascii="Cambria Math" w:eastAsiaTheme="minorEastAsia" w:hAnsi="Cambria Math"/>
          </w:rPr>
          <m:t>k⋅</m:t>
        </m:r>
        <m:r>
          <m:rPr>
            <m:sty m:val="p"/>
          </m:rPr>
          <w:rPr>
            <w:rFonts w:ascii="Cambria Math" w:eastAsiaTheme="minorEastAsia" w:hAnsi="Cambria Math"/>
          </w:rPr>
          <m:t>Δ</m:t>
        </m:r>
        <m:r>
          <w:rPr>
            <w:rFonts w:ascii="Cambria Math" w:eastAsiaTheme="minorEastAsia" w:hAnsi="Cambria Math"/>
          </w:rPr>
          <m:t>r</m:t>
        </m:r>
      </m:oMath>
      <w:r>
        <w:rPr>
          <w:rFonts w:eastAsiaTheme="minorEastAsia"/>
        </w:rPr>
        <w:t xml:space="preserve"> with </w:t>
      </w:r>
      <m:oMath>
        <m:r>
          <w:rPr>
            <w:rFonts w:ascii="Cambria Math" w:eastAsiaTheme="minorEastAsia" w:hAnsi="Cambria Math"/>
          </w:rPr>
          <m:t>1≤k≤</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oMath>
      <w:r>
        <w:rPr>
          <w:rFonts w:eastAsiaTheme="minorEastAsia"/>
        </w:rPr>
        <w:t>. This results in a maximum distance, which is equal to the length of the diagonal of the bounding box</w:t>
      </w:r>
      <w:r>
        <w:t xml:space="preserve">. The height </w:t>
      </w:r>
      <m:oMath>
        <m:sSub>
          <m:sSubPr>
            <m:ctrlPr>
              <w:rPr>
                <w:rFonts w:ascii="Cambria Math" w:hAnsi="Cambria Math"/>
                <w:i/>
              </w:rPr>
            </m:ctrlPr>
          </m:sSubPr>
          <m:e>
            <m:r>
              <w:rPr>
                <w:rFonts w:ascii="Cambria Math" w:hAnsi="Cambria Math"/>
              </w:rPr>
              <m:t>p</m:t>
            </m:r>
          </m:e>
          <m:sub>
            <m:r>
              <w:rPr>
                <w:rFonts w:ascii="Cambria Math" w:hAnsi="Cambria Math"/>
                <w:vertAlign w:val="subscript"/>
              </w:rPr>
              <m:t>c,k</m:t>
            </m:r>
          </m:sub>
        </m:sSub>
      </m:oMath>
      <w:r>
        <w:t xml:space="preserve"> of each bin is proportional to the sum of all values </w:t>
      </w:r>
      <m:oMath>
        <m:sSubSup>
          <m:sSubSupPr>
            <m:ctrlPr>
              <w:rPr>
                <w:rFonts w:ascii="Cambria Math" w:hAnsi="Cambria Math"/>
                <w:i/>
              </w:rPr>
            </m:ctrlPr>
          </m:sSubSupPr>
          <m:e>
            <m:r>
              <w:rPr>
                <w:rFonts w:ascii="Cambria Math" w:hAnsi="Cambria Math"/>
              </w:rPr>
              <m:t>ϱ</m:t>
            </m:r>
          </m:e>
          <m:sub>
            <m:r>
              <w:rPr>
                <w:rFonts w:ascii="Cambria Math" w:hAnsi="Cambria Math"/>
              </w:rPr>
              <m:t>ij</m:t>
            </m:r>
          </m:sub>
          <m:sup>
            <m:r>
              <w:rPr>
                <w:rFonts w:ascii="Cambria Math" w:hAnsi="Cambria Math"/>
              </w:rPr>
              <m:t>2</m:t>
            </m:r>
          </m:sup>
        </m:sSubSup>
      </m:oMath>
      <w:r>
        <w:t xml:space="preserve"> for which </w:t>
      </w:r>
      <m:oMath>
        <m:sSub>
          <m:sSubPr>
            <m:ctrlPr>
              <w:rPr>
                <w:rFonts w:ascii="Cambria Math" w:hAnsi="Cambria Math"/>
                <w:i/>
              </w:rPr>
            </m:ctrlPr>
          </m:sSubPr>
          <m:e>
            <m:r>
              <w:rPr>
                <w:rFonts w:ascii="Cambria Math" w:hAnsi="Cambria Math"/>
              </w:rPr>
              <m:t>r</m:t>
            </m:r>
          </m:e>
          <m:sub>
            <m:r>
              <w:rPr>
                <w:rFonts w:ascii="Cambria Math" w:hAnsi="Cambria Math"/>
                <w:vertAlign w:val="subscript"/>
              </w:rPr>
              <m:t>ij</m:t>
            </m:r>
          </m:sub>
        </m:sSub>
      </m:oMath>
      <w:r>
        <w:t xml:space="preserve"> falls within the range of the corresponding bin. Including some normalisations, one consequently obtains the approximation</w:t>
      </w:r>
    </w:p>
    <w:p w14:paraId="6DD4E225" w14:textId="77777777" w:rsidR="009D2939" w:rsidRDefault="00000000" w:rsidP="009D2939">
      <w:pPr>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c</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e>
          </m:d>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c,k</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a</m:t>
                  </m:r>
                </m:e>
                <m:sup>
                  <m:r>
                    <w:rPr>
                      <w:rFonts w:ascii="Cambria Math" w:hAnsi="Cambria Math" w:cs="Arial"/>
                    </w:rPr>
                    <m:t>3</m:t>
                  </m:r>
                </m:sup>
              </m:sSup>
            </m:num>
            <m:den>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8</m:t>
                  </m:r>
                </m:e>
              </m:rad>
              <m:r>
                <w:rPr>
                  <w:rFonts w:ascii="Cambria Math" w:hAnsi="Cambria Math" w:cs="Arial"/>
                </w:rPr>
                <m:t xml:space="preserve">π </m:t>
              </m:r>
              <m:sSub>
                <m:sSubPr>
                  <m:ctrlPr>
                    <w:rPr>
                      <w:rFonts w:ascii="Cambria Math" w:hAnsi="Cambria Math" w:cs="Arial"/>
                      <w:i/>
                    </w:rPr>
                  </m:ctrlPr>
                </m:sSubPr>
                <m:e>
                  <m:r>
                    <w:rPr>
                      <w:rFonts w:ascii="Cambria Math" w:hAnsi="Cambria Math" w:cs="Arial"/>
                    </w:rPr>
                    <m:t>N</m:t>
                  </m:r>
                </m:e>
                <m:sub>
                  <m:r>
                    <w:rPr>
                      <w:rFonts w:ascii="Cambria Math" w:hAnsi="Cambria Math" w:cs="Arial"/>
                    </w:rPr>
                    <m:t>P</m:t>
                  </m:r>
                </m:sub>
              </m:sSub>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N</m:t>
                      </m:r>
                    </m:e>
                    <m:sub>
                      <m:r>
                        <w:rPr>
                          <w:rFonts w:ascii="Cambria Math" w:hAnsi="Cambria Math" w:cs="Arial"/>
                        </w:rPr>
                        <m:t>P</m:t>
                      </m:r>
                    </m:sub>
                  </m:sSub>
                  <m:r>
                    <w:rPr>
                      <w:rFonts w:ascii="Cambria Math" w:hAnsi="Cambria Math" w:cs="Arial"/>
                    </w:rPr>
                    <m:t>-1</m:t>
                  </m:r>
                </m:e>
              </m:d>
              <m:r>
                <w:rPr>
                  <w:rFonts w:ascii="Cambria Math" w:hAnsi="Cambria Math" w:cs="Arial"/>
                </w:rPr>
                <m:t xml:space="preserve"> </m:t>
              </m:r>
            </m:den>
          </m:f>
          <m:r>
            <w:rPr>
              <w:rFonts w:ascii="Cambria Math" w:hAnsi="Cambria Math" w:cs="Arial"/>
            </w:rPr>
            <m:t>⋅</m:t>
          </m:r>
          <m:d>
            <m:dPr>
              <m:ctrlPr>
                <w:rPr>
                  <w:rFonts w:ascii="Cambria Math" w:hAnsi="Cambria Math" w:cs="Arial"/>
                  <w:i/>
                </w:rPr>
              </m:ctrlPr>
            </m:dPr>
            <m:e>
              <m:nary>
                <m:naryPr>
                  <m:chr m:val="∑"/>
                  <m:limLoc m:val="undOvr"/>
                  <m:supHide m:val="1"/>
                  <m:ctrlPr>
                    <w:rPr>
                      <w:rFonts w:ascii="Cambria Math" w:hAnsi="Cambria Math" w:cs="Arial"/>
                      <w:i/>
                    </w:rPr>
                  </m:ctrlPr>
                </m:naryPr>
                <m:sub>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ij</m:t>
                      </m:r>
                    </m:sub>
                  </m:sSub>
                  <m:r>
                    <w:rPr>
                      <w:rFonts w:ascii="Cambria Math" w:hAnsi="Cambria Math" w:cs="Arial"/>
                    </w:rPr>
                    <m:t>&lt;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r>
                    <w:rPr>
                      <w:rFonts w:ascii="Cambria Math" w:hAnsi="Cambria Math" w:cs="Arial"/>
                    </w:rPr>
                    <m:t>+</m:t>
                  </m:r>
                  <m:r>
                    <m:rPr>
                      <m:sty m:val="p"/>
                    </m:rPr>
                    <w:rPr>
                      <w:rFonts w:ascii="Cambria Math" w:hAnsi="Cambria Math" w:cs="Arial"/>
                    </w:rPr>
                    <m:t>Δ</m:t>
                  </m:r>
                  <m:r>
                    <w:rPr>
                      <w:rFonts w:ascii="Cambria Math" w:hAnsi="Cambria Math" w:cs="Arial"/>
                    </w:rPr>
                    <m:t>r</m:t>
                  </m:r>
                </m:sub>
                <m:sup/>
                <m:e>
                  <m:sSubSup>
                    <m:sSubSupPr>
                      <m:ctrlPr>
                        <w:rPr>
                          <w:rFonts w:ascii="Cambria Math" w:hAnsi="Cambria Math" w:cs="Arial"/>
                          <w:i/>
                        </w:rPr>
                      </m:ctrlPr>
                    </m:sSubSupPr>
                    <m:e>
                      <m:r>
                        <w:rPr>
                          <w:rFonts w:ascii="Cambria Math" w:hAnsi="Cambria Math" w:cs="Arial"/>
                        </w:rPr>
                        <m:t>ϱ</m:t>
                      </m:r>
                    </m:e>
                    <m:sub>
                      <m:r>
                        <w:rPr>
                          <w:rFonts w:ascii="Cambria Math" w:hAnsi="Cambria Math" w:cs="Arial"/>
                        </w:rPr>
                        <m:t>ij</m:t>
                      </m:r>
                    </m:sub>
                    <m:sup>
                      <m:r>
                        <w:rPr>
                          <w:rFonts w:ascii="Cambria Math" w:hAnsi="Cambria Math" w:cs="Arial"/>
                        </w:rPr>
                        <m:t>2</m:t>
                      </m:r>
                    </m:sup>
                  </m:sSubSup>
                </m:e>
              </m:nary>
            </m:e>
          </m:d>
        </m:oMath>
      </m:oMathPara>
    </w:p>
    <w:p w14:paraId="1AF49B4E" w14:textId="77777777" w:rsidR="009D2939" w:rsidRDefault="009D2939" w:rsidP="009D2939">
      <w:pPr>
        <w:jc w:val="both"/>
      </w:pPr>
      <w:r>
        <w:t>The calculation was repeated 100 times to obtain an averaged histogram, along with estimates of the uncertainties associated with the heights of the individual bins.</w:t>
      </w:r>
    </w:p>
    <w:p w14:paraId="6BA6F20D" w14:textId="77777777" w:rsidR="009D2939" w:rsidRDefault="009D2939" w:rsidP="009D2939">
      <w:pPr>
        <w:jc w:val="both"/>
      </w:pPr>
      <w:r>
        <w:t xml:space="preserve">Since the pair distance distribution function only describes pairs of scattering centres, while individual centres also contribute as a constant background to the scattering signal, it was necessary to compute an additional parameter </w:t>
      </w:r>
      <m:oMath>
        <m:r>
          <w:rPr>
            <w:rFonts w:ascii="Cambria Math" w:hAnsi="Cambria Math"/>
          </w:rPr>
          <m:t>b</m:t>
        </m:r>
      </m:oMath>
      <w:r>
        <w:t>:</w:t>
      </w:r>
    </w:p>
    <w:p w14:paraId="7EA0DE45" w14:textId="77777777" w:rsidR="009D2939" w:rsidRDefault="009D2939" w:rsidP="009D2939">
      <w:pPr>
        <w:rPr>
          <w:rFonts w:ascii="Arial" w:eastAsiaTheme="minorEastAsia" w:hAnsi="Arial" w:cs="Arial"/>
        </w:rPr>
      </w:pPr>
      <m:oMathPara>
        <m:oMath>
          <m:r>
            <w:rPr>
              <w:rFonts w:ascii="Cambria Math" w:hAnsi="Cambria Math" w:cs="Arial"/>
            </w:rPr>
            <m:t>b=</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a</m:t>
                  </m:r>
                </m:e>
                <m:sup>
                  <m:r>
                    <w:rPr>
                      <w:rFonts w:ascii="Cambria Math" w:hAnsi="Cambria Math" w:cs="Arial"/>
                    </w:rPr>
                    <m:t>3</m:t>
                  </m:r>
                </m:sup>
              </m:sSup>
            </m:num>
            <m:den>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8</m:t>
                  </m:r>
                </m:e>
              </m:rad>
              <m:r>
                <w:rPr>
                  <w:rFonts w:ascii="Cambria Math" w:hAnsi="Cambria Math" w:cs="Arial"/>
                </w:rPr>
                <m:t xml:space="preserve">π </m:t>
              </m:r>
              <m:sSub>
                <m:sSubPr>
                  <m:ctrlPr>
                    <w:rPr>
                      <w:rFonts w:ascii="Cambria Math" w:hAnsi="Cambria Math" w:cs="Arial"/>
                      <w:i/>
                    </w:rPr>
                  </m:ctrlPr>
                </m:sSubPr>
                <m:e>
                  <m:r>
                    <w:rPr>
                      <w:rFonts w:ascii="Cambria Math" w:hAnsi="Cambria Math" w:cs="Arial"/>
                    </w:rPr>
                    <m:t>N</m:t>
                  </m:r>
                </m:e>
                <m:sub>
                  <m:r>
                    <w:rPr>
                      <w:rFonts w:ascii="Cambria Math" w:hAnsi="Cambria Math" w:cs="Arial"/>
                    </w:rPr>
                    <m:t>P</m:t>
                  </m:r>
                </m:sub>
              </m:sSub>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N</m:t>
                      </m:r>
                    </m:e>
                    <m:sub>
                      <m:r>
                        <w:rPr>
                          <w:rFonts w:ascii="Cambria Math" w:hAnsi="Cambria Math" w:cs="Arial"/>
                        </w:rPr>
                        <m:t>P</m:t>
                      </m:r>
                    </m:sub>
                  </m:sSub>
                  <m:r>
                    <w:rPr>
                      <w:rFonts w:ascii="Cambria Math" w:hAnsi="Cambria Math" w:cs="Arial"/>
                    </w:rPr>
                    <m:t>-1</m:t>
                  </m:r>
                </m:e>
              </m:d>
              <m:r>
                <w:rPr>
                  <w:rFonts w:ascii="Cambria Math" w:hAnsi="Cambria Math" w:cs="Arial"/>
                </w:rPr>
                <m:t xml:space="preserve"> </m:t>
              </m:r>
            </m:den>
          </m:f>
          <m:nary>
            <m:naryPr>
              <m:chr m:val="∑"/>
              <m:limLoc m:val="subSup"/>
              <m:ctrlPr>
                <w:rPr>
                  <w:rFonts w:ascii="Cambria Math" w:hAnsi="Cambria Math" w:cs="Arial"/>
                  <w:i/>
                </w:rPr>
              </m:ctrlPr>
            </m:naryPr>
            <m:sub>
              <m:r>
                <w:rPr>
                  <w:rFonts w:ascii="Cambria Math" w:hAnsi="Cambria Math" w:cs="Arial"/>
                </w:rPr>
                <m:t>i=1</m:t>
              </m:r>
            </m:sub>
            <m:sup>
              <m:sSub>
                <m:sSubPr>
                  <m:ctrlPr>
                    <w:rPr>
                      <w:rFonts w:ascii="Cambria Math" w:hAnsi="Cambria Math" w:cs="Arial"/>
                      <w:i/>
                    </w:rPr>
                  </m:ctrlPr>
                </m:sSubPr>
                <m:e>
                  <m:r>
                    <w:rPr>
                      <w:rFonts w:ascii="Cambria Math" w:hAnsi="Cambria Math" w:cs="Arial"/>
                    </w:rPr>
                    <m:t>N</m:t>
                  </m:r>
                </m:e>
                <m:sub>
                  <m:r>
                    <w:rPr>
                      <w:rFonts w:ascii="Cambria Math" w:hAnsi="Cambria Math" w:cs="Arial"/>
                    </w:rPr>
                    <m:t>P</m:t>
                  </m:r>
                </m:sub>
              </m:sSub>
            </m:sup>
            <m:e>
              <m:r>
                <m:rPr>
                  <m:sty m:val="p"/>
                </m:rPr>
                <w:rPr>
                  <w:rFonts w:ascii="Cambria Math" w:hAnsi="Cambria Math" w:cs="Arial"/>
                </w:rPr>
                <m:t>Δ</m:t>
              </m:r>
              <m:sSubSup>
                <m:sSubSupPr>
                  <m:ctrlPr>
                    <w:rPr>
                      <w:rFonts w:ascii="Cambria Math" w:hAnsi="Cambria Math" w:cs="Arial"/>
                      <w:i/>
                    </w:rPr>
                  </m:ctrlPr>
                </m:sSubSupPr>
                <m:e>
                  <m:r>
                    <w:rPr>
                      <w:rFonts w:ascii="Cambria Math" w:hAnsi="Cambria Math" w:cs="Arial"/>
                    </w:rPr>
                    <m:t>ρ</m:t>
                  </m:r>
                </m:e>
                <m:sub>
                  <m:r>
                    <w:rPr>
                      <w:rFonts w:ascii="Cambria Math" w:hAnsi="Cambria Math" w:cs="Arial"/>
                    </w:rPr>
                    <m:t>i</m:t>
                  </m:r>
                </m:sub>
                <m:sup>
                  <m:r>
                    <w:rPr>
                      <w:rFonts w:ascii="Cambria Math" w:hAnsi="Cambria Math" w:cs="Arial"/>
                    </w:rPr>
                    <m:t>2</m:t>
                  </m:r>
                </m:sup>
              </m:sSubSup>
            </m:e>
          </m:nary>
        </m:oMath>
      </m:oMathPara>
    </w:p>
    <w:p w14:paraId="7C7BFF83" w14:textId="77777777" w:rsidR="009D2939" w:rsidRDefault="009D2939" w:rsidP="009D2939">
      <w:pPr>
        <w:jc w:val="both"/>
      </w:pPr>
      <w:r>
        <w:t>This parameter was also determined for all the 100 repetitions of the Monte Carlo simulation.</w:t>
      </w:r>
    </w:p>
    <w:p w14:paraId="3C064DEF" w14:textId="77777777" w:rsidR="009D2939" w:rsidRDefault="009D2939" w:rsidP="009D2939">
      <w:pPr>
        <w:jc w:val="both"/>
      </w:pPr>
      <w:r>
        <w:t xml:space="preserve">The form factor of the cross-section </w:t>
      </w:r>
      <m:oMath>
        <m:sSub>
          <m:sSubPr>
            <m:ctrlPr>
              <w:rPr>
                <w:rFonts w:ascii="Cambria Math" w:hAnsi="Cambria Math"/>
                <w:i/>
              </w:rPr>
            </m:ctrlPr>
          </m:sSubPr>
          <m:e>
            <m:r>
              <w:rPr>
                <w:rFonts w:ascii="Cambria Math" w:hAnsi="Cambria Math"/>
              </w:rPr>
              <m:t>P</m:t>
            </m:r>
          </m:e>
          <m:sub>
            <m:r>
              <w:rPr>
                <w:rFonts w:ascii="Cambria Math" w:hAnsi="Cambria Math"/>
                <w:vertAlign w:val="subscript"/>
              </w:rPr>
              <m:t>c</m:t>
            </m:r>
          </m:sub>
        </m:sSub>
        <m:r>
          <w:rPr>
            <w:rFonts w:ascii="Cambria Math" w:hAnsi="Cambria Math"/>
          </w:rPr>
          <m:t>(q)</m:t>
        </m:r>
      </m:oMath>
      <w:r>
        <w:t xml:space="preserve"> was then computed via numerical transformation of the histogram, expressed as:</w:t>
      </w:r>
    </w:p>
    <w:p w14:paraId="58E8A1B7" w14:textId="77777777" w:rsidR="009D2939" w:rsidRDefault="00000000" w:rsidP="009D2939">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c</m:t>
              </m:r>
            </m:sub>
          </m:sSub>
          <m:d>
            <m:dPr>
              <m:ctrlPr>
                <w:rPr>
                  <w:rFonts w:ascii="Cambria Math" w:hAnsi="Cambria Math" w:cs="Arial"/>
                  <w:i/>
                </w:rPr>
              </m:ctrlPr>
            </m:dPr>
            <m:e>
              <m:r>
                <w:rPr>
                  <w:rFonts w:ascii="Cambria Math" w:hAnsi="Cambria Math" w:cs="Arial"/>
                </w:rPr>
                <m:t>q</m:t>
              </m:r>
            </m:e>
          </m:d>
          <m:r>
            <w:rPr>
              <w:rFonts w:ascii="Cambria Math" w:hAnsi="Cambria Math" w:cs="Arial"/>
            </w:rPr>
            <m:t xml:space="preserve">≈2π </m:t>
          </m:r>
          <m:d>
            <m:dPr>
              <m:ctrlPr>
                <w:rPr>
                  <w:rFonts w:ascii="Cambria Math" w:hAnsi="Cambria Math" w:cs="Arial"/>
                  <w:i/>
                </w:rPr>
              </m:ctrlPr>
            </m:dPr>
            <m:e>
              <m:r>
                <w:rPr>
                  <w:rFonts w:ascii="Cambria Math" w:hAnsi="Cambria Math" w:cs="Arial"/>
                </w:rPr>
                <m:t>b+</m:t>
              </m:r>
              <m:nary>
                <m:naryPr>
                  <m:chr m:val="∑"/>
                  <m:limLoc m:val="subSup"/>
                  <m:ctrlPr>
                    <w:rPr>
                      <w:rFonts w:ascii="Cambria Math" w:hAnsi="Cambria Math" w:cs="Arial"/>
                      <w:i/>
                    </w:rPr>
                  </m:ctrlPr>
                </m:naryPr>
                <m:sub>
                  <m:r>
                    <w:rPr>
                      <w:rFonts w:ascii="Cambria Math" w:hAnsi="Cambria Math" w:cs="Arial"/>
                    </w:rPr>
                    <m:t>k=1</m:t>
                  </m:r>
                </m:sub>
                <m:sup>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sup>
                <m:e>
                  <m:sSub>
                    <m:sSubPr>
                      <m:ctrlPr>
                        <w:rPr>
                          <w:rFonts w:ascii="Cambria Math" w:hAnsi="Cambria Math" w:cs="Arial"/>
                          <w:i/>
                        </w:rPr>
                      </m:ctrlPr>
                    </m:sSubPr>
                    <m:e>
                      <m:r>
                        <w:rPr>
                          <w:rFonts w:ascii="Cambria Math" w:hAnsi="Cambria Math" w:cs="Arial"/>
                        </w:rPr>
                        <m:t>p</m:t>
                      </m:r>
                    </m:e>
                    <m:sub>
                      <m:r>
                        <w:rPr>
                          <w:rFonts w:ascii="Cambria Math" w:hAnsi="Cambria Math" w:cs="Arial"/>
                        </w:rPr>
                        <m:t>c,k</m:t>
                      </m:r>
                    </m:sub>
                  </m:sSub>
                </m:e>
              </m:nary>
              <m:r>
                <w:rPr>
                  <w:rFonts w:ascii="Cambria Math" w:hAnsi="Cambria Math" w:cs="Arial"/>
                </w:rPr>
                <m:t xml:space="preserve"> </m:t>
              </m:r>
              <m:sSub>
                <m:sSubPr>
                  <m:ctrlPr>
                    <w:rPr>
                      <w:rFonts w:ascii="Cambria Math" w:hAnsi="Cambria Math" w:cs="Arial"/>
                      <w:i/>
                    </w:rPr>
                  </m:ctrlPr>
                </m:sSubPr>
                <m:e>
                  <m:r>
                    <w:rPr>
                      <w:rFonts w:ascii="Cambria Math" w:hAnsi="Cambria Math" w:cs="Arial"/>
                    </w:rPr>
                    <m:t>J</m:t>
                  </m:r>
                </m:e>
                <m:sub>
                  <m:r>
                    <w:rPr>
                      <w:rFonts w:ascii="Cambria Math" w:hAnsi="Cambria Math" w:cs="Arial"/>
                    </w:rPr>
                    <m:t>0</m:t>
                  </m:r>
                </m:sub>
              </m:sSub>
              <m:d>
                <m:dPr>
                  <m:ctrlPr>
                    <w:rPr>
                      <w:rFonts w:ascii="Cambria Math" w:hAnsi="Cambria Math" w:cs="Arial"/>
                      <w:i/>
                    </w:rPr>
                  </m:ctrlPr>
                </m:dPr>
                <m:e>
                  <m:r>
                    <w:rPr>
                      <w:rFonts w:ascii="Cambria Math" w:hAnsi="Cambria Math" w:cs="Arial"/>
                    </w:rPr>
                    <m:t xml:space="preserve">q </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e>
              </m:d>
              <m:r>
                <m:rPr>
                  <m:sty m:val="p"/>
                </m:rPr>
                <w:rPr>
                  <w:rFonts w:ascii="Cambria Math" w:hAnsi="Cambria Math" w:cs="Arial"/>
                </w:rPr>
                <m:t xml:space="preserve"> Δ</m:t>
              </m:r>
              <m:r>
                <w:rPr>
                  <w:rFonts w:ascii="Cambria Math" w:hAnsi="Cambria Math" w:cs="Arial"/>
                </w:rPr>
                <m:t>r</m:t>
              </m:r>
            </m:e>
          </m:d>
        </m:oMath>
      </m:oMathPara>
    </w:p>
    <w:p w14:paraId="6F90C5CA" w14:textId="77777777" w:rsidR="009D2939" w:rsidRDefault="009D2939" w:rsidP="009D2939">
      <w:pPr>
        <w:jc w:val="both"/>
      </w:pPr>
      <w:r>
        <w:t xml:space="preserve">where </w:t>
      </w:r>
      <m:oMath>
        <m:sSub>
          <m:sSubPr>
            <m:ctrlPr>
              <w:rPr>
                <w:rFonts w:ascii="Cambria Math" w:hAnsi="Cambria Math"/>
                <w:i/>
              </w:rPr>
            </m:ctrlPr>
          </m:sSubPr>
          <m:e>
            <m:r>
              <w:rPr>
                <w:rFonts w:ascii="Cambria Math" w:hAnsi="Cambria Math"/>
              </w:rPr>
              <m:t>J</m:t>
            </m:r>
          </m:e>
          <m:sub>
            <m:r>
              <w:rPr>
                <w:rFonts w:ascii="Cambria Math" w:hAnsi="Cambria Math"/>
                <w:vertAlign w:val="subscript"/>
              </w:rPr>
              <m:t>0</m:t>
            </m:r>
          </m:sub>
        </m:sSub>
      </m:oMath>
      <w:r>
        <w:t xml:space="preserve"> represents the zeroth-order Bessel function. The limits of uncertainty of </w:t>
      </w:r>
      <m:oMath>
        <m:sSub>
          <m:sSubPr>
            <m:ctrlPr>
              <w:rPr>
                <w:rFonts w:ascii="Cambria Math" w:hAnsi="Cambria Math"/>
                <w:i/>
              </w:rPr>
            </m:ctrlPr>
          </m:sSubPr>
          <m:e>
            <m:r>
              <w:rPr>
                <w:rFonts w:ascii="Cambria Math" w:hAnsi="Cambria Math"/>
              </w:rPr>
              <m:t>P</m:t>
            </m:r>
          </m:e>
          <m:sub>
            <m:r>
              <w:rPr>
                <w:rFonts w:ascii="Cambria Math" w:hAnsi="Cambria Math"/>
                <w:vertAlign w:val="subscript"/>
              </w:rPr>
              <m:t>c</m:t>
            </m:r>
          </m:sub>
        </m:sSub>
        <m:r>
          <w:rPr>
            <w:rFonts w:ascii="Cambria Math" w:hAnsi="Cambria Math"/>
          </w:rPr>
          <m:t>(q)</m:t>
        </m:r>
      </m:oMath>
      <w:r>
        <w:t xml:space="preserve"> were estimated by error propagation.</w:t>
      </w:r>
    </w:p>
    <w:p w14:paraId="601FF2C6" w14:textId="77777777" w:rsidR="001E23B7" w:rsidRDefault="001E23B7">
      <w:pPr>
        <w:rPr>
          <w:rFonts w:ascii="Arial" w:hAnsi="Arial" w:cs="Arial"/>
        </w:rPr>
      </w:pPr>
    </w:p>
    <w:p w14:paraId="6C1564B1" w14:textId="77777777" w:rsidR="00BB0A66" w:rsidRDefault="00000000">
      <w:pPr>
        <w:keepNext/>
        <w:jc w:val="center"/>
        <w:rPr>
          <w:rFonts w:ascii="Arial" w:hAnsi="Arial" w:cs="Arial"/>
        </w:rPr>
      </w:pPr>
      <w:r>
        <w:rPr>
          <w:rFonts w:ascii="Arial" w:hAnsi="Arial" w:cs="Arial"/>
          <w:noProof/>
        </w:rPr>
        <w:drawing>
          <wp:inline distT="0" distB="0" distL="0" distR="0" wp14:anchorId="4F9C8F58" wp14:editId="19ED6E0F">
            <wp:extent cx="4395066" cy="302035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rcRect l="-5566" r="9751"/>
                    <a:stretch/>
                  </pic:blipFill>
                  <pic:spPr bwMode="auto">
                    <a:xfrm>
                      <a:off x="0" y="0"/>
                      <a:ext cx="4419381" cy="3037069"/>
                    </a:xfrm>
                    <a:prstGeom prst="rect">
                      <a:avLst/>
                    </a:prstGeom>
                    <a:noFill/>
                    <a:ln>
                      <a:noFill/>
                    </a:ln>
                  </pic:spPr>
                </pic:pic>
              </a:graphicData>
            </a:graphic>
          </wp:inline>
        </w:drawing>
      </w:r>
    </w:p>
    <w:p w14:paraId="0BC4C022" w14:textId="1DD04961" w:rsidR="00BB0A66" w:rsidRDefault="00000000">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sidR="008B4312">
        <w:rPr>
          <w:rFonts w:ascii="Arial" w:hAnsi="Arial" w:cs="Arial"/>
          <w:noProof/>
        </w:rPr>
        <w:t>6</w:t>
      </w:r>
      <w:r>
        <w:rPr>
          <w:rFonts w:ascii="Arial" w:hAnsi="Arial" w:cs="Arial"/>
        </w:rPr>
        <w:fldChar w:fldCharType="end"/>
      </w:r>
      <w:r>
        <w:rPr>
          <w:rFonts w:ascii="Arial" w:hAnsi="Arial" w:cs="Arial"/>
        </w:rPr>
        <w:t>: SAXS and WAXS signal of Cu</w:t>
      </w:r>
      <w:r>
        <w:rPr>
          <w:rFonts w:ascii="Arial" w:hAnsi="Arial" w:cs="Arial"/>
          <w:vertAlign w:val="subscript"/>
        </w:rPr>
        <w:t>3</w:t>
      </w:r>
      <w:r>
        <w:rPr>
          <w:rFonts w:ascii="Arial" w:hAnsi="Arial" w:cs="Arial"/>
        </w:rPr>
        <w:t>(HHTP)</w:t>
      </w:r>
      <w:r>
        <w:rPr>
          <w:rFonts w:ascii="Arial" w:hAnsi="Arial" w:cs="Arial"/>
          <w:vertAlign w:val="subscript"/>
        </w:rPr>
        <w:t>2</w:t>
      </w:r>
      <w:r>
        <w:rPr>
          <w:rFonts w:ascii="Arial" w:hAnsi="Arial" w:cs="Arial"/>
        </w:rPr>
        <w:t xml:space="preserve"> in the dry and wetted state using LiTFSI in propylene carbonate. Due to the large solvent molecules, the bulk liquid structure factor peak is strongly shifted to small q as compared to water, allowing to qualitatively compare only the first three in-plane reflections of the MOF</w:t>
      </w:r>
    </w:p>
    <w:p w14:paraId="160B8623" w14:textId="77777777" w:rsidR="00BB0A66" w:rsidRDefault="00BB0A66"/>
    <w:p w14:paraId="53259F84" w14:textId="77777777" w:rsidR="00BB0A66" w:rsidRDefault="00000000">
      <w:pPr>
        <w:keepNext/>
        <w:jc w:val="center"/>
        <w:rPr>
          <w:rFonts w:ascii="Arial" w:hAnsi="Arial" w:cs="Arial"/>
        </w:rPr>
      </w:pPr>
      <w:r>
        <w:rPr>
          <w:rFonts w:ascii="Arial" w:hAnsi="Arial" w:cs="Arial"/>
          <w:noProof/>
        </w:rPr>
        <mc:AlternateContent>
          <mc:Choice Requires="wpg">
            <w:drawing>
              <wp:inline distT="0" distB="0" distL="0" distR="0" wp14:anchorId="1CE5FB4D" wp14:editId="3DE670F2">
                <wp:extent cx="3851503" cy="3151847"/>
                <wp:effectExtent l="0" t="0" r="0" b="0"/>
                <wp:docPr id="8" name="Grafik 1" descr="Ein Bild, das Tex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7061" name="Grafik 1" descr="Ein Bild, das Text, Diagramm, Reihe enthält.&#10;&#10;Automatisch generierte Beschreibung"/>
                        <pic:cNvPicPr>
                          <a:picLocks noChangeAspect="1"/>
                        </pic:cNvPicPr>
                      </pic:nvPicPr>
                      <pic:blipFill>
                        <a:blip r:embed="rId23"/>
                        <a:stretch/>
                      </pic:blipFill>
                      <pic:spPr bwMode="auto">
                        <a:xfrm>
                          <a:off x="0" y="0"/>
                          <a:ext cx="3871085" cy="316787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03.27pt;height:248.18pt;mso-wrap-distance-left:0.00pt;mso-wrap-distance-top:0.00pt;mso-wrap-distance-right:0.00pt;mso-wrap-distance-bottom:0.00pt;z-index:1;" stroked="false">
                <v:imagedata r:id="rId27" o:title=""/>
                <o:lock v:ext="edit" rotation="t"/>
              </v:shape>
            </w:pict>
          </mc:Fallback>
        </mc:AlternateContent>
      </w:r>
    </w:p>
    <w:p w14:paraId="65656AA2" w14:textId="6079C86A" w:rsidR="00BB0A66" w:rsidRDefault="00000000">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sidR="008B4312">
        <w:rPr>
          <w:rFonts w:ascii="Arial" w:hAnsi="Arial" w:cs="Arial"/>
          <w:noProof/>
        </w:rPr>
        <w:t>7</w:t>
      </w:r>
      <w:r>
        <w:rPr>
          <w:rFonts w:ascii="Arial" w:hAnsi="Arial" w:cs="Arial"/>
        </w:rPr>
        <w:fldChar w:fldCharType="end"/>
      </w:r>
      <w:r>
        <w:rPr>
          <w:rFonts w:ascii="Arial" w:hAnsi="Arial" w:cs="Arial"/>
        </w:rPr>
        <w:t>: Cyclic voltammogram for Ni</w:t>
      </w:r>
      <w:r>
        <w:rPr>
          <w:rFonts w:ascii="Arial" w:hAnsi="Arial" w:cs="Arial"/>
          <w:vertAlign w:val="subscript"/>
        </w:rPr>
        <w:t>3</w:t>
      </w:r>
      <w:r>
        <w:rPr>
          <w:rFonts w:ascii="Arial" w:hAnsi="Arial" w:cs="Arial"/>
        </w:rPr>
        <w:t>(HITP)</w:t>
      </w:r>
      <w:r>
        <w:rPr>
          <w:rFonts w:ascii="Arial" w:hAnsi="Arial" w:cs="Arial"/>
          <w:vertAlign w:val="subscript"/>
        </w:rPr>
        <w:t>2</w:t>
      </w:r>
      <w:r>
        <w:rPr>
          <w:rFonts w:ascii="Arial" w:hAnsi="Arial" w:cs="Arial"/>
        </w:rPr>
        <w:t xml:space="preserve"> and 1 M NaTFSI before and after applying the voltage sequence presented in this paper between ±0.6 V.</w:t>
      </w:r>
    </w:p>
    <w:p w14:paraId="7EB8C754" w14:textId="77777777" w:rsidR="00BB0A66" w:rsidRDefault="00BB0A66"/>
    <w:p w14:paraId="11C3D2BC" w14:textId="77777777" w:rsidR="00BB0A66" w:rsidRDefault="00000000">
      <w:pPr>
        <w:keepNext/>
        <w:jc w:val="center"/>
        <w:rPr>
          <w:rFonts w:ascii="Arial" w:hAnsi="Arial" w:cs="Arial"/>
        </w:rPr>
      </w:pPr>
      <w:r>
        <w:rPr>
          <w:rFonts w:ascii="Arial" w:hAnsi="Arial" w:cs="Arial"/>
          <w:lang w:val="de-AT"/>
        </w:rPr>
        <w:object w:dxaOrig="15740" w:dyaOrig="12057" w14:anchorId="19B4AC53">
          <v:shape id="_x0000_i1026" type="#_x0000_t75" style="width:371.55pt;height:285.2pt;mso-wrap-distance-left:0;mso-wrap-distance-top:0;mso-wrap-distance-right:0;mso-wrap-distance-bottom:0" o:ole="">
            <v:imagedata r:id="rId28" o:title=""/>
            <o:lock v:ext="edit" rotation="t"/>
          </v:shape>
          <o:OLEObject Type="Embed" ProgID="Origin95.Graph" ShapeID="_x0000_i1026" DrawAspect="Content" ObjectID="_1800348296" r:id="rId29"/>
        </w:object>
      </w:r>
    </w:p>
    <w:p w14:paraId="1421B73B" w14:textId="43048581" w:rsidR="00BB0A66" w:rsidRDefault="00000000">
      <w:pPr>
        <w:pStyle w:val="Caption"/>
        <w:jc w:val="both"/>
        <w:rPr>
          <w:rFonts w:ascii="Arial" w:hAnsi="Arial" w:cs="Arial"/>
        </w:rPr>
      </w:pPr>
      <w:r>
        <w:rPr>
          <w:rFonts w:ascii="Arial" w:hAnsi="Arial" w:cs="Arial"/>
        </w:rPr>
        <w:t>Figure S</w:t>
      </w:r>
      <w:r>
        <w:rPr>
          <w:rFonts w:ascii="Arial" w:hAnsi="Arial" w:cs="Arial"/>
        </w:rPr>
        <w:fldChar w:fldCharType="begin"/>
      </w:r>
      <w:r>
        <w:rPr>
          <w:rFonts w:ascii="Arial" w:hAnsi="Arial" w:cs="Arial"/>
        </w:rPr>
        <w:instrText xml:space="preserve"> SEQ Figure_S \* ARABIC </w:instrText>
      </w:r>
      <w:r>
        <w:rPr>
          <w:rFonts w:ascii="Arial" w:hAnsi="Arial" w:cs="Arial"/>
        </w:rPr>
        <w:fldChar w:fldCharType="separate"/>
      </w:r>
      <w:r w:rsidR="008B4312">
        <w:rPr>
          <w:rFonts w:ascii="Arial" w:hAnsi="Arial" w:cs="Arial"/>
          <w:noProof/>
        </w:rPr>
        <w:t>8</w:t>
      </w:r>
      <w:r>
        <w:rPr>
          <w:rFonts w:ascii="Arial" w:hAnsi="Arial" w:cs="Arial"/>
        </w:rPr>
        <w:fldChar w:fldCharType="end"/>
      </w:r>
      <w:r>
        <w:rPr>
          <w:rFonts w:ascii="Arial" w:hAnsi="Arial" w:cs="Arial"/>
        </w:rPr>
        <w:t>: SAXS transmission signal during varying applied potential for Ni</w:t>
      </w:r>
      <w:r>
        <w:rPr>
          <w:rFonts w:ascii="Arial" w:hAnsi="Arial" w:cs="Arial"/>
          <w:vertAlign w:val="subscript"/>
        </w:rPr>
        <w:t>3</w:t>
      </w:r>
      <w:r>
        <w:rPr>
          <w:rFonts w:ascii="Arial" w:hAnsi="Arial" w:cs="Arial"/>
        </w:rPr>
        <w:t>(HITP)</w:t>
      </w:r>
      <w:r>
        <w:rPr>
          <w:rFonts w:ascii="Arial" w:hAnsi="Arial" w:cs="Arial"/>
          <w:vertAlign w:val="subscript"/>
        </w:rPr>
        <w:t>2</w:t>
      </w:r>
      <w:r>
        <w:rPr>
          <w:rFonts w:ascii="Arial" w:hAnsi="Arial" w:cs="Arial"/>
        </w:rPr>
        <w:t xml:space="preserve"> using 1 M NaTFSI (aq.).</w:t>
      </w:r>
    </w:p>
    <w:p w14:paraId="6C7F2108" w14:textId="77777777" w:rsidR="00BB0A66" w:rsidRDefault="00000000">
      <w:r>
        <w:br w:type="page" w:clear="all"/>
      </w:r>
    </w:p>
    <w:p w14:paraId="64231E80" w14:textId="77777777" w:rsidR="00BB0A66" w:rsidRDefault="00000000">
      <w:r>
        <w:lastRenderedPageBreak/>
        <w:t>Supplementary Note SN5:</w:t>
      </w:r>
    </w:p>
    <w:p w14:paraId="3255F23D" w14:textId="77777777" w:rsidR="00BB0A66" w:rsidRDefault="00000000">
      <w:r>
        <w:t>The transmission signal τ generally follows Beer-Lamberts Law:</w:t>
      </w:r>
    </w:p>
    <w:p w14:paraId="263ACA8E" w14:textId="77777777" w:rsidR="00BB0A66" w:rsidRDefault="00000000">
      <w:pPr>
        <w:rPr>
          <w:rFonts w:eastAsiaTheme="minorEastAsia"/>
        </w:rPr>
      </w:pPr>
      <w:bookmarkStart w:id="0" w:name="_Hlk188640885"/>
      <m:oMathPara>
        <m:oMath>
          <m:r>
            <w:rPr>
              <w:rFonts w:ascii="Cambria Math" w:hAnsi="Cambria Math"/>
            </w:rPr>
            <m:t>τ=</m:t>
          </m:r>
          <m:sSup>
            <m:sSupPr>
              <m:ctrlPr>
                <w:rPr>
                  <w:rFonts w:ascii="Cambria Math" w:hAnsi="Cambria Math"/>
                  <w:i/>
                </w:rPr>
              </m:ctrlPr>
            </m:sSupPr>
            <m:e>
              <m:r>
                <w:rPr>
                  <w:rFonts w:ascii="Cambria Math" w:hAnsi="Cambria Math"/>
                </w:rPr>
                <m:t>e</m:t>
              </m:r>
            </m:e>
            <m:sup>
              <m:r>
                <w:rPr>
                  <w:rFonts w:ascii="Cambria Math" w:hAnsi="Cambria Math"/>
                </w:rPr>
                <m:t>-μ</m:t>
              </m:r>
              <m:d>
                <m:dPr>
                  <m:ctrlPr>
                    <w:rPr>
                      <w:rFonts w:ascii="Cambria Math" w:hAnsi="Cambria Math"/>
                      <w:i/>
                    </w:rPr>
                  </m:ctrlPr>
                </m:dPr>
                <m:e>
                  <m:r>
                    <w:rPr>
                      <w:rFonts w:ascii="Cambria Math" w:hAnsi="Cambria Math"/>
                    </w:rPr>
                    <m:t>E</m:t>
                  </m:r>
                </m:e>
              </m:d>
              <m:r>
                <w:rPr>
                  <w:rFonts w:ascii="Cambria Math" w:hAnsi="Cambria Math"/>
                </w:rPr>
                <m:t>*d</m:t>
              </m:r>
            </m:sup>
          </m:sSup>
        </m:oMath>
      </m:oMathPara>
      <w:bookmarkEnd w:id="0"/>
    </w:p>
    <w:p w14:paraId="6E39E5E0" w14:textId="613C0861" w:rsidR="00BB0A66" w:rsidRDefault="00000000">
      <w:pPr>
        <w:jc w:val="both"/>
        <w:rPr>
          <w:rFonts w:eastAsiaTheme="minorEastAsia"/>
          <w:color w:val="000000"/>
          <w:vertAlign w:val="superscript"/>
        </w:rPr>
      </w:pPr>
      <w:r>
        <w:rPr>
          <w:rFonts w:eastAsiaTheme="minorEastAsia"/>
        </w:rPr>
        <w:t>Where µ(E) being the energy dependent linear absorption coefficient and d the sample thickness. In a multicomponent system the combined linear absorption coefficient can again be written as the sum of linear absorption coefficients of each component, weighted by their contribution to the irradiated sample thickness, i.e. their volume fraction when using an x-ray beam of constant diameter. As seen in Table ST1, the linear absorption coefficient of sodium might be large, however the small ion size renders them almost invisible in the x-ray transmission. In a 1 M aqueous NaTFSI solution, Na</w:t>
      </w:r>
      <w:r>
        <w:rPr>
          <w:rFonts w:eastAsiaTheme="minorEastAsia"/>
          <w:vertAlign w:val="superscript"/>
        </w:rPr>
        <w:t>+</w:t>
      </w:r>
      <w:r>
        <w:rPr>
          <w:rFonts w:eastAsiaTheme="minorEastAsia"/>
        </w:rPr>
        <w:t xml:space="preserve"> makes up only 0.22 % of the volume, while TFSI</w:t>
      </w:r>
      <w:r>
        <w:rPr>
          <w:rFonts w:eastAsiaTheme="minorEastAsia"/>
          <w:vertAlign w:val="superscript"/>
        </w:rPr>
        <w:t>-</w:t>
      </w:r>
      <w:r>
        <w:rPr>
          <w:rFonts w:eastAsiaTheme="minorEastAsia"/>
        </w:rPr>
        <w:t xml:space="preserve"> accounts for roughly 10.8 % and water about 88.9 %. Therefore, sodium contributes only 3 % to the combined linear attenuation coefficient, whereas TFSI and water make up 47 % and 50 % respectively. Changing the TFSI</w:t>
      </w:r>
      <w:r>
        <w:rPr>
          <w:rFonts w:eastAsiaTheme="minorEastAsia"/>
          <w:vertAlign w:val="superscript"/>
        </w:rPr>
        <w:t>-</w:t>
      </w:r>
      <w:r>
        <w:rPr>
          <w:rFonts w:eastAsiaTheme="minorEastAsia"/>
        </w:rPr>
        <w:t xml:space="preserve"> concentration from 1 M to 2 M increases the linear attenuation coefficient by 41 %, while a change from 1 M to 2 M Na</w:t>
      </w:r>
      <w:r>
        <w:rPr>
          <w:rFonts w:eastAsiaTheme="minorEastAsia"/>
          <w:vertAlign w:val="superscript"/>
        </w:rPr>
        <w:t>+</w:t>
      </w:r>
      <w:r>
        <w:rPr>
          <w:rFonts w:eastAsiaTheme="minorEastAsia"/>
        </w:rPr>
        <w:t xml:space="preserve"> concentration increases the linear absorption coefficient by only 3 %. More detailed information on how to determine ion concentration changes from x-ray transmission can be found in i.e. Ref.</w:t>
      </w:r>
      <w:sdt>
        <w:sdtPr>
          <w:rPr>
            <w:rFonts w:eastAsiaTheme="minorEastAsia"/>
            <w:color w:val="000000"/>
            <w:vertAlign w:val="superscript"/>
          </w:rPr>
          <w:tag w:val="MENDELEY_CITATION_v3_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"/>
          <w:id w:val="-169176817"/>
          <w:placeholder>
            <w:docPart w:val="DefaultPlaceholder_-1854013440"/>
          </w:placeholder>
        </w:sdtPr>
        <w:sdtContent>
          <w:r w:rsidR="002142BE" w:rsidRPr="002142BE">
            <w:rPr>
              <w:rFonts w:eastAsiaTheme="minorEastAsia"/>
              <w:color w:val="000000"/>
              <w:vertAlign w:val="superscript"/>
            </w:rPr>
            <w:t>11,12</w:t>
          </w:r>
        </w:sdtContent>
      </w:sdt>
    </w:p>
    <w:p w14:paraId="3E34B5FD" w14:textId="77777777" w:rsidR="00BB0A66" w:rsidRDefault="00BB0A66"/>
    <w:p w14:paraId="07368F3E" w14:textId="77777777" w:rsidR="00BB0A66" w:rsidRDefault="00000000">
      <w:pPr>
        <w:jc w:val="center"/>
      </w:pPr>
      <w:r>
        <w:rPr>
          <w:noProof/>
        </w:rPr>
        <mc:AlternateContent>
          <mc:Choice Requires="wpg">
            <w:drawing>
              <wp:inline distT="0" distB="0" distL="0" distR="0" wp14:anchorId="4C87C1B0" wp14:editId="0F1E6B9C">
                <wp:extent cx="3799246" cy="3293350"/>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48029" name="Picture 994548029"/>
                        <pic:cNvPicPr>
                          <a:picLocks noChangeAspect="1"/>
                        </pic:cNvPicPr>
                      </pic:nvPicPr>
                      <pic:blipFill>
                        <a:blip r:embed="rId30"/>
                        <a:stretch/>
                      </pic:blipFill>
                      <pic:spPr bwMode="auto">
                        <a:xfrm>
                          <a:off x="0" y="0"/>
                          <a:ext cx="3803553" cy="3297083"/>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99.15pt;height:259.32pt;mso-wrap-distance-left:0.00pt;mso-wrap-distance-top:0.00pt;mso-wrap-distance-right:0.00pt;mso-wrap-distance-bottom:0.00pt;z-index:1;" stroked="false">
                <v:imagedata r:id="rId31" o:title=""/>
                <o:lock v:ext="edit" rotation="t"/>
              </v:shape>
            </w:pict>
          </mc:Fallback>
        </mc:AlternateContent>
      </w:r>
    </w:p>
    <w:p w14:paraId="5321F951" w14:textId="77777777" w:rsidR="00BB0A66" w:rsidRDefault="00000000">
      <w:pPr>
        <w:jc w:val="center"/>
        <w:rPr>
          <w:rFonts w:ascii="Arial" w:hAnsi="Arial" w:cs="Arial"/>
          <w:i/>
          <w:iCs/>
          <w:color w:val="0E2841" w:themeColor="text2"/>
          <w:sz w:val="18"/>
          <w:szCs w:val="18"/>
        </w:rPr>
      </w:pPr>
      <w:r>
        <w:rPr>
          <w:rFonts w:ascii="Arial" w:hAnsi="Arial" w:cs="Arial"/>
          <w:i/>
          <w:iCs/>
          <w:color w:val="0E2841" w:themeColor="text2"/>
          <w:sz w:val="18"/>
          <w:szCs w:val="18"/>
        </w:rPr>
        <w:t>Figure S9: SEM image of Ni</w:t>
      </w:r>
      <w:r>
        <w:rPr>
          <w:rFonts w:ascii="Arial" w:hAnsi="Arial" w:cs="Arial"/>
          <w:i/>
          <w:iCs/>
          <w:color w:val="0E2841" w:themeColor="text2"/>
          <w:sz w:val="18"/>
          <w:szCs w:val="18"/>
          <w:vertAlign w:val="subscript"/>
        </w:rPr>
        <w:t>3</w:t>
      </w:r>
      <w:r>
        <w:rPr>
          <w:rFonts w:ascii="Arial" w:hAnsi="Arial" w:cs="Arial"/>
          <w:i/>
          <w:iCs/>
          <w:color w:val="0E2841" w:themeColor="text2"/>
          <w:sz w:val="18"/>
          <w:szCs w:val="18"/>
        </w:rPr>
        <w:t>(HITP)</w:t>
      </w:r>
      <w:r>
        <w:rPr>
          <w:rFonts w:ascii="Arial" w:hAnsi="Arial" w:cs="Arial"/>
          <w:i/>
          <w:iCs/>
          <w:color w:val="0E2841" w:themeColor="text2"/>
          <w:sz w:val="18"/>
          <w:szCs w:val="18"/>
          <w:vertAlign w:val="subscript"/>
        </w:rPr>
        <w:t>2</w:t>
      </w:r>
      <w:r>
        <w:rPr>
          <w:rFonts w:ascii="Arial" w:hAnsi="Arial" w:cs="Arial"/>
          <w:i/>
          <w:iCs/>
          <w:color w:val="0E2841" w:themeColor="text2"/>
          <w:sz w:val="18"/>
          <w:szCs w:val="18"/>
        </w:rPr>
        <w:t xml:space="preserve"> MOF using the axial backscatter electron detector at an energy of 5 keV.</w:t>
      </w:r>
    </w:p>
    <w:p w14:paraId="59667051" w14:textId="77777777" w:rsidR="00BB0A66" w:rsidRDefault="00BB0A66"/>
    <w:p w14:paraId="49EFAFBD" w14:textId="77777777" w:rsidR="00BB0A66" w:rsidRDefault="00000000">
      <w:r>
        <w:t>Supplementary Note SN6:</w:t>
      </w:r>
    </w:p>
    <w:p w14:paraId="0B35B71C" w14:textId="1DF7A5C7" w:rsidR="00BB0A66" w:rsidRDefault="00000000">
      <w:pPr>
        <w:jc w:val="both"/>
      </w:pPr>
      <w:r>
        <w:t xml:space="preserve">The ratio of pore surface area to outer surface area was estimated based on geometric considerations. As shown in the micrograph above, the MOF consists of grains with coral-like </w:t>
      </w:r>
      <w:r w:rsidR="00747CF6">
        <w:t>needle particles</w:t>
      </w:r>
      <w:r>
        <w:t xml:space="preserve"> </w:t>
      </w:r>
      <w:r w:rsidR="00747CF6">
        <w:t>with</w:t>
      </w:r>
      <w:r>
        <w:t xml:space="preserve"> an approximate diameter d</w:t>
      </w:r>
      <w:r>
        <w:rPr>
          <w:vertAlign w:val="subscript"/>
        </w:rPr>
        <w:t>particle</w:t>
      </w:r>
      <w:r>
        <w:t xml:space="preserve"> ≈ 30 nm, resulting in approximate a cross-sectional of such a </w:t>
      </w:r>
      <w:r w:rsidR="00747CF6">
        <w:t xml:space="preserve">needle-shaped </w:t>
      </w:r>
      <w:r>
        <w:t>particle of A</w:t>
      </w:r>
      <w:r>
        <w:rPr>
          <w:vertAlign w:val="subscript"/>
        </w:rPr>
        <w:t>particle</w:t>
      </w:r>
      <w:r>
        <w:t xml:space="preserve"> = (d</w:t>
      </w:r>
      <w:r>
        <w:rPr>
          <w:vertAlign w:val="subscript"/>
        </w:rPr>
        <w:t>particle</w:t>
      </w:r>
      <w:r>
        <w:t>/2)</w:t>
      </w:r>
      <w:r>
        <w:rPr>
          <w:vertAlign w:val="superscript"/>
        </w:rPr>
        <w:t>2</w:t>
      </w:r>
      <w:r>
        <w:t>*π. From scattering data, it is known that the structure contains cylindrical pore channels with a diameter of d</w:t>
      </w:r>
      <w:r>
        <w:rPr>
          <w:vertAlign w:val="subscript"/>
        </w:rPr>
        <w:t>pore</w:t>
      </w:r>
      <w:r>
        <w:t xml:space="preserve"> = 1.4 nm arranged hexagonally with an average distance of a = 2.2 nm between pore </w:t>
      </w:r>
      <w:r w:rsidR="00747CF6">
        <w:t>centres</w:t>
      </w:r>
      <w:r>
        <w:t>. The cross-</w:t>
      </w:r>
      <w:r>
        <w:lastRenderedPageBreak/>
        <w:t>sectional area of a single pore is A</w:t>
      </w:r>
      <w:r>
        <w:rPr>
          <w:vertAlign w:val="subscript"/>
        </w:rPr>
        <w:t>pore</w:t>
      </w:r>
      <w:r>
        <w:t xml:space="preserve"> = (d</w:t>
      </w:r>
      <w:r>
        <w:rPr>
          <w:vertAlign w:val="subscript"/>
        </w:rPr>
        <w:t>pore</w:t>
      </w:r>
      <w:r>
        <w:t>/2)</w:t>
      </w:r>
      <w:r>
        <w:rPr>
          <w:vertAlign w:val="superscript"/>
        </w:rPr>
        <w:t>2</w:t>
      </w:r>
      <w:r>
        <w:t>*π. In hexagonal packing, the "effective area" per pore is A</w:t>
      </w:r>
      <w:r>
        <w:rPr>
          <w:vertAlign w:val="subscript"/>
        </w:rPr>
        <w:t>pore, effective</w:t>
      </w:r>
      <w:r>
        <w:t xml:space="preserve"> = (a/2)</w:t>
      </w:r>
      <w:r>
        <w:rPr>
          <w:vertAlign w:val="superscript"/>
        </w:rPr>
        <w:t>2</w:t>
      </w:r>
      <w:r>
        <w:t xml:space="preserve">*π. The packing efficiency of a hexagonal arrangement is π/sqrt(12). </w:t>
      </w:r>
      <w:r w:rsidR="00747CF6">
        <w:t>U</w:t>
      </w:r>
      <w:r>
        <w:t>sing this, the number of pore channels within one particle can be estimated as: n = A</w:t>
      </w:r>
      <w:r>
        <w:rPr>
          <w:vertAlign w:val="subscript"/>
        </w:rPr>
        <w:t xml:space="preserve">particle </w:t>
      </w:r>
      <w:r>
        <w:t>* π/sqrt(12)/ A</w:t>
      </w:r>
      <w:r>
        <w:rPr>
          <w:vertAlign w:val="subscript"/>
        </w:rPr>
        <w:t>pore, effective</w:t>
      </w:r>
      <w:r>
        <w:t xml:space="preserve"> = π/sqrt(12)*d</w:t>
      </w:r>
      <w:r>
        <w:rPr>
          <w:vertAlign w:val="subscript"/>
        </w:rPr>
        <w:t>particle</w:t>
      </w:r>
      <w:r>
        <w:rPr>
          <w:vertAlign w:val="superscript"/>
        </w:rPr>
        <w:t>2</w:t>
      </w:r>
      <w:r>
        <w:t>/a</w:t>
      </w:r>
      <w:r>
        <w:rPr>
          <w:vertAlign w:val="superscript"/>
        </w:rPr>
        <w:t>2</w:t>
      </w:r>
      <w:r>
        <w:t xml:space="preserve"> ≈ 75. The combined surface area (mantle area) of all pore channels </w:t>
      </w:r>
      <w:r w:rsidR="00DD1465">
        <w:t xml:space="preserve">in one </w:t>
      </w:r>
      <w:r w:rsidR="00747CF6">
        <w:t xml:space="preserve">needle-shaped </w:t>
      </w:r>
      <w:r w:rsidR="00DD1465">
        <w:t xml:space="preserve">particle </w:t>
      </w:r>
      <w:r>
        <w:t>is: M</w:t>
      </w:r>
      <w:r>
        <w:rPr>
          <w:vertAlign w:val="subscript"/>
        </w:rPr>
        <w:t>pores</w:t>
      </w:r>
      <w:r>
        <w:t xml:space="preserve"> = n*d</w:t>
      </w:r>
      <w:r>
        <w:rPr>
          <w:vertAlign w:val="subscript"/>
        </w:rPr>
        <w:t>pore</w:t>
      </w:r>
      <w:r>
        <w:t xml:space="preserve">*π*l where l is the length of the pore channels. The outer mantle area of a single </w:t>
      </w:r>
      <w:r w:rsidR="00747CF6">
        <w:t xml:space="preserve">needle-shaped </w:t>
      </w:r>
      <w:r>
        <w:t>particle is M</w:t>
      </w:r>
      <w:r>
        <w:rPr>
          <w:vertAlign w:val="subscript"/>
        </w:rPr>
        <w:t>particle</w:t>
      </w:r>
      <w:r>
        <w:t xml:space="preserve"> = d</w:t>
      </w:r>
      <w:r>
        <w:rPr>
          <w:vertAlign w:val="subscript"/>
        </w:rPr>
        <w:t>particle</w:t>
      </w:r>
      <w:r>
        <w:t>*π*l with l again being the length of the pore channels or the particle. The ratio of pore surface area to particle surface area is therefore: n*d</w:t>
      </w:r>
      <w:r>
        <w:rPr>
          <w:vertAlign w:val="subscript"/>
        </w:rPr>
        <w:t>particle</w:t>
      </w:r>
      <w:r>
        <w:t>*π*l/(n*d</w:t>
      </w:r>
      <w:r>
        <w:rPr>
          <w:vertAlign w:val="subscript"/>
        </w:rPr>
        <w:t>pore</w:t>
      </w:r>
      <w:r>
        <w:t>*π*l) ≈ sqrt(12)/π*a</w:t>
      </w:r>
      <w:r>
        <w:rPr>
          <w:vertAlign w:val="superscript"/>
        </w:rPr>
        <w:t>2</w:t>
      </w:r>
      <w:r>
        <w:t>/(d</w:t>
      </w:r>
      <w:r>
        <w:rPr>
          <w:vertAlign w:val="subscript"/>
        </w:rPr>
        <w:t>particle</w:t>
      </w:r>
      <w:r>
        <w:t>*d</w:t>
      </w:r>
      <w:r>
        <w:rPr>
          <w:vertAlign w:val="subscript"/>
        </w:rPr>
        <w:t>pore</w:t>
      </w:r>
      <w:r>
        <w:t xml:space="preserve">) ≈ 12 %. This ratio is a rough geometric estimation and represents </w:t>
      </w:r>
      <w:r w:rsidR="00DD1465">
        <w:t xml:space="preserve">the </w:t>
      </w:r>
      <w:r>
        <w:t xml:space="preserve">upper limit of the pore-to-particle surface area share. It assumes all particles are as small as 30 nm in diameter, which, as evident from the micrograph, is </w:t>
      </w:r>
      <w:r w:rsidR="00747CF6">
        <w:t xml:space="preserve">clearly </w:t>
      </w:r>
      <w:r>
        <w:t>not the case. Larger particle sizes would result in an even greater share of in-pore surface area</w:t>
      </w:r>
      <w:r w:rsidR="00747CF6">
        <w:t xml:space="preserve"> and the 12 % obtained here only refer to the pore area within the needle shaped extensions of the much larger MOF particles</w:t>
      </w:r>
      <w:r>
        <w:t>.</w:t>
      </w:r>
    </w:p>
    <w:p w14:paraId="731B149E" w14:textId="77777777" w:rsidR="00BB0A66" w:rsidRDefault="00BB0A66">
      <w:pPr>
        <w:jc w:val="both"/>
      </w:pPr>
    </w:p>
    <w:p w14:paraId="70F2E263" w14:textId="77777777" w:rsidR="00BB0A66" w:rsidRDefault="00000000">
      <w:pPr>
        <w:keepNext/>
        <w:jc w:val="center"/>
        <w:rPr>
          <w:rFonts w:ascii="Arial" w:hAnsi="Arial" w:cs="Arial"/>
        </w:rPr>
      </w:pPr>
      <w:r>
        <w:rPr>
          <w:rFonts w:ascii="Arial" w:hAnsi="Arial" w:cs="Arial"/>
          <w:noProof/>
        </w:rPr>
        <mc:AlternateContent>
          <mc:Choice Requires="wpg">
            <w:drawing>
              <wp:inline distT="0" distB="0" distL="0" distR="0" wp14:anchorId="1D12FE04" wp14:editId="7CA797B9">
                <wp:extent cx="3151539" cy="4612867"/>
                <wp:effectExtent l="0" t="0" r="0" b="0"/>
                <wp:docPr id="11" name="Grafik 1"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27479" name="Grafik 1" descr="Ein Bild, das Text, Diagramm, Reihe, Schrift enthält.&#10;&#10;Automatisch generierte Beschreibung"/>
                        <pic:cNvPicPr>
                          <a:picLocks noChangeAspect="1"/>
                        </pic:cNvPicPr>
                      </pic:nvPicPr>
                      <pic:blipFill>
                        <a:blip r:embed="rId32"/>
                        <a:stretch/>
                      </pic:blipFill>
                      <pic:spPr bwMode="auto">
                        <a:xfrm>
                          <a:off x="0" y="0"/>
                          <a:ext cx="3156184" cy="4619666"/>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8.15pt;height:363.22pt;mso-wrap-distance-left:0.00pt;mso-wrap-distance-top:0.00pt;mso-wrap-distance-right:0.00pt;mso-wrap-distance-bottom:0.00pt;z-index:1;" stroked="false">
                <v:imagedata r:id="rId33" o:title=""/>
                <o:lock v:ext="edit" rotation="t"/>
              </v:shape>
            </w:pict>
          </mc:Fallback>
        </mc:AlternateContent>
      </w:r>
    </w:p>
    <w:p w14:paraId="30E3ECDF" w14:textId="77777777" w:rsidR="00BB0A66" w:rsidRDefault="00000000">
      <w:pPr>
        <w:pStyle w:val="Caption"/>
        <w:rPr>
          <w:rFonts w:ascii="Arial" w:hAnsi="Arial" w:cs="Arial"/>
        </w:rPr>
      </w:pPr>
      <w:r>
        <w:rPr>
          <w:rFonts w:ascii="Arial" w:hAnsi="Arial" w:cs="Arial"/>
        </w:rPr>
        <w:t>Figure S10: Evolution of the a) lattice parameter a and b) layer spacing c as a function of applied potential for the counter electrode to the electrode depicted in Figure 4 of the main manuscript. The light colour line in the background shows the measured data, while the thicker darker line represents the smoothed moving point average over 8 data points.</w:t>
      </w:r>
    </w:p>
    <w:p w14:paraId="3302F90F" w14:textId="77777777" w:rsidR="00BB0A66" w:rsidRDefault="00BB0A66">
      <w:pPr>
        <w:jc w:val="both"/>
        <w:rPr>
          <w:rFonts w:ascii="Arial" w:hAnsi="Arial" w:cs="Arial"/>
        </w:rPr>
      </w:pPr>
    </w:p>
    <w:p w14:paraId="14198A52" w14:textId="77777777" w:rsidR="00BB0A66" w:rsidRDefault="00000000">
      <w:pPr>
        <w:keepNext/>
        <w:jc w:val="center"/>
      </w:pPr>
      <w:r>
        <w:rPr>
          <w:rFonts w:ascii="Arial" w:hAnsi="Arial" w:cs="Arial"/>
          <w:noProof/>
        </w:rPr>
        <w:lastRenderedPageBreak/>
        <w:drawing>
          <wp:inline distT="0" distB="0" distL="0" distR="0" wp14:anchorId="44747DDB" wp14:editId="19E2CD71">
            <wp:extent cx="2521927" cy="2103808"/>
            <wp:effectExtent l="19050" t="19050" r="12065" b="10795"/>
            <wp:docPr id="12" name="Grafik 1" descr="Ein Bild, das Boden, Im Haus, Person, hölz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09338" name="Grafik 1" descr="Ein Bild, das Boden, Im Haus, Person, hölzern enthält.&#10;&#10;Automatisch generierte Beschreibung"/>
                    <pic:cNvPicPr>
                      <a:picLocks noChangeAspect="1"/>
                    </pic:cNvPicPr>
                  </pic:nvPicPr>
                  <pic:blipFill>
                    <a:blip r:embed="rId34"/>
                    <a:srcRect l="5722" t="26301" r="18605" b="26353"/>
                    <a:stretch/>
                  </pic:blipFill>
                  <pic:spPr bwMode="auto">
                    <a:xfrm>
                      <a:off x="0" y="0"/>
                      <a:ext cx="2593287" cy="2163337"/>
                    </a:xfrm>
                    <a:prstGeom prst="rect">
                      <a:avLst/>
                    </a:prstGeom>
                    <a:ln>
                      <a:solidFill>
                        <a:schemeClr val="tx1"/>
                      </a:solidFill>
                    </a:ln>
                  </pic:spPr>
                </pic:pic>
              </a:graphicData>
            </a:graphic>
          </wp:inline>
        </w:drawing>
      </w:r>
      <w:r>
        <w:rPr>
          <w:noProof/>
        </w:rPr>
        <w:drawing>
          <wp:inline distT="0" distB="0" distL="0" distR="0" wp14:anchorId="4580D6F8" wp14:editId="2817C00D">
            <wp:extent cx="2199682" cy="2086485"/>
            <wp:effectExtent l="19050" t="19050" r="10160" b="28575"/>
            <wp:docPr id="13" name="Picture 1" descr="Diagram of a diagram of a couple of black circles with a red line betwee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39014" name="Picture 1" descr="Diagram of a diagram of a couple of black circles with a red line between them&#10;&#10;Description automatically generated"/>
                    <pic:cNvPicPr>
                      <a:picLocks noChangeAspect="1"/>
                    </pic:cNvPicPr>
                  </pic:nvPicPr>
                  <pic:blipFill>
                    <a:blip r:embed="rId35"/>
                    <a:stretch/>
                  </pic:blipFill>
                  <pic:spPr bwMode="auto">
                    <a:xfrm>
                      <a:off x="0" y="0"/>
                      <a:ext cx="2212809" cy="2098936"/>
                    </a:xfrm>
                    <a:prstGeom prst="rect">
                      <a:avLst/>
                    </a:prstGeom>
                    <a:ln>
                      <a:solidFill>
                        <a:schemeClr val="tx1"/>
                      </a:solidFill>
                    </a:ln>
                  </pic:spPr>
                </pic:pic>
              </a:graphicData>
            </a:graphic>
          </wp:inline>
        </w:drawing>
      </w:r>
    </w:p>
    <w:p w14:paraId="32DC2569" w14:textId="77777777" w:rsidR="00BB0A66" w:rsidRDefault="00000000">
      <w:pPr>
        <w:pStyle w:val="Caption"/>
        <w:jc w:val="center"/>
      </w:pPr>
      <w:r>
        <w:t>Figure S11: Left: In-situ SAXS and XRD cell featuring Kapton windows for scanning of the electrode. Right: Perforated Electrode geometry allowing to irradiate each electrode individually for the collection of SAXS/XRT signal. Not depicted is the additionally added Pt foil as a current collector.</w:t>
      </w:r>
    </w:p>
    <w:p w14:paraId="59A039F4" w14:textId="77777777" w:rsidR="000F292B" w:rsidRPr="00EF794A" w:rsidRDefault="000F292B">
      <w:pPr>
        <w:rPr>
          <w:sz w:val="20"/>
          <w:szCs w:val="20"/>
        </w:rPr>
      </w:pPr>
    </w:p>
    <w:sdt>
      <w:sdtPr>
        <w:rPr>
          <w:color w:val="000000"/>
          <w:sz w:val="16"/>
          <w:szCs w:val="16"/>
        </w:rPr>
        <w:tag w:val="MENDELEY_BIBLIOGRAPHY"/>
        <w:id w:val="959926138"/>
        <w:placeholder>
          <w:docPart w:val="DefaultPlaceholder_-1854013440"/>
        </w:placeholder>
      </w:sdtPr>
      <w:sdtContent>
        <w:p w14:paraId="4B12E321" w14:textId="77777777" w:rsidR="002142BE" w:rsidRPr="006D7D5C" w:rsidRDefault="002142BE">
          <w:pPr>
            <w:autoSpaceDE w:val="0"/>
            <w:autoSpaceDN w:val="0"/>
            <w:ind w:hanging="640"/>
            <w:divId w:val="909923582"/>
            <w:rPr>
              <w:rFonts w:eastAsia="Times New Roman"/>
              <w14:ligatures w14:val="none"/>
            </w:rPr>
          </w:pPr>
          <w:r w:rsidRPr="006D7D5C">
            <w:rPr>
              <w:rFonts w:eastAsia="Times New Roman"/>
              <w:sz w:val="20"/>
              <w:szCs w:val="20"/>
            </w:rPr>
            <w:t>1.</w:t>
          </w:r>
          <w:r w:rsidRPr="006D7D5C">
            <w:rPr>
              <w:rFonts w:eastAsia="Times New Roman"/>
              <w:sz w:val="20"/>
              <w:szCs w:val="20"/>
            </w:rPr>
            <w:tab/>
            <w:t xml:space="preserve">Takamoto, S., Okanohara, D., Li, Q. J. &amp; Li, J. Towards universal neural network interatomic potential. </w:t>
          </w:r>
          <w:r w:rsidRPr="006D7D5C">
            <w:rPr>
              <w:rFonts w:eastAsia="Times New Roman"/>
              <w:i/>
              <w:iCs/>
              <w:sz w:val="20"/>
              <w:szCs w:val="20"/>
            </w:rPr>
            <w:t>Journal of Materiomics</w:t>
          </w:r>
          <w:r w:rsidRPr="006D7D5C">
            <w:rPr>
              <w:rFonts w:eastAsia="Times New Roman"/>
              <w:sz w:val="20"/>
              <w:szCs w:val="20"/>
            </w:rPr>
            <w:t xml:space="preserve"> </w:t>
          </w:r>
          <w:r w:rsidRPr="006D7D5C">
            <w:rPr>
              <w:rFonts w:eastAsia="Times New Roman"/>
              <w:b/>
              <w:bCs/>
              <w:sz w:val="20"/>
              <w:szCs w:val="20"/>
            </w:rPr>
            <w:t>9</w:t>
          </w:r>
          <w:r w:rsidRPr="006D7D5C">
            <w:rPr>
              <w:rFonts w:eastAsia="Times New Roman"/>
              <w:sz w:val="20"/>
              <w:szCs w:val="20"/>
            </w:rPr>
            <w:t>, 447–454 (2023).</w:t>
          </w:r>
        </w:p>
        <w:p w14:paraId="2EA0424E" w14:textId="77777777" w:rsidR="002142BE" w:rsidRPr="006D7D5C" w:rsidRDefault="002142BE">
          <w:pPr>
            <w:autoSpaceDE w:val="0"/>
            <w:autoSpaceDN w:val="0"/>
            <w:ind w:hanging="640"/>
            <w:divId w:val="181675856"/>
            <w:rPr>
              <w:rFonts w:eastAsia="Times New Roman"/>
              <w:sz w:val="20"/>
              <w:szCs w:val="20"/>
            </w:rPr>
          </w:pPr>
          <w:r w:rsidRPr="006D7D5C">
            <w:rPr>
              <w:rFonts w:eastAsia="Times New Roman"/>
              <w:sz w:val="20"/>
              <w:szCs w:val="20"/>
            </w:rPr>
            <w:t>2.</w:t>
          </w:r>
          <w:r w:rsidRPr="006D7D5C">
            <w:rPr>
              <w:rFonts w:eastAsia="Times New Roman"/>
              <w:sz w:val="20"/>
              <w:szCs w:val="20"/>
            </w:rPr>
            <w:tab/>
            <w:t xml:space="preserve">Takamoto, S. </w:t>
          </w:r>
          <w:r w:rsidRPr="006D7D5C">
            <w:rPr>
              <w:rFonts w:eastAsia="Times New Roman"/>
              <w:i/>
              <w:iCs/>
              <w:sz w:val="20"/>
              <w:szCs w:val="20"/>
            </w:rPr>
            <w:t>et al.</w:t>
          </w:r>
          <w:r w:rsidRPr="006D7D5C">
            <w:rPr>
              <w:rFonts w:eastAsia="Times New Roman"/>
              <w:sz w:val="20"/>
              <w:szCs w:val="20"/>
            </w:rPr>
            <w:t xml:space="preserve"> Towards universal neural network potential for material discovery applicable to arbitrary combination of 45 elements. </w:t>
          </w:r>
          <w:r w:rsidRPr="006D7D5C">
            <w:rPr>
              <w:rFonts w:eastAsia="Times New Roman"/>
              <w:i/>
              <w:iCs/>
              <w:sz w:val="20"/>
              <w:szCs w:val="20"/>
            </w:rPr>
            <w:t>Nature Communications 2022 13:1</w:t>
          </w:r>
          <w:r w:rsidRPr="006D7D5C">
            <w:rPr>
              <w:rFonts w:eastAsia="Times New Roman"/>
              <w:sz w:val="20"/>
              <w:szCs w:val="20"/>
            </w:rPr>
            <w:t xml:space="preserve"> </w:t>
          </w:r>
          <w:r w:rsidRPr="006D7D5C">
            <w:rPr>
              <w:rFonts w:eastAsia="Times New Roman"/>
              <w:b/>
              <w:bCs/>
              <w:sz w:val="20"/>
              <w:szCs w:val="20"/>
            </w:rPr>
            <w:t>13</w:t>
          </w:r>
          <w:r w:rsidRPr="006D7D5C">
            <w:rPr>
              <w:rFonts w:eastAsia="Times New Roman"/>
              <w:sz w:val="20"/>
              <w:szCs w:val="20"/>
            </w:rPr>
            <w:t>, 1–11 (2022).</w:t>
          </w:r>
        </w:p>
        <w:p w14:paraId="551C7197" w14:textId="77777777" w:rsidR="002142BE" w:rsidRPr="006D7D5C" w:rsidRDefault="002142BE">
          <w:pPr>
            <w:autoSpaceDE w:val="0"/>
            <w:autoSpaceDN w:val="0"/>
            <w:ind w:hanging="640"/>
            <w:divId w:val="2027439633"/>
            <w:rPr>
              <w:rFonts w:eastAsia="Times New Roman"/>
              <w:sz w:val="20"/>
              <w:szCs w:val="20"/>
            </w:rPr>
          </w:pPr>
          <w:r w:rsidRPr="006D7D5C">
            <w:rPr>
              <w:rFonts w:eastAsia="Times New Roman"/>
              <w:sz w:val="20"/>
              <w:szCs w:val="20"/>
            </w:rPr>
            <w:t>3.</w:t>
          </w:r>
          <w:r w:rsidRPr="006D7D5C">
            <w:rPr>
              <w:rFonts w:eastAsia="Times New Roman"/>
              <w:sz w:val="20"/>
              <w:szCs w:val="20"/>
            </w:rPr>
            <w:tab/>
            <w:t xml:space="preserve">Berendsen, H. J. C., Postma, J. P. M., Van Gunsteren, W. F., Dinola, A. &amp; Haak, J. R. Molecular dynamics with coupling to an external bath. </w:t>
          </w:r>
          <w:r w:rsidRPr="006D7D5C">
            <w:rPr>
              <w:rFonts w:eastAsia="Times New Roman"/>
              <w:i/>
              <w:iCs/>
              <w:sz w:val="20"/>
              <w:szCs w:val="20"/>
            </w:rPr>
            <w:t>J Chem Phys</w:t>
          </w:r>
          <w:r w:rsidRPr="006D7D5C">
            <w:rPr>
              <w:rFonts w:eastAsia="Times New Roman"/>
              <w:sz w:val="20"/>
              <w:szCs w:val="20"/>
            </w:rPr>
            <w:t xml:space="preserve"> </w:t>
          </w:r>
          <w:r w:rsidRPr="006D7D5C">
            <w:rPr>
              <w:rFonts w:eastAsia="Times New Roman"/>
              <w:b/>
              <w:bCs/>
              <w:sz w:val="20"/>
              <w:szCs w:val="20"/>
            </w:rPr>
            <w:t>81</w:t>
          </w:r>
          <w:r w:rsidRPr="006D7D5C">
            <w:rPr>
              <w:rFonts w:eastAsia="Times New Roman"/>
              <w:sz w:val="20"/>
              <w:szCs w:val="20"/>
            </w:rPr>
            <w:t>, 3684–3690 (1984).</w:t>
          </w:r>
        </w:p>
        <w:p w14:paraId="3F3EA418" w14:textId="77777777" w:rsidR="002142BE" w:rsidRPr="006D7D5C" w:rsidRDefault="002142BE">
          <w:pPr>
            <w:autoSpaceDE w:val="0"/>
            <w:autoSpaceDN w:val="0"/>
            <w:ind w:hanging="640"/>
            <w:divId w:val="1243488705"/>
            <w:rPr>
              <w:rFonts w:eastAsia="Times New Roman"/>
              <w:sz w:val="20"/>
              <w:szCs w:val="20"/>
            </w:rPr>
          </w:pPr>
          <w:r w:rsidRPr="006D7D5C">
            <w:rPr>
              <w:rFonts w:eastAsia="Times New Roman"/>
              <w:sz w:val="20"/>
              <w:szCs w:val="20"/>
            </w:rPr>
            <w:t>4.</w:t>
          </w:r>
          <w:r w:rsidRPr="006D7D5C">
            <w:rPr>
              <w:rFonts w:eastAsia="Times New Roman"/>
              <w:sz w:val="20"/>
              <w:szCs w:val="20"/>
            </w:rPr>
            <w:tab/>
            <w:t xml:space="preserve">Fletcher, R. </w:t>
          </w:r>
          <w:r w:rsidRPr="006D7D5C">
            <w:rPr>
              <w:rFonts w:eastAsia="Times New Roman"/>
              <w:i/>
              <w:iCs/>
              <w:sz w:val="20"/>
              <w:szCs w:val="20"/>
            </w:rPr>
            <w:t>Practical Methods of Optimization</w:t>
          </w:r>
          <w:r w:rsidRPr="006D7D5C">
            <w:rPr>
              <w:rFonts w:eastAsia="Times New Roman"/>
              <w:sz w:val="20"/>
              <w:szCs w:val="20"/>
            </w:rPr>
            <w:t>. (Wiley, 2000). doi:10.1002/9781118723203.</w:t>
          </w:r>
        </w:p>
        <w:p w14:paraId="6129F852" w14:textId="77777777" w:rsidR="002142BE" w:rsidRPr="006D7D5C" w:rsidRDefault="002142BE">
          <w:pPr>
            <w:autoSpaceDE w:val="0"/>
            <w:autoSpaceDN w:val="0"/>
            <w:ind w:hanging="640"/>
            <w:divId w:val="311564230"/>
            <w:rPr>
              <w:rFonts w:eastAsia="Times New Roman"/>
              <w:sz w:val="20"/>
              <w:szCs w:val="20"/>
            </w:rPr>
          </w:pPr>
          <w:r w:rsidRPr="006D7D5C">
            <w:rPr>
              <w:rFonts w:eastAsia="Times New Roman"/>
              <w:sz w:val="20"/>
              <w:szCs w:val="20"/>
            </w:rPr>
            <w:t>5.</w:t>
          </w:r>
          <w:r w:rsidRPr="006D7D5C">
            <w:rPr>
              <w:rFonts w:eastAsia="Times New Roman"/>
              <w:sz w:val="20"/>
              <w:szCs w:val="20"/>
            </w:rPr>
            <w:tab/>
          </w:r>
          <w:r w:rsidRPr="006D7D5C">
            <w:rPr>
              <w:rFonts w:eastAsia="Times New Roman"/>
              <w:i/>
              <w:iCs/>
              <w:sz w:val="20"/>
              <w:szCs w:val="20"/>
            </w:rPr>
            <w:t>CRC Handbook of Chemistry and Physics</w:t>
          </w:r>
          <w:r w:rsidRPr="006D7D5C">
            <w:rPr>
              <w:rFonts w:eastAsia="Times New Roman"/>
              <w:sz w:val="20"/>
              <w:szCs w:val="20"/>
            </w:rPr>
            <w:t>. (CRC Press, 2014). doi:10.1201/b17118.</w:t>
          </w:r>
        </w:p>
        <w:p w14:paraId="22284632" w14:textId="6CF6E32E" w:rsidR="002142BE" w:rsidRPr="006D7D5C" w:rsidRDefault="002142BE">
          <w:pPr>
            <w:autoSpaceDE w:val="0"/>
            <w:autoSpaceDN w:val="0"/>
            <w:ind w:hanging="640"/>
            <w:divId w:val="1764034727"/>
            <w:rPr>
              <w:rFonts w:eastAsia="Times New Roman"/>
              <w:sz w:val="20"/>
              <w:szCs w:val="20"/>
            </w:rPr>
          </w:pPr>
          <w:r w:rsidRPr="006D7D5C">
            <w:rPr>
              <w:rFonts w:eastAsia="Times New Roman"/>
              <w:sz w:val="20"/>
              <w:szCs w:val="20"/>
            </w:rPr>
            <w:t>6.</w:t>
          </w:r>
          <w:r w:rsidRPr="006D7D5C">
            <w:rPr>
              <w:rFonts w:eastAsia="Times New Roman"/>
              <w:sz w:val="20"/>
              <w:szCs w:val="20"/>
            </w:rPr>
            <w:tab/>
            <w:t>Chantler, C.T.</w:t>
          </w:r>
          <w:r w:rsidR="006D7D5C">
            <w:rPr>
              <w:rFonts w:eastAsia="Times New Roman"/>
              <w:sz w:val="20"/>
              <w:szCs w:val="20"/>
            </w:rPr>
            <w:t xml:space="preserve"> </w:t>
          </w:r>
          <w:r w:rsidR="006D7D5C" w:rsidRPr="006D7D5C">
            <w:rPr>
              <w:rFonts w:eastAsia="Times New Roman"/>
              <w:i/>
              <w:iCs/>
              <w:sz w:val="20"/>
              <w:szCs w:val="20"/>
            </w:rPr>
            <w:t>et al.</w:t>
          </w:r>
          <w:r w:rsidR="006D7D5C">
            <w:rPr>
              <w:rFonts w:eastAsia="Times New Roman"/>
              <w:sz w:val="20"/>
              <w:szCs w:val="20"/>
            </w:rPr>
            <w:t xml:space="preserve"> </w:t>
          </w:r>
          <w:r w:rsidRPr="006D7D5C">
            <w:rPr>
              <w:rFonts w:eastAsia="Times New Roman"/>
              <w:sz w:val="20"/>
              <w:szCs w:val="20"/>
            </w:rPr>
            <w:t xml:space="preserve">X-Ray Form Factor, Attenuation and Scattering Tables (version 2.1). </w:t>
          </w:r>
          <w:r w:rsidRPr="006D7D5C">
            <w:rPr>
              <w:rFonts w:eastAsia="Times New Roman"/>
              <w:i/>
              <w:iCs/>
              <w:sz w:val="20"/>
              <w:szCs w:val="20"/>
            </w:rPr>
            <w:t>X-Ray Form Factor, Attenuation and Scattering Tables (version 2.1). [Online]</w:t>
          </w:r>
          <w:r w:rsidRPr="006D7D5C">
            <w:rPr>
              <w:rFonts w:eastAsia="Times New Roman"/>
              <w:sz w:val="20"/>
              <w:szCs w:val="20"/>
            </w:rPr>
            <w:t xml:space="preserve"> http://physics.nist.gov/ffast (2005) doi:https://dx.doi.org/10.18434/T4HS32.</w:t>
          </w:r>
        </w:p>
        <w:p w14:paraId="7E19AEEC" w14:textId="77777777" w:rsidR="002142BE" w:rsidRPr="006D7D5C" w:rsidRDefault="002142BE">
          <w:pPr>
            <w:autoSpaceDE w:val="0"/>
            <w:autoSpaceDN w:val="0"/>
            <w:ind w:hanging="640"/>
            <w:divId w:val="1577477271"/>
            <w:rPr>
              <w:rFonts w:eastAsia="Times New Roman"/>
              <w:sz w:val="20"/>
              <w:szCs w:val="20"/>
            </w:rPr>
          </w:pPr>
          <w:r w:rsidRPr="006D7D5C">
            <w:rPr>
              <w:rFonts w:eastAsia="Times New Roman"/>
              <w:sz w:val="20"/>
              <w:szCs w:val="20"/>
            </w:rPr>
            <w:t>7.</w:t>
          </w:r>
          <w:r w:rsidRPr="006D7D5C">
            <w:rPr>
              <w:rFonts w:eastAsia="Times New Roman"/>
              <w:sz w:val="20"/>
              <w:szCs w:val="20"/>
            </w:rPr>
            <w:tab/>
            <w:t xml:space="preserve">Nightingale, E. R. Phenomenological theory of ion solvation. Effective radii of hydrated ions. </w:t>
          </w:r>
          <w:r w:rsidRPr="006D7D5C">
            <w:rPr>
              <w:rFonts w:eastAsia="Times New Roman"/>
              <w:i/>
              <w:iCs/>
              <w:sz w:val="20"/>
              <w:szCs w:val="20"/>
            </w:rPr>
            <w:t>Journal of Physical Chemistry</w:t>
          </w:r>
          <w:r w:rsidRPr="006D7D5C">
            <w:rPr>
              <w:rFonts w:eastAsia="Times New Roman"/>
              <w:sz w:val="20"/>
              <w:szCs w:val="20"/>
            </w:rPr>
            <w:t xml:space="preserve"> </w:t>
          </w:r>
          <w:r w:rsidRPr="006D7D5C">
            <w:rPr>
              <w:rFonts w:eastAsia="Times New Roman"/>
              <w:b/>
              <w:bCs/>
              <w:sz w:val="20"/>
              <w:szCs w:val="20"/>
            </w:rPr>
            <w:t>63</w:t>
          </w:r>
          <w:r w:rsidRPr="006D7D5C">
            <w:rPr>
              <w:rFonts w:eastAsia="Times New Roman"/>
              <w:sz w:val="20"/>
              <w:szCs w:val="20"/>
            </w:rPr>
            <w:t>, 1381–1387 (1959).</w:t>
          </w:r>
        </w:p>
        <w:p w14:paraId="3A588DDE" w14:textId="77777777" w:rsidR="002142BE" w:rsidRPr="006D7D5C" w:rsidRDefault="002142BE">
          <w:pPr>
            <w:autoSpaceDE w:val="0"/>
            <w:autoSpaceDN w:val="0"/>
            <w:ind w:hanging="640"/>
            <w:divId w:val="974258394"/>
            <w:rPr>
              <w:rFonts w:eastAsia="Times New Roman"/>
              <w:sz w:val="20"/>
              <w:szCs w:val="20"/>
            </w:rPr>
          </w:pPr>
          <w:r w:rsidRPr="006D7D5C">
            <w:rPr>
              <w:rFonts w:eastAsia="Times New Roman"/>
              <w:sz w:val="20"/>
              <w:szCs w:val="20"/>
            </w:rPr>
            <w:t>8.</w:t>
          </w:r>
          <w:r w:rsidRPr="006D7D5C">
            <w:rPr>
              <w:rFonts w:eastAsia="Times New Roman"/>
              <w:sz w:val="20"/>
              <w:szCs w:val="20"/>
            </w:rPr>
            <w:tab/>
            <w:t xml:space="preserve">Chugh, M. </w:t>
          </w:r>
          <w:r w:rsidRPr="006D7D5C">
            <w:rPr>
              <w:rFonts w:eastAsia="Times New Roman"/>
              <w:i/>
              <w:iCs/>
              <w:sz w:val="20"/>
              <w:szCs w:val="20"/>
            </w:rPr>
            <w:t>et al.</w:t>
          </w:r>
          <w:r w:rsidRPr="006D7D5C">
            <w:rPr>
              <w:rFonts w:eastAsia="Times New Roman"/>
              <w:sz w:val="20"/>
              <w:szCs w:val="20"/>
            </w:rPr>
            <w:t xml:space="preserve"> A combinatorial study of electrochemical anion intercalation into graphite. </w:t>
          </w:r>
          <w:r w:rsidRPr="006D7D5C">
            <w:rPr>
              <w:rFonts w:eastAsia="Times New Roman"/>
              <w:i/>
              <w:iCs/>
              <w:sz w:val="20"/>
              <w:szCs w:val="20"/>
            </w:rPr>
            <w:t>Mater Res Express</w:t>
          </w:r>
          <w:r w:rsidRPr="006D7D5C">
            <w:rPr>
              <w:rFonts w:eastAsia="Times New Roman"/>
              <w:sz w:val="20"/>
              <w:szCs w:val="20"/>
            </w:rPr>
            <w:t xml:space="preserve"> </w:t>
          </w:r>
          <w:r w:rsidRPr="006D7D5C">
            <w:rPr>
              <w:rFonts w:eastAsia="Times New Roman"/>
              <w:b/>
              <w:bCs/>
              <w:sz w:val="20"/>
              <w:szCs w:val="20"/>
            </w:rPr>
            <w:t>8</w:t>
          </w:r>
          <w:r w:rsidRPr="006D7D5C">
            <w:rPr>
              <w:rFonts w:eastAsia="Times New Roman"/>
              <w:sz w:val="20"/>
              <w:szCs w:val="20"/>
            </w:rPr>
            <w:t>, (2021).</w:t>
          </w:r>
        </w:p>
        <w:p w14:paraId="72475A7B" w14:textId="1907CF07" w:rsidR="002142BE" w:rsidRPr="006D7D5C" w:rsidRDefault="002142BE">
          <w:pPr>
            <w:autoSpaceDE w:val="0"/>
            <w:autoSpaceDN w:val="0"/>
            <w:ind w:hanging="640"/>
            <w:divId w:val="1603147762"/>
            <w:rPr>
              <w:rFonts w:eastAsia="Times New Roman"/>
              <w:sz w:val="20"/>
              <w:szCs w:val="20"/>
            </w:rPr>
          </w:pPr>
          <w:r w:rsidRPr="006D7D5C">
            <w:rPr>
              <w:rFonts w:eastAsia="Times New Roman"/>
              <w:sz w:val="20"/>
              <w:szCs w:val="20"/>
            </w:rPr>
            <w:t>9.</w:t>
          </w:r>
          <w:r w:rsidRPr="006D7D5C">
            <w:rPr>
              <w:rFonts w:eastAsia="Times New Roman"/>
              <w:sz w:val="20"/>
              <w:szCs w:val="20"/>
            </w:rPr>
            <w:tab/>
            <w:t>S</w:t>
          </w:r>
          <w:r w:rsidR="00CA1C0A">
            <w:rPr>
              <w:rFonts w:eastAsia="Times New Roman"/>
              <w:sz w:val="20"/>
              <w:szCs w:val="20"/>
            </w:rPr>
            <w:t>töckel</w:t>
          </w:r>
          <w:r w:rsidRPr="006D7D5C">
            <w:rPr>
              <w:rFonts w:eastAsia="Times New Roman"/>
              <w:sz w:val="20"/>
              <w:szCs w:val="20"/>
            </w:rPr>
            <w:t xml:space="preserve">, P. </w:t>
          </w:r>
          <w:r w:rsidRPr="006D7D5C">
            <w:rPr>
              <w:rFonts w:eastAsia="Times New Roman"/>
              <w:i/>
              <w:iCs/>
              <w:sz w:val="20"/>
              <w:szCs w:val="20"/>
            </w:rPr>
            <w:t>et al.</w:t>
          </w:r>
          <w:r w:rsidRPr="006D7D5C">
            <w:rPr>
              <w:rFonts w:eastAsia="Times New Roman"/>
              <w:sz w:val="20"/>
              <w:szCs w:val="20"/>
            </w:rPr>
            <w:t xml:space="preserve"> The Core Subunit Structure in RNA Polymerase Holoenzyme Determined by Neutron Small</w:t>
          </w:r>
          <w:r w:rsidRPr="006D7D5C">
            <w:rPr>
              <w:rFonts w:ascii="Cambria Math" w:eastAsia="Times New Roman" w:hAnsi="Cambria Math" w:cs="Cambria Math"/>
              <w:sz w:val="20"/>
              <w:szCs w:val="20"/>
            </w:rPr>
            <w:t>‐</w:t>
          </w:r>
          <w:r w:rsidRPr="006D7D5C">
            <w:rPr>
              <w:rFonts w:eastAsia="Times New Roman"/>
              <w:sz w:val="20"/>
              <w:szCs w:val="20"/>
            </w:rPr>
            <w:t xml:space="preserve">Angle Scattering. </w:t>
          </w:r>
          <w:r w:rsidRPr="006D7D5C">
            <w:rPr>
              <w:rFonts w:eastAsia="Times New Roman"/>
              <w:i/>
              <w:iCs/>
              <w:sz w:val="20"/>
              <w:szCs w:val="20"/>
            </w:rPr>
            <w:t>Eur J Biochem</w:t>
          </w:r>
          <w:r w:rsidRPr="006D7D5C">
            <w:rPr>
              <w:rFonts w:eastAsia="Times New Roman"/>
              <w:sz w:val="20"/>
              <w:szCs w:val="20"/>
            </w:rPr>
            <w:t xml:space="preserve"> </w:t>
          </w:r>
          <w:r w:rsidRPr="006D7D5C">
            <w:rPr>
              <w:rFonts w:eastAsia="Times New Roman"/>
              <w:b/>
              <w:bCs/>
              <w:sz w:val="20"/>
              <w:szCs w:val="20"/>
            </w:rPr>
            <w:t>112</w:t>
          </w:r>
          <w:r w:rsidRPr="006D7D5C">
            <w:rPr>
              <w:rFonts w:eastAsia="Times New Roman"/>
              <w:sz w:val="20"/>
              <w:szCs w:val="20"/>
            </w:rPr>
            <w:t>, 411–417 (1980).</w:t>
          </w:r>
        </w:p>
        <w:p w14:paraId="366722E9" w14:textId="77777777" w:rsidR="002142BE" w:rsidRPr="006D7D5C" w:rsidRDefault="002142BE">
          <w:pPr>
            <w:autoSpaceDE w:val="0"/>
            <w:autoSpaceDN w:val="0"/>
            <w:ind w:hanging="640"/>
            <w:divId w:val="242419731"/>
            <w:rPr>
              <w:rFonts w:eastAsia="Times New Roman"/>
              <w:sz w:val="20"/>
              <w:szCs w:val="20"/>
            </w:rPr>
          </w:pPr>
          <w:r w:rsidRPr="006D7D5C">
            <w:rPr>
              <w:rFonts w:eastAsia="Times New Roman"/>
              <w:sz w:val="20"/>
              <w:szCs w:val="20"/>
            </w:rPr>
            <w:t>10.</w:t>
          </w:r>
          <w:r w:rsidRPr="006D7D5C">
            <w:rPr>
              <w:rFonts w:eastAsia="Times New Roman"/>
              <w:sz w:val="20"/>
              <w:szCs w:val="20"/>
            </w:rPr>
            <w:tab/>
            <w:t xml:space="preserve">Fritz, G. &amp; Bergmann, A. Interpretation of small-angle scattering data of inhomogeneous ellipsoids. </w:t>
          </w:r>
          <w:r w:rsidRPr="006D7D5C">
            <w:rPr>
              <w:rFonts w:eastAsia="Times New Roman"/>
              <w:i/>
              <w:iCs/>
              <w:sz w:val="20"/>
              <w:szCs w:val="20"/>
            </w:rPr>
            <w:t>urn:issn:0021-8898</w:t>
          </w:r>
          <w:r w:rsidRPr="006D7D5C">
            <w:rPr>
              <w:rFonts w:eastAsia="Times New Roman"/>
              <w:sz w:val="20"/>
              <w:szCs w:val="20"/>
            </w:rPr>
            <w:t xml:space="preserve"> </w:t>
          </w:r>
          <w:r w:rsidRPr="006D7D5C">
            <w:rPr>
              <w:rFonts w:eastAsia="Times New Roman"/>
              <w:b/>
              <w:bCs/>
              <w:sz w:val="20"/>
              <w:szCs w:val="20"/>
            </w:rPr>
            <w:t>37</w:t>
          </w:r>
          <w:r w:rsidRPr="006D7D5C">
            <w:rPr>
              <w:rFonts w:eastAsia="Times New Roman"/>
              <w:sz w:val="20"/>
              <w:szCs w:val="20"/>
            </w:rPr>
            <w:t>, 815–822 (2004).</w:t>
          </w:r>
        </w:p>
        <w:p w14:paraId="2DB312CC" w14:textId="77777777" w:rsidR="002142BE" w:rsidRPr="006D7D5C" w:rsidRDefault="002142BE">
          <w:pPr>
            <w:autoSpaceDE w:val="0"/>
            <w:autoSpaceDN w:val="0"/>
            <w:ind w:hanging="640"/>
            <w:divId w:val="1006976294"/>
            <w:rPr>
              <w:rFonts w:eastAsia="Times New Roman"/>
              <w:sz w:val="20"/>
              <w:szCs w:val="20"/>
            </w:rPr>
          </w:pPr>
          <w:r w:rsidRPr="006D7D5C">
            <w:rPr>
              <w:rFonts w:eastAsia="Times New Roman"/>
              <w:sz w:val="20"/>
              <w:szCs w:val="20"/>
            </w:rPr>
            <w:t>11.</w:t>
          </w:r>
          <w:r w:rsidRPr="006D7D5C">
            <w:rPr>
              <w:rFonts w:eastAsia="Times New Roman"/>
              <w:sz w:val="20"/>
              <w:szCs w:val="20"/>
            </w:rPr>
            <w:tab/>
            <w:t xml:space="preserve">Prehal, C., Koczwara, C., Amenitsch, H., Presser, V. &amp; Paris, O. Salt concentration and charging velocity determine ion charge storage mechanism in nanoporous supercapacitors. </w:t>
          </w:r>
          <w:r w:rsidRPr="006D7D5C">
            <w:rPr>
              <w:rFonts w:eastAsia="Times New Roman"/>
              <w:i/>
              <w:iCs/>
              <w:sz w:val="20"/>
              <w:szCs w:val="20"/>
            </w:rPr>
            <w:t>Nat Commun</w:t>
          </w:r>
          <w:r w:rsidRPr="006D7D5C">
            <w:rPr>
              <w:rFonts w:eastAsia="Times New Roman"/>
              <w:sz w:val="20"/>
              <w:szCs w:val="20"/>
            </w:rPr>
            <w:t xml:space="preserve"> </w:t>
          </w:r>
          <w:r w:rsidRPr="006D7D5C">
            <w:rPr>
              <w:rFonts w:eastAsia="Times New Roman"/>
              <w:b/>
              <w:bCs/>
              <w:sz w:val="20"/>
              <w:szCs w:val="20"/>
            </w:rPr>
            <w:t>9</w:t>
          </w:r>
          <w:r w:rsidRPr="006D7D5C">
            <w:rPr>
              <w:rFonts w:eastAsia="Times New Roman"/>
              <w:sz w:val="20"/>
              <w:szCs w:val="20"/>
            </w:rPr>
            <w:t>, 4145 (2018).</w:t>
          </w:r>
        </w:p>
        <w:p w14:paraId="49E4E0E5" w14:textId="77777777" w:rsidR="002142BE" w:rsidRPr="006D7D5C" w:rsidRDefault="002142BE">
          <w:pPr>
            <w:autoSpaceDE w:val="0"/>
            <w:autoSpaceDN w:val="0"/>
            <w:ind w:hanging="640"/>
            <w:divId w:val="1951401031"/>
            <w:rPr>
              <w:rFonts w:eastAsia="Times New Roman"/>
              <w:sz w:val="20"/>
              <w:szCs w:val="20"/>
            </w:rPr>
          </w:pPr>
          <w:r w:rsidRPr="006D7D5C">
            <w:rPr>
              <w:rFonts w:eastAsia="Times New Roman"/>
              <w:sz w:val="20"/>
              <w:szCs w:val="20"/>
            </w:rPr>
            <w:t>12.</w:t>
          </w:r>
          <w:r w:rsidRPr="006D7D5C">
            <w:rPr>
              <w:rFonts w:eastAsia="Times New Roman"/>
              <w:sz w:val="20"/>
              <w:szCs w:val="20"/>
            </w:rPr>
            <w:tab/>
            <w:t xml:space="preserve">Seyffertitz, M. </w:t>
          </w:r>
          <w:r w:rsidRPr="006D7D5C">
            <w:rPr>
              <w:rFonts w:eastAsia="Times New Roman"/>
              <w:i/>
              <w:iCs/>
              <w:sz w:val="20"/>
              <w:szCs w:val="20"/>
            </w:rPr>
            <w:t>et al.</w:t>
          </w:r>
          <w:r w:rsidRPr="006D7D5C">
            <w:rPr>
              <w:rFonts w:eastAsia="Times New Roman"/>
              <w:sz w:val="20"/>
              <w:szCs w:val="20"/>
            </w:rPr>
            <w:t xml:space="preserve"> Are SAXS and SANS suitable to extract information on the role of water for electric-double-layer formation at the carbon–aqueous-electrolyte interface? </w:t>
          </w:r>
          <w:r w:rsidRPr="006D7D5C">
            <w:rPr>
              <w:rFonts w:eastAsia="Times New Roman"/>
              <w:i/>
              <w:iCs/>
              <w:sz w:val="20"/>
              <w:szCs w:val="20"/>
            </w:rPr>
            <w:t>Faraday Discuss</w:t>
          </w:r>
          <w:r w:rsidRPr="006D7D5C">
            <w:rPr>
              <w:rFonts w:eastAsia="Times New Roman"/>
              <w:sz w:val="20"/>
              <w:szCs w:val="20"/>
            </w:rPr>
            <w:t xml:space="preserve"> </w:t>
          </w:r>
          <w:r w:rsidRPr="006D7D5C">
            <w:rPr>
              <w:rFonts w:eastAsia="Times New Roman"/>
              <w:b/>
              <w:bCs/>
              <w:sz w:val="20"/>
              <w:szCs w:val="20"/>
            </w:rPr>
            <w:t>249</w:t>
          </w:r>
          <w:r w:rsidRPr="006D7D5C">
            <w:rPr>
              <w:rFonts w:eastAsia="Times New Roman"/>
              <w:sz w:val="20"/>
              <w:szCs w:val="20"/>
            </w:rPr>
            <w:t>, 363–380 (2024).</w:t>
          </w:r>
        </w:p>
        <w:p w14:paraId="4F86951E" w14:textId="6C94814A" w:rsidR="00BB0A66" w:rsidRPr="006D7D5C" w:rsidRDefault="002142BE" w:rsidP="000437CD">
          <w:pPr>
            <w:ind w:hanging="640"/>
            <w:jc w:val="both"/>
            <w:rPr>
              <w:rFonts w:eastAsia="Times New Roman"/>
              <w:sz w:val="16"/>
              <w:szCs w:val="16"/>
            </w:rPr>
          </w:pPr>
          <w:r w:rsidRPr="006D7D5C">
            <w:rPr>
              <w:rFonts w:eastAsia="Times New Roman"/>
              <w:sz w:val="20"/>
              <w:szCs w:val="20"/>
            </w:rPr>
            <w:t> </w:t>
          </w:r>
        </w:p>
      </w:sdtContent>
    </w:sdt>
    <w:p w14:paraId="7913844D" w14:textId="77777777" w:rsidR="00BB0A66" w:rsidRPr="00EF794A" w:rsidRDefault="00BB0A66" w:rsidP="000437CD">
      <w:pPr>
        <w:jc w:val="both"/>
        <w:rPr>
          <w:sz w:val="18"/>
          <w:szCs w:val="18"/>
        </w:rPr>
      </w:pPr>
    </w:p>
    <w:sectPr w:rsidR="00BB0A66" w:rsidRPr="00EF794A">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E0C02" w14:textId="77777777" w:rsidR="00E1567B" w:rsidRDefault="00E1567B">
      <w:pPr>
        <w:spacing w:after="0" w:line="240" w:lineRule="auto"/>
      </w:pPr>
      <w:r>
        <w:separator/>
      </w:r>
    </w:p>
  </w:endnote>
  <w:endnote w:type="continuationSeparator" w:id="0">
    <w:p w14:paraId="380E98C5" w14:textId="77777777" w:rsidR="00E1567B" w:rsidRDefault="00E1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F3A3D" w14:textId="77777777" w:rsidR="00E1567B" w:rsidRDefault="00E1567B">
      <w:pPr>
        <w:spacing w:after="0" w:line="240" w:lineRule="auto"/>
      </w:pPr>
      <w:r>
        <w:separator/>
      </w:r>
    </w:p>
  </w:footnote>
  <w:footnote w:type="continuationSeparator" w:id="0">
    <w:p w14:paraId="2E601B28" w14:textId="77777777" w:rsidR="00E1567B" w:rsidRDefault="00E156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A66"/>
    <w:rsid w:val="000168CB"/>
    <w:rsid w:val="00035611"/>
    <w:rsid w:val="000437CD"/>
    <w:rsid w:val="000F292B"/>
    <w:rsid w:val="00131974"/>
    <w:rsid w:val="001967F7"/>
    <w:rsid w:val="001E23B7"/>
    <w:rsid w:val="00211B1B"/>
    <w:rsid w:val="002142BE"/>
    <w:rsid w:val="0021726F"/>
    <w:rsid w:val="00277467"/>
    <w:rsid w:val="002E0239"/>
    <w:rsid w:val="002E428D"/>
    <w:rsid w:val="003015C9"/>
    <w:rsid w:val="003D5609"/>
    <w:rsid w:val="00423571"/>
    <w:rsid w:val="00433F3A"/>
    <w:rsid w:val="00466948"/>
    <w:rsid w:val="00480977"/>
    <w:rsid w:val="004833DF"/>
    <w:rsid w:val="00495258"/>
    <w:rsid w:val="004B12B1"/>
    <w:rsid w:val="004F19A5"/>
    <w:rsid w:val="00550F7D"/>
    <w:rsid w:val="005F4664"/>
    <w:rsid w:val="006A5FA2"/>
    <w:rsid w:val="006D7D5C"/>
    <w:rsid w:val="00747CF6"/>
    <w:rsid w:val="007B14F1"/>
    <w:rsid w:val="008849B6"/>
    <w:rsid w:val="008B4312"/>
    <w:rsid w:val="00950F64"/>
    <w:rsid w:val="0099113E"/>
    <w:rsid w:val="009D2427"/>
    <w:rsid w:val="009D2939"/>
    <w:rsid w:val="00A32A56"/>
    <w:rsid w:val="00A46482"/>
    <w:rsid w:val="00A806DE"/>
    <w:rsid w:val="00A9365C"/>
    <w:rsid w:val="00AC3E35"/>
    <w:rsid w:val="00B70A54"/>
    <w:rsid w:val="00B8771F"/>
    <w:rsid w:val="00BB0A66"/>
    <w:rsid w:val="00CA1C0A"/>
    <w:rsid w:val="00CA7FA5"/>
    <w:rsid w:val="00CB07EF"/>
    <w:rsid w:val="00D54FF8"/>
    <w:rsid w:val="00D61676"/>
    <w:rsid w:val="00DD1465"/>
    <w:rsid w:val="00E1217D"/>
    <w:rsid w:val="00E1567B"/>
    <w:rsid w:val="00E46CFF"/>
    <w:rsid w:val="00E64CD5"/>
    <w:rsid w:val="00EF794A"/>
    <w:rsid w:val="00F35238"/>
    <w:rsid w:val="00F86722"/>
    <w:rsid w:val="00FB765C"/>
    <w:rsid w:val="00FC2F0F"/>
    <w:rsid w:val="00FD44F1"/>
    <w:rsid w:val="00FD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F47B3"/>
  <w15:docId w15:val="{4AB7FCA9-B7A1-48FE-AFDE-ADE92267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1"/>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1"/>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1"/>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1"/>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1"/>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1"/>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1"/>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1"/>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1"/>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GB" w:eastAsia="en-GB"/>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GB" w:eastAsia="en-GB"/>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DefaultParagraphFont"/>
    <w:uiPriority w:val="9"/>
    <w:rPr>
      <w:rFonts w:ascii="Arial" w:eastAsia="Arial" w:hAnsi="Arial" w:cs="Arial"/>
      <w:color w:val="0F4761" w:themeColor="accent1" w:themeShade="BF"/>
      <w:sz w:val="40"/>
      <w:szCs w:val="40"/>
    </w:rPr>
  </w:style>
  <w:style w:type="character" w:customStyle="1" w:styleId="Heading2Char">
    <w:name w:val="Heading 2 Char"/>
    <w:basedOn w:val="DefaultParagraphFont"/>
    <w:uiPriority w:val="9"/>
    <w:rPr>
      <w:rFonts w:ascii="Arial" w:eastAsia="Arial" w:hAnsi="Arial" w:cs="Arial"/>
      <w:color w:val="0F4761" w:themeColor="accent1" w:themeShade="BF"/>
      <w:sz w:val="32"/>
      <w:szCs w:val="32"/>
    </w:rPr>
  </w:style>
  <w:style w:type="character" w:customStyle="1" w:styleId="Heading3Char">
    <w:name w:val="Heading 3 Char"/>
    <w:basedOn w:val="DefaultParagraphFont"/>
    <w:uiPriority w:val="9"/>
    <w:rPr>
      <w:rFonts w:ascii="Arial" w:eastAsia="Arial" w:hAnsi="Arial" w:cs="Arial"/>
      <w:color w:val="0F4761" w:themeColor="accent1" w:themeShade="BF"/>
      <w:sz w:val="28"/>
      <w:szCs w:val="28"/>
    </w:rPr>
  </w:style>
  <w:style w:type="character" w:customStyle="1" w:styleId="Heading4Char">
    <w:name w:val="Heading 4 Char"/>
    <w:basedOn w:val="DefaultParagraphFont"/>
    <w:uiPriority w:val="9"/>
    <w:rPr>
      <w:rFonts w:ascii="Arial" w:eastAsia="Arial" w:hAnsi="Arial" w:cs="Arial"/>
      <w:i/>
      <w:iCs/>
      <w:color w:val="0F4761" w:themeColor="accent1" w:themeShade="BF"/>
    </w:rPr>
  </w:style>
  <w:style w:type="character" w:customStyle="1" w:styleId="Heading5Char">
    <w:name w:val="Heading 5 Char"/>
    <w:basedOn w:val="DefaultParagraphFont"/>
    <w:uiPriority w:val="9"/>
    <w:rPr>
      <w:rFonts w:ascii="Arial" w:eastAsia="Arial" w:hAnsi="Arial" w:cs="Arial"/>
      <w:color w:val="0F4761" w:themeColor="accent1" w:themeShade="BF"/>
    </w:rPr>
  </w:style>
  <w:style w:type="character" w:customStyle="1" w:styleId="Heading6Char">
    <w:name w:val="Heading 6 Char"/>
    <w:basedOn w:val="DefaultParagraphFont"/>
    <w:uiPriority w:val="9"/>
    <w:rPr>
      <w:rFonts w:ascii="Arial" w:eastAsia="Arial" w:hAnsi="Arial" w:cs="Arial"/>
      <w:i/>
      <w:iCs/>
      <w:color w:val="595959" w:themeColor="text1" w:themeTint="A6"/>
    </w:rPr>
  </w:style>
  <w:style w:type="character" w:customStyle="1" w:styleId="Heading7Char">
    <w:name w:val="Heading 7 Char"/>
    <w:basedOn w:val="DefaultParagraphFont"/>
    <w:uiPriority w:val="9"/>
    <w:rPr>
      <w:rFonts w:ascii="Arial" w:eastAsia="Arial" w:hAnsi="Arial" w:cs="Arial"/>
      <w:color w:val="595959" w:themeColor="text1" w:themeTint="A6"/>
    </w:rPr>
  </w:style>
  <w:style w:type="character" w:customStyle="1" w:styleId="Heading8Char">
    <w:name w:val="Heading 8 Char"/>
    <w:basedOn w:val="DefaultParagraphFont"/>
    <w:uiPriority w:val="9"/>
    <w:rPr>
      <w:rFonts w:ascii="Arial" w:eastAsia="Arial" w:hAnsi="Arial" w:cs="Arial"/>
      <w:i/>
      <w:iCs/>
      <w:color w:val="272727" w:themeColor="text1" w:themeTint="D8"/>
    </w:rPr>
  </w:style>
  <w:style w:type="character" w:customStyle="1" w:styleId="Heading9Char">
    <w:name w:val="Heading 9 Char"/>
    <w:basedOn w:val="DefaultParagraphFont"/>
    <w:uiPriority w:val="9"/>
    <w:rPr>
      <w:rFonts w:ascii="Arial" w:eastAsia="Arial" w:hAnsi="Arial" w:cs="Arial"/>
      <w:i/>
      <w:iCs/>
      <w:color w:val="272727" w:themeColor="text1" w:themeTint="D8"/>
    </w:rPr>
  </w:style>
  <w:style w:type="character" w:customStyle="1" w:styleId="TitleChar">
    <w:name w:val="Title Char"/>
    <w:basedOn w:val="DefaultParagraphFont"/>
    <w:uiPriority w:val="10"/>
    <w:rPr>
      <w:rFonts w:ascii="Arial" w:eastAsia="Arial" w:hAnsi="Arial" w:cs="Arial"/>
      <w:spacing w:val="-10"/>
      <w:sz w:val="56"/>
      <w:szCs w:val="56"/>
    </w:rPr>
  </w:style>
  <w:style w:type="character" w:customStyle="1" w:styleId="SubtitleChar">
    <w:name w:val="Subtitle Char"/>
    <w:basedOn w:val="DefaultParagraphFont"/>
    <w:uiPriority w:val="11"/>
    <w:rPr>
      <w:color w:val="595959" w:themeColor="text1" w:themeTint="A6"/>
      <w:spacing w:val="15"/>
      <w:sz w:val="28"/>
      <w:szCs w:val="28"/>
    </w:rPr>
  </w:style>
  <w:style w:type="character" w:customStyle="1" w:styleId="QuoteChar">
    <w:name w:val="Quote Char"/>
    <w:basedOn w:val="DefaultParagraphFont"/>
    <w:uiPriority w:val="29"/>
    <w:rPr>
      <w:i/>
      <w:iCs/>
      <w:color w:val="404040" w:themeColor="text1" w:themeTint="BF"/>
    </w:rPr>
  </w:style>
  <w:style w:type="character" w:customStyle="1" w:styleId="IntenseQuoteChar">
    <w:name w:val="Intense Quote Char"/>
    <w:basedOn w:val="DefaultParagraphFont"/>
    <w:uiPriority w:val="30"/>
    <w:rPr>
      <w:i/>
      <w:iCs/>
      <w:color w:val="0F4761" w:themeColor="accent1" w:themeShade="BF"/>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customStyle="1" w:styleId="Heading1Char1">
    <w:name w:val="Heading 1 Char1"/>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1">
    <w:name w:val="Heading 2 Char1"/>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1">
    <w:name w:val="Heading 3 Char1"/>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1">
    <w:name w:val="Heading 4 Char1"/>
    <w:basedOn w:val="DefaultParagraphFont"/>
    <w:link w:val="Heading4"/>
    <w:uiPriority w:val="9"/>
    <w:semiHidden/>
    <w:rPr>
      <w:rFonts w:eastAsiaTheme="majorEastAsia" w:cstheme="majorBidi"/>
      <w:i/>
      <w:iCs/>
      <w:color w:val="0F4761" w:themeColor="accent1" w:themeShade="BF"/>
    </w:rPr>
  </w:style>
  <w:style w:type="character" w:customStyle="1" w:styleId="Heading5Char1">
    <w:name w:val="Heading 5 Char1"/>
    <w:basedOn w:val="DefaultParagraphFont"/>
    <w:link w:val="Heading5"/>
    <w:uiPriority w:val="9"/>
    <w:semiHidden/>
    <w:rPr>
      <w:rFonts w:eastAsiaTheme="majorEastAsia" w:cstheme="majorBidi"/>
      <w:color w:val="0F4761" w:themeColor="accent1" w:themeShade="BF"/>
    </w:rPr>
  </w:style>
  <w:style w:type="character" w:customStyle="1" w:styleId="Heading6Char1">
    <w:name w:val="Heading 6 Char1"/>
    <w:basedOn w:val="DefaultParagraphFont"/>
    <w:link w:val="Heading6"/>
    <w:uiPriority w:val="9"/>
    <w:semiHidden/>
    <w:rPr>
      <w:rFonts w:eastAsiaTheme="majorEastAsia" w:cstheme="majorBidi"/>
      <w:i/>
      <w:iCs/>
      <w:color w:val="595959" w:themeColor="text1" w:themeTint="A6"/>
    </w:rPr>
  </w:style>
  <w:style w:type="character" w:customStyle="1" w:styleId="Heading7Char1">
    <w:name w:val="Heading 7 Char1"/>
    <w:basedOn w:val="DefaultParagraphFont"/>
    <w:link w:val="Heading7"/>
    <w:uiPriority w:val="9"/>
    <w:semiHidden/>
    <w:rPr>
      <w:rFonts w:eastAsiaTheme="majorEastAsia" w:cstheme="majorBidi"/>
      <w:color w:val="595959" w:themeColor="text1" w:themeTint="A6"/>
    </w:rPr>
  </w:style>
  <w:style w:type="character" w:customStyle="1" w:styleId="Heading8Char1">
    <w:name w:val="Heading 8 Char1"/>
    <w:basedOn w:val="DefaultParagraphFont"/>
    <w:link w:val="Heading8"/>
    <w:uiPriority w:val="9"/>
    <w:semiHidden/>
    <w:rPr>
      <w:rFonts w:eastAsiaTheme="majorEastAsia" w:cstheme="majorBidi"/>
      <w:i/>
      <w:iCs/>
      <w:color w:val="272727" w:themeColor="text1" w:themeTint="D8"/>
    </w:rPr>
  </w:style>
  <w:style w:type="character" w:customStyle="1" w:styleId="Heading9Char1">
    <w:name w:val="Heading 9 Char1"/>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1"/>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1">
    <w:name w:val="Title Char1"/>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1"/>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1"/>
    <w:uiPriority w:val="29"/>
    <w:qFormat/>
    <w:pPr>
      <w:spacing w:before="160"/>
      <w:jc w:val="center"/>
    </w:pPr>
    <w:rPr>
      <w:i/>
      <w:iCs/>
      <w:color w:val="404040" w:themeColor="text1" w:themeTint="BF"/>
    </w:rPr>
  </w:style>
  <w:style w:type="character" w:customStyle="1" w:styleId="QuoteChar1">
    <w:name w:val="Quote Char1"/>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styleId="Revision">
    <w:name w:val="Revision"/>
    <w:hidden/>
    <w:uiPriority w:val="99"/>
    <w:semiHidden/>
    <w:pPr>
      <w:spacing w:after="0" w:line="240" w:lineRule="auto"/>
    </w:pPr>
    <w:rPr>
      <w:lang w:val="en-GB"/>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905435">
      <w:bodyDiv w:val="1"/>
      <w:marLeft w:val="0"/>
      <w:marRight w:val="0"/>
      <w:marTop w:val="0"/>
      <w:marBottom w:val="0"/>
      <w:divBdr>
        <w:top w:val="none" w:sz="0" w:space="0" w:color="auto"/>
        <w:left w:val="none" w:sz="0" w:space="0" w:color="auto"/>
        <w:bottom w:val="none" w:sz="0" w:space="0" w:color="auto"/>
        <w:right w:val="none" w:sz="0" w:space="0" w:color="auto"/>
      </w:divBdr>
      <w:divsChild>
        <w:div w:id="1050883358">
          <w:marLeft w:val="640"/>
          <w:marRight w:val="0"/>
          <w:marTop w:val="0"/>
          <w:marBottom w:val="0"/>
          <w:divBdr>
            <w:top w:val="none" w:sz="0" w:space="0" w:color="auto"/>
            <w:left w:val="none" w:sz="0" w:space="0" w:color="auto"/>
            <w:bottom w:val="none" w:sz="0" w:space="0" w:color="auto"/>
            <w:right w:val="none" w:sz="0" w:space="0" w:color="auto"/>
          </w:divBdr>
        </w:div>
        <w:div w:id="845561408">
          <w:marLeft w:val="640"/>
          <w:marRight w:val="0"/>
          <w:marTop w:val="0"/>
          <w:marBottom w:val="0"/>
          <w:divBdr>
            <w:top w:val="none" w:sz="0" w:space="0" w:color="auto"/>
            <w:left w:val="none" w:sz="0" w:space="0" w:color="auto"/>
            <w:bottom w:val="none" w:sz="0" w:space="0" w:color="auto"/>
            <w:right w:val="none" w:sz="0" w:space="0" w:color="auto"/>
          </w:divBdr>
        </w:div>
        <w:div w:id="829832431">
          <w:marLeft w:val="640"/>
          <w:marRight w:val="0"/>
          <w:marTop w:val="0"/>
          <w:marBottom w:val="0"/>
          <w:divBdr>
            <w:top w:val="none" w:sz="0" w:space="0" w:color="auto"/>
            <w:left w:val="none" w:sz="0" w:space="0" w:color="auto"/>
            <w:bottom w:val="none" w:sz="0" w:space="0" w:color="auto"/>
            <w:right w:val="none" w:sz="0" w:space="0" w:color="auto"/>
          </w:divBdr>
        </w:div>
        <w:div w:id="1097020395">
          <w:marLeft w:val="640"/>
          <w:marRight w:val="0"/>
          <w:marTop w:val="0"/>
          <w:marBottom w:val="0"/>
          <w:divBdr>
            <w:top w:val="none" w:sz="0" w:space="0" w:color="auto"/>
            <w:left w:val="none" w:sz="0" w:space="0" w:color="auto"/>
            <w:bottom w:val="none" w:sz="0" w:space="0" w:color="auto"/>
            <w:right w:val="none" w:sz="0" w:space="0" w:color="auto"/>
          </w:divBdr>
        </w:div>
        <w:div w:id="734203326">
          <w:marLeft w:val="640"/>
          <w:marRight w:val="0"/>
          <w:marTop w:val="0"/>
          <w:marBottom w:val="0"/>
          <w:divBdr>
            <w:top w:val="none" w:sz="0" w:space="0" w:color="auto"/>
            <w:left w:val="none" w:sz="0" w:space="0" w:color="auto"/>
            <w:bottom w:val="none" w:sz="0" w:space="0" w:color="auto"/>
            <w:right w:val="none" w:sz="0" w:space="0" w:color="auto"/>
          </w:divBdr>
        </w:div>
        <w:div w:id="525681362">
          <w:marLeft w:val="640"/>
          <w:marRight w:val="0"/>
          <w:marTop w:val="0"/>
          <w:marBottom w:val="0"/>
          <w:divBdr>
            <w:top w:val="none" w:sz="0" w:space="0" w:color="auto"/>
            <w:left w:val="none" w:sz="0" w:space="0" w:color="auto"/>
            <w:bottom w:val="none" w:sz="0" w:space="0" w:color="auto"/>
            <w:right w:val="none" w:sz="0" w:space="0" w:color="auto"/>
          </w:divBdr>
        </w:div>
        <w:div w:id="1927300590">
          <w:marLeft w:val="640"/>
          <w:marRight w:val="0"/>
          <w:marTop w:val="0"/>
          <w:marBottom w:val="0"/>
          <w:divBdr>
            <w:top w:val="none" w:sz="0" w:space="0" w:color="auto"/>
            <w:left w:val="none" w:sz="0" w:space="0" w:color="auto"/>
            <w:bottom w:val="none" w:sz="0" w:space="0" w:color="auto"/>
            <w:right w:val="none" w:sz="0" w:space="0" w:color="auto"/>
          </w:divBdr>
        </w:div>
        <w:div w:id="314142281">
          <w:marLeft w:val="640"/>
          <w:marRight w:val="0"/>
          <w:marTop w:val="0"/>
          <w:marBottom w:val="0"/>
          <w:divBdr>
            <w:top w:val="none" w:sz="0" w:space="0" w:color="auto"/>
            <w:left w:val="none" w:sz="0" w:space="0" w:color="auto"/>
            <w:bottom w:val="none" w:sz="0" w:space="0" w:color="auto"/>
            <w:right w:val="none" w:sz="0" w:space="0" w:color="auto"/>
          </w:divBdr>
        </w:div>
        <w:div w:id="1686593914">
          <w:marLeft w:val="640"/>
          <w:marRight w:val="0"/>
          <w:marTop w:val="0"/>
          <w:marBottom w:val="0"/>
          <w:divBdr>
            <w:top w:val="none" w:sz="0" w:space="0" w:color="auto"/>
            <w:left w:val="none" w:sz="0" w:space="0" w:color="auto"/>
            <w:bottom w:val="none" w:sz="0" w:space="0" w:color="auto"/>
            <w:right w:val="none" w:sz="0" w:space="0" w:color="auto"/>
          </w:divBdr>
        </w:div>
        <w:div w:id="1534540269">
          <w:marLeft w:val="640"/>
          <w:marRight w:val="0"/>
          <w:marTop w:val="0"/>
          <w:marBottom w:val="0"/>
          <w:divBdr>
            <w:top w:val="none" w:sz="0" w:space="0" w:color="auto"/>
            <w:left w:val="none" w:sz="0" w:space="0" w:color="auto"/>
            <w:bottom w:val="none" w:sz="0" w:space="0" w:color="auto"/>
            <w:right w:val="none" w:sz="0" w:space="0" w:color="auto"/>
          </w:divBdr>
        </w:div>
        <w:div w:id="2115661923">
          <w:marLeft w:val="640"/>
          <w:marRight w:val="0"/>
          <w:marTop w:val="0"/>
          <w:marBottom w:val="0"/>
          <w:divBdr>
            <w:top w:val="none" w:sz="0" w:space="0" w:color="auto"/>
            <w:left w:val="none" w:sz="0" w:space="0" w:color="auto"/>
            <w:bottom w:val="none" w:sz="0" w:space="0" w:color="auto"/>
            <w:right w:val="none" w:sz="0" w:space="0" w:color="auto"/>
          </w:divBdr>
        </w:div>
      </w:divsChild>
    </w:div>
    <w:div w:id="674693827">
      <w:bodyDiv w:val="1"/>
      <w:marLeft w:val="0"/>
      <w:marRight w:val="0"/>
      <w:marTop w:val="0"/>
      <w:marBottom w:val="0"/>
      <w:divBdr>
        <w:top w:val="none" w:sz="0" w:space="0" w:color="auto"/>
        <w:left w:val="none" w:sz="0" w:space="0" w:color="auto"/>
        <w:bottom w:val="none" w:sz="0" w:space="0" w:color="auto"/>
        <w:right w:val="none" w:sz="0" w:space="0" w:color="auto"/>
      </w:divBdr>
      <w:divsChild>
        <w:div w:id="1889487160">
          <w:marLeft w:val="640"/>
          <w:marRight w:val="0"/>
          <w:marTop w:val="0"/>
          <w:marBottom w:val="0"/>
          <w:divBdr>
            <w:top w:val="none" w:sz="0" w:space="0" w:color="auto"/>
            <w:left w:val="none" w:sz="0" w:space="0" w:color="auto"/>
            <w:bottom w:val="none" w:sz="0" w:space="0" w:color="auto"/>
            <w:right w:val="none" w:sz="0" w:space="0" w:color="auto"/>
          </w:divBdr>
        </w:div>
        <w:div w:id="1320384614">
          <w:marLeft w:val="640"/>
          <w:marRight w:val="0"/>
          <w:marTop w:val="0"/>
          <w:marBottom w:val="0"/>
          <w:divBdr>
            <w:top w:val="none" w:sz="0" w:space="0" w:color="auto"/>
            <w:left w:val="none" w:sz="0" w:space="0" w:color="auto"/>
            <w:bottom w:val="none" w:sz="0" w:space="0" w:color="auto"/>
            <w:right w:val="none" w:sz="0" w:space="0" w:color="auto"/>
          </w:divBdr>
        </w:div>
        <w:div w:id="1428622569">
          <w:marLeft w:val="640"/>
          <w:marRight w:val="0"/>
          <w:marTop w:val="0"/>
          <w:marBottom w:val="0"/>
          <w:divBdr>
            <w:top w:val="none" w:sz="0" w:space="0" w:color="auto"/>
            <w:left w:val="none" w:sz="0" w:space="0" w:color="auto"/>
            <w:bottom w:val="none" w:sz="0" w:space="0" w:color="auto"/>
            <w:right w:val="none" w:sz="0" w:space="0" w:color="auto"/>
          </w:divBdr>
        </w:div>
        <w:div w:id="434983704">
          <w:marLeft w:val="640"/>
          <w:marRight w:val="0"/>
          <w:marTop w:val="0"/>
          <w:marBottom w:val="0"/>
          <w:divBdr>
            <w:top w:val="none" w:sz="0" w:space="0" w:color="auto"/>
            <w:left w:val="none" w:sz="0" w:space="0" w:color="auto"/>
            <w:bottom w:val="none" w:sz="0" w:space="0" w:color="auto"/>
            <w:right w:val="none" w:sz="0" w:space="0" w:color="auto"/>
          </w:divBdr>
        </w:div>
        <w:div w:id="360478108">
          <w:marLeft w:val="640"/>
          <w:marRight w:val="0"/>
          <w:marTop w:val="0"/>
          <w:marBottom w:val="0"/>
          <w:divBdr>
            <w:top w:val="none" w:sz="0" w:space="0" w:color="auto"/>
            <w:left w:val="none" w:sz="0" w:space="0" w:color="auto"/>
            <w:bottom w:val="none" w:sz="0" w:space="0" w:color="auto"/>
            <w:right w:val="none" w:sz="0" w:space="0" w:color="auto"/>
          </w:divBdr>
        </w:div>
        <w:div w:id="303244769">
          <w:marLeft w:val="640"/>
          <w:marRight w:val="0"/>
          <w:marTop w:val="0"/>
          <w:marBottom w:val="0"/>
          <w:divBdr>
            <w:top w:val="none" w:sz="0" w:space="0" w:color="auto"/>
            <w:left w:val="none" w:sz="0" w:space="0" w:color="auto"/>
            <w:bottom w:val="none" w:sz="0" w:space="0" w:color="auto"/>
            <w:right w:val="none" w:sz="0" w:space="0" w:color="auto"/>
          </w:divBdr>
        </w:div>
        <w:div w:id="1695691748">
          <w:marLeft w:val="640"/>
          <w:marRight w:val="0"/>
          <w:marTop w:val="0"/>
          <w:marBottom w:val="0"/>
          <w:divBdr>
            <w:top w:val="none" w:sz="0" w:space="0" w:color="auto"/>
            <w:left w:val="none" w:sz="0" w:space="0" w:color="auto"/>
            <w:bottom w:val="none" w:sz="0" w:space="0" w:color="auto"/>
            <w:right w:val="none" w:sz="0" w:space="0" w:color="auto"/>
          </w:divBdr>
        </w:div>
        <w:div w:id="674455990">
          <w:marLeft w:val="640"/>
          <w:marRight w:val="0"/>
          <w:marTop w:val="0"/>
          <w:marBottom w:val="0"/>
          <w:divBdr>
            <w:top w:val="none" w:sz="0" w:space="0" w:color="auto"/>
            <w:left w:val="none" w:sz="0" w:space="0" w:color="auto"/>
            <w:bottom w:val="none" w:sz="0" w:space="0" w:color="auto"/>
            <w:right w:val="none" w:sz="0" w:space="0" w:color="auto"/>
          </w:divBdr>
        </w:div>
        <w:div w:id="215434548">
          <w:marLeft w:val="640"/>
          <w:marRight w:val="0"/>
          <w:marTop w:val="0"/>
          <w:marBottom w:val="0"/>
          <w:divBdr>
            <w:top w:val="none" w:sz="0" w:space="0" w:color="auto"/>
            <w:left w:val="none" w:sz="0" w:space="0" w:color="auto"/>
            <w:bottom w:val="none" w:sz="0" w:space="0" w:color="auto"/>
            <w:right w:val="none" w:sz="0" w:space="0" w:color="auto"/>
          </w:divBdr>
        </w:div>
        <w:div w:id="1824422776">
          <w:marLeft w:val="640"/>
          <w:marRight w:val="0"/>
          <w:marTop w:val="0"/>
          <w:marBottom w:val="0"/>
          <w:divBdr>
            <w:top w:val="none" w:sz="0" w:space="0" w:color="auto"/>
            <w:left w:val="none" w:sz="0" w:space="0" w:color="auto"/>
            <w:bottom w:val="none" w:sz="0" w:space="0" w:color="auto"/>
            <w:right w:val="none" w:sz="0" w:space="0" w:color="auto"/>
          </w:divBdr>
        </w:div>
        <w:div w:id="946155681">
          <w:marLeft w:val="640"/>
          <w:marRight w:val="0"/>
          <w:marTop w:val="0"/>
          <w:marBottom w:val="0"/>
          <w:divBdr>
            <w:top w:val="none" w:sz="0" w:space="0" w:color="auto"/>
            <w:left w:val="none" w:sz="0" w:space="0" w:color="auto"/>
            <w:bottom w:val="none" w:sz="0" w:space="0" w:color="auto"/>
            <w:right w:val="none" w:sz="0" w:space="0" w:color="auto"/>
          </w:divBdr>
        </w:div>
      </w:divsChild>
    </w:div>
    <w:div w:id="733047590">
      <w:bodyDiv w:val="1"/>
      <w:marLeft w:val="0"/>
      <w:marRight w:val="0"/>
      <w:marTop w:val="0"/>
      <w:marBottom w:val="0"/>
      <w:divBdr>
        <w:top w:val="none" w:sz="0" w:space="0" w:color="auto"/>
        <w:left w:val="none" w:sz="0" w:space="0" w:color="auto"/>
        <w:bottom w:val="none" w:sz="0" w:space="0" w:color="auto"/>
        <w:right w:val="none" w:sz="0" w:space="0" w:color="auto"/>
      </w:divBdr>
      <w:divsChild>
        <w:div w:id="1606036430">
          <w:marLeft w:val="640"/>
          <w:marRight w:val="0"/>
          <w:marTop w:val="0"/>
          <w:marBottom w:val="0"/>
          <w:divBdr>
            <w:top w:val="none" w:sz="0" w:space="0" w:color="auto"/>
            <w:left w:val="none" w:sz="0" w:space="0" w:color="auto"/>
            <w:bottom w:val="none" w:sz="0" w:space="0" w:color="auto"/>
            <w:right w:val="none" w:sz="0" w:space="0" w:color="auto"/>
          </w:divBdr>
        </w:div>
        <w:div w:id="1642538496">
          <w:marLeft w:val="640"/>
          <w:marRight w:val="0"/>
          <w:marTop w:val="0"/>
          <w:marBottom w:val="0"/>
          <w:divBdr>
            <w:top w:val="none" w:sz="0" w:space="0" w:color="auto"/>
            <w:left w:val="none" w:sz="0" w:space="0" w:color="auto"/>
            <w:bottom w:val="none" w:sz="0" w:space="0" w:color="auto"/>
            <w:right w:val="none" w:sz="0" w:space="0" w:color="auto"/>
          </w:divBdr>
        </w:div>
        <w:div w:id="75442245">
          <w:marLeft w:val="640"/>
          <w:marRight w:val="0"/>
          <w:marTop w:val="0"/>
          <w:marBottom w:val="0"/>
          <w:divBdr>
            <w:top w:val="none" w:sz="0" w:space="0" w:color="auto"/>
            <w:left w:val="none" w:sz="0" w:space="0" w:color="auto"/>
            <w:bottom w:val="none" w:sz="0" w:space="0" w:color="auto"/>
            <w:right w:val="none" w:sz="0" w:space="0" w:color="auto"/>
          </w:divBdr>
        </w:div>
        <w:div w:id="360671470">
          <w:marLeft w:val="640"/>
          <w:marRight w:val="0"/>
          <w:marTop w:val="0"/>
          <w:marBottom w:val="0"/>
          <w:divBdr>
            <w:top w:val="none" w:sz="0" w:space="0" w:color="auto"/>
            <w:left w:val="none" w:sz="0" w:space="0" w:color="auto"/>
            <w:bottom w:val="none" w:sz="0" w:space="0" w:color="auto"/>
            <w:right w:val="none" w:sz="0" w:space="0" w:color="auto"/>
          </w:divBdr>
        </w:div>
        <w:div w:id="495147007">
          <w:marLeft w:val="640"/>
          <w:marRight w:val="0"/>
          <w:marTop w:val="0"/>
          <w:marBottom w:val="0"/>
          <w:divBdr>
            <w:top w:val="none" w:sz="0" w:space="0" w:color="auto"/>
            <w:left w:val="none" w:sz="0" w:space="0" w:color="auto"/>
            <w:bottom w:val="none" w:sz="0" w:space="0" w:color="auto"/>
            <w:right w:val="none" w:sz="0" w:space="0" w:color="auto"/>
          </w:divBdr>
        </w:div>
        <w:div w:id="1216510190">
          <w:marLeft w:val="640"/>
          <w:marRight w:val="0"/>
          <w:marTop w:val="0"/>
          <w:marBottom w:val="0"/>
          <w:divBdr>
            <w:top w:val="none" w:sz="0" w:space="0" w:color="auto"/>
            <w:left w:val="none" w:sz="0" w:space="0" w:color="auto"/>
            <w:bottom w:val="none" w:sz="0" w:space="0" w:color="auto"/>
            <w:right w:val="none" w:sz="0" w:space="0" w:color="auto"/>
          </w:divBdr>
        </w:div>
        <w:div w:id="2046174144">
          <w:marLeft w:val="640"/>
          <w:marRight w:val="0"/>
          <w:marTop w:val="0"/>
          <w:marBottom w:val="0"/>
          <w:divBdr>
            <w:top w:val="none" w:sz="0" w:space="0" w:color="auto"/>
            <w:left w:val="none" w:sz="0" w:space="0" w:color="auto"/>
            <w:bottom w:val="none" w:sz="0" w:space="0" w:color="auto"/>
            <w:right w:val="none" w:sz="0" w:space="0" w:color="auto"/>
          </w:divBdr>
        </w:div>
        <w:div w:id="715011789">
          <w:marLeft w:val="640"/>
          <w:marRight w:val="0"/>
          <w:marTop w:val="0"/>
          <w:marBottom w:val="0"/>
          <w:divBdr>
            <w:top w:val="none" w:sz="0" w:space="0" w:color="auto"/>
            <w:left w:val="none" w:sz="0" w:space="0" w:color="auto"/>
            <w:bottom w:val="none" w:sz="0" w:space="0" w:color="auto"/>
            <w:right w:val="none" w:sz="0" w:space="0" w:color="auto"/>
          </w:divBdr>
        </w:div>
        <w:div w:id="1956595474">
          <w:marLeft w:val="640"/>
          <w:marRight w:val="0"/>
          <w:marTop w:val="0"/>
          <w:marBottom w:val="0"/>
          <w:divBdr>
            <w:top w:val="none" w:sz="0" w:space="0" w:color="auto"/>
            <w:left w:val="none" w:sz="0" w:space="0" w:color="auto"/>
            <w:bottom w:val="none" w:sz="0" w:space="0" w:color="auto"/>
            <w:right w:val="none" w:sz="0" w:space="0" w:color="auto"/>
          </w:divBdr>
        </w:div>
        <w:div w:id="2074693147">
          <w:marLeft w:val="640"/>
          <w:marRight w:val="0"/>
          <w:marTop w:val="0"/>
          <w:marBottom w:val="0"/>
          <w:divBdr>
            <w:top w:val="none" w:sz="0" w:space="0" w:color="auto"/>
            <w:left w:val="none" w:sz="0" w:space="0" w:color="auto"/>
            <w:bottom w:val="none" w:sz="0" w:space="0" w:color="auto"/>
            <w:right w:val="none" w:sz="0" w:space="0" w:color="auto"/>
          </w:divBdr>
        </w:div>
        <w:div w:id="583880795">
          <w:marLeft w:val="640"/>
          <w:marRight w:val="0"/>
          <w:marTop w:val="0"/>
          <w:marBottom w:val="0"/>
          <w:divBdr>
            <w:top w:val="none" w:sz="0" w:space="0" w:color="auto"/>
            <w:left w:val="none" w:sz="0" w:space="0" w:color="auto"/>
            <w:bottom w:val="none" w:sz="0" w:space="0" w:color="auto"/>
            <w:right w:val="none" w:sz="0" w:space="0" w:color="auto"/>
          </w:divBdr>
        </w:div>
      </w:divsChild>
    </w:div>
    <w:div w:id="1026714159">
      <w:bodyDiv w:val="1"/>
      <w:marLeft w:val="0"/>
      <w:marRight w:val="0"/>
      <w:marTop w:val="0"/>
      <w:marBottom w:val="0"/>
      <w:divBdr>
        <w:top w:val="none" w:sz="0" w:space="0" w:color="auto"/>
        <w:left w:val="none" w:sz="0" w:space="0" w:color="auto"/>
        <w:bottom w:val="none" w:sz="0" w:space="0" w:color="auto"/>
        <w:right w:val="none" w:sz="0" w:space="0" w:color="auto"/>
      </w:divBdr>
      <w:divsChild>
        <w:div w:id="1091897142">
          <w:marLeft w:val="640"/>
          <w:marRight w:val="0"/>
          <w:marTop w:val="0"/>
          <w:marBottom w:val="0"/>
          <w:divBdr>
            <w:top w:val="none" w:sz="0" w:space="0" w:color="auto"/>
            <w:left w:val="none" w:sz="0" w:space="0" w:color="auto"/>
            <w:bottom w:val="none" w:sz="0" w:space="0" w:color="auto"/>
            <w:right w:val="none" w:sz="0" w:space="0" w:color="auto"/>
          </w:divBdr>
        </w:div>
        <w:div w:id="449126143">
          <w:marLeft w:val="640"/>
          <w:marRight w:val="0"/>
          <w:marTop w:val="0"/>
          <w:marBottom w:val="0"/>
          <w:divBdr>
            <w:top w:val="none" w:sz="0" w:space="0" w:color="auto"/>
            <w:left w:val="none" w:sz="0" w:space="0" w:color="auto"/>
            <w:bottom w:val="none" w:sz="0" w:space="0" w:color="auto"/>
            <w:right w:val="none" w:sz="0" w:space="0" w:color="auto"/>
          </w:divBdr>
        </w:div>
        <w:div w:id="48652567">
          <w:marLeft w:val="640"/>
          <w:marRight w:val="0"/>
          <w:marTop w:val="0"/>
          <w:marBottom w:val="0"/>
          <w:divBdr>
            <w:top w:val="none" w:sz="0" w:space="0" w:color="auto"/>
            <w:left w:val="none" w:sz="0" w:space="0" w:color="auto"/>
            <w:bottom w:val="none" w:sz="0" w:space="0" w:color="auto"/>
            <w:right w:val="none" w:sz="0" w:space="0" w:color="auto"/>
          </w:divBdr>
        </w:div>
        <w:div w:id="1583954046">
          <w:marLeft w:val="640"/>
          <w:marRight w:val="0"/>
          <w:marTop w:val="0"/>
          <w:marBottom w:val="0"/>
          <w:divBdr>
            <w:top w:val="none" w:sz="0" w:space="0" w:color="auto"/>
            <w:left w:val="none" w:sz="0" w:space="0" w:color="auto"/>
            <w:bottom w:val="none" w:sz="0" w:space="0" w:color="auto"/>
            <w:right w:val="none" w:sz="0" w:space="0" w:color="auto"/>
          </w:divBdr>
        </w:div>
        <w:div w:id="1380202335">
          <w:marLeft w:val="640"/>
          <w:marRight w:val="0"/>
          <w:marTop w:val="0"/>
          <w:marBottom w:val="0"/>
          <w:divBdr>
            <w:top w:val="none" w:sz="0" w:space="0" w:color="auto"/>
            <w:left w:val="none" w:sz="0" w:space="0" w:color="auto"/>
            <w:bottom w:val="none" w:sz="0" w:space="0" w:color="auto"/>
            <w:right w:val="none" w:sz="0" w:space="0" w:color="auto"/>
          </w:divBdr>
        </w:div>
        <w:div w:id="318536291">
          <w:marLeft w:val="640"/>
          <w:marRight w:val="0"/>
          <w:marTop w:val="0"/>
          <w:marBottom w:val="0"/>
          <w:divBdr>
            <w:top w:val="none" w:sz="0" w:space="0" w:color="auto"/>
            <w:left w:val="none" w:sz="0" w:space="0" w:color="auto"/>
            <w:bottom w:val="none" w:sz="0" w:space="0" w:color="auto"/>
            <w:right w:val="none" w:sz="0" w:space="0" w:color="auto"/>
          </w:divBdr>
        </w:div>
        <w:div w:id="1385442429">
          <w:marLeft w:val="640"/>
          <w:marRight w:val="0"/>
          <w:marTop w:val="0"/>
          <w:marBottom w:val="0"/>
          <w:divBdr>
            <w:top w:val="none" w:sz="0" w:space="0" w:color="auto"/>
            <w:left w:val="none" w:sz="0" w:space="0" w:color="auto"/>
            <w:bottom w:val="none" w:sz="0" w:space="0" w:color="auto"/>
            <w:right w:val="none" w:sz="0" w:space="0" w:color="auto"/>
          </w:divBdr>
        </w:div>
        <w:div w:id="1875578317">
          <w:marLeft w:val="640"/>
          <w:marRight w:val="0"/>
          <w:marTop w:val="0"/>
          <w:marBottom w:val="0"/>
          <w:divBdr>
            <w:top w:val="none" w:sz="0" w:space="0" w:color="auto"/>
            <w:left w:val="none" w:sz="0" w:space="0" w:color="auto"/>
            <w:bottom w:val="none" w:sz="0" w:space="0" w:color="auto"/>
            <w:right w:val="none" w:sz="0" w:space="0" w:color="auto"/>
          </w:divBdr>
        </w:div>
        <w:div w:id="1468663313">
          <w:marLeft w:val="640"/>
          <w:marRight w:val="0"/>
          <w:marTop w:val="0"/>
          <w:marBottom w:val="0"/>
          <w:divBdr>
            <w:top w:val="none" w:sz="0" w:space="0" w:color="auto"/>
            <w:left w:val="none" w:sz="0" w:space="0" w:color="auto"/>
            <w:bottom w:val="none" w:sz="0" w:space="0" w:color="auto"/>
            <w:right w:val="none" w:sz="0" w:space="0" w:color="auto"/>
          </w:divBdr>
        </w:div>
        <w:div w:id="20476034">
          <w:marLeft w:val="640"/>
          <w:marRight w:val="0"/>
          <w:marTop w:val="0"/>
          <w:marBottom w:val="0"/>
          <w:divBdr>
            <w:top w:val="none" w:sz="0" w:space="0" w:color="auto"/>
            <w:left w:val="none" w:sz="0" w:space="0" w:color="auto"/>
            <w:bottom w:val="none" w:sz="0" w:space="0" w:color="auto"/>
            <w:right w:val="none" w:sz="0" w:space="0" w:color="auto"/>
          </w:divBdr>
        </w:div>
        <w:div w:id="1096705301">
          <w:marLeft w:val="640"/>
          <w:marRight w:val="0"/>
          <w:marTop w:val="0"/>
          <w:marBottom w:val="0"/>
          <w:divBdr>
            <w:top w:val="none" w:sz="0" w:space="0" w:color="auto"/>
            <w:left w:val="none" w:sz="0" w:space="0" w:color="auto"/>
            <w:bottom w:val="none" w:sz="0" w:space="0" w:color="auto"/>
            <w:right w:val="none" w:sz="0" w:space="0" w:color="auto"/>
          </w:divBdr>
        </w:div>
      </w:divsChild>
    </w:div>
    <w:div w:id="1101606744">
      <w:bodyDiv w:val="1"/>
      <w:marLeft w:val="0"/>
      <w:marRight w:val="0"/>
      <w:marTop w:val="0"/>
      <w:marBottom w:val="0"/>
      <w:divBdr>
        <w:top w:val="none" w:sz="0" w:space="0" w:color="auto"/>
        <w:left w:val="none" w:sz="0" w:space="0" w:color="auto"/>
        <w:bottom w:val="none" w:sz="0" w:space="0" w:color="auto"/>
        <w:right w:val="none" w:sz="0" w:space="0" w:color="auto"/>
      </w:divBdr>
      <w:divsChild>
        <w:div w:id="1595701343">
          <w:marLeft w:val="640"/>
          <w:marRight w:val="0"/>
          <w:marTop w:val="0"/>
          <w:marBottom w:val="0"/>
          <w:divBdr>
            <w:top w:val="none" w:sz="0" w:space="0" w:color="auto"/>
            <w:left w:val="none" w:sz="0" w:space="0" w:color="auto"/>
            <w:bottom w:val="none" w:sz="0" w:space="0" w:color="auto"/>
            <w:right w:val="none" w:sz="0" w:space="0" w:color="auto"/>
          </w:divBdr>
        </w:div>
        <w:div w:id="975599274">
          <w:marLeft w:val="640"/>
          <w:marRight w:val="0"/>
          <w:marTop w:val="0"/>
          <w:marBottom w:val="0"/>
          <w:divBdr>
            <w:top w:val="none" w:sz="0" w:space="0" w:color="auto"/>
            <w:left w:val="none" w:sz="0" w:space="0" w:color="auto"/>
            <w:bottom w:val="none" w:sz="0" w:space="0" w:color="auto"/>
            <w:right w:val="none" w:sz="0" w:space="0" w:color="auto"/>
          </w:divBdr>
        </w:div>
        <w:div w:id="706641766">
          <w:marLeft w:val="640"/>
          <w:marRight w:val="0"/>
          <w:marTop w:val="0"/>
          <w:marBottom w:val="0"/>
          <w:divBdr>
            <w:top w:val="none" w:sz="0" w:space="0" w:color="auto"/>
            <w:left w:val="none" w:sz="0" w:space="0" w:color="auto"/>
            <w:bottom w:val="none" w:sz="0" w:space="0" w:color="auto"/>
            <w:right w:val="none" w:sz="0" w:space="0" w:color="auto"/>
          </w:divBdr>
        </w:div>
        <w:div w:id="856889363">
          <w:marLeft w:val="640"/>
          <w:marRight w:val="0"/>
          <w:marTop w:val="0"/>
          <w:marBottom w:val="0"/>
          <w:divBdr>
            <w:top w:val="none" w:sz="0" w:space="0" w:color="auto"/>
            <w:left w:val="none" w:sz="0" w:space="0" w:color="auto"/>
            <w:bottom w:val="none" w:sz="0" w:space="0" w:color="auto"/>
            <w:right w:val="none" w:sz="0" w:space="0" w:color="auto"/>
          </w:divBdr>
        </w:div>
        <w:div w:id="919756768">
          <w:marLeft w:val="640"/>
          <w:marRight w:val="0"/>
          <w:marTop w:val="0"/>
          <w:marBottom w:val="0"/>
          <w:divBdr>
            <w:top w:val="none" w:sz="0" w:space="0" w:color="auto"/>
            <w:left w:val="none" w:sz="0" w:space="0" w:color="auto"/>
            <w:bottom w:val="none" w:sz="0" w:space="0" w:color="auto"/>
            <w:right w:val="none" w:sz="0" w:space="0" w:color="auto"/>
          </w:divBdr>
        </w:div>
        <w:div w:id="1824354301">
          <w:marLeft w:val="640"/>
          <w:marRight w:val="0"/>
          <w:marTop w:val="0"/>
          <w:marBottom w:val="0"/>
          <w:divBdr>
            <w:top w:val="none" w:sz="0" w:space="0" w:color="auto"/>
            <w:left w:val="none" w:sz="0" w:space="0" w:color="auto"/>
            <w:bottom w:val="none" w:sz="0" w:space="0" w:color="auto"/>
            <w:right w:val="none" w:sz="0" w:space="0" w:color="auto"/>
          </w:divBdr>
        </w:div>
        <w:div w:id="996542113">
          <w:marLeft w:val="640"/>
          <w:marRight w:val="0"/>
          <w:marTop w:val="0"/>
          <w:marBottom w:val="0"/>
          <w:divBdr>
            <w:top w:val="none" w:sz="0" w:space="0" w:color="auto"/>
            <w:left w:val="none" w:sz="0" w:space="0" w:color="auto"/>
            <w:bottom w:val="none" w:sz="0" w:space="0" w:color="auto"/>
            <w:right w:val="none" w:sz="0" w:space="0" w:color="auto"/>
          </w:divBdr>
        </w:div>
        <w:div w:id="1031960204">
          <w:marLeft w:val="640"/>
          <w:marRight w:val="0"/>
          <w:marTop w:val="0"/>
          <w:marBottom w:val="0"/>
          <w:divBdr>
            <w:top w:val="none" w:sz="0" w:space="0" w:color="auto"/>
            <w:left w:val="none" w:sz="0" w:space="0" w:color="auto"/>
            <w:bottom w:val="none" w:sz="0" w:space="0" w:color="auto"/>
            <w:right w:val="none" w:sz="0" w:space="0" w:color="auto"/>
          </w:divBdr>
        </w:div>
        <w:div w:id="1037661256">
          <w:marLeft w:val="640"/>
          <w:marRight w:val="0"/>
          <w:marTop w:val="0"/>
          <w:marBottom w:val="0"/>
          <w:divBdr>
            <w:top w:val="none" w:sz="0" w:space="0" w:color="auto"/>
            <w:left w:val="none" w:sz="0" w:space="0" w:color="auto"/>
            <w:bottom w:val="none" w:sz="0" w:space="0" w:color="auto"/>
            <w:right w:val="none" w:sz="0" w:space="0" w:color="auto"/>
          </w:divBdr>
        </w:div>
        <w:div w:id="142355982">
          <w:marLeft w:val="640"/>
          <w:marRight w:val="0"/>
          <w:marTop w:val="0"/>
          <w:marBottom w:val="0"/>
          <w:divBdr>
            <w:top w:val="none" w:sz="0" w:space="0" w:color="auto"/>
            <w:left w:val="none" w:sz="0" w:space="0" w:color="auto"/>
            <w:bottom w:val="none" w:sz="0" w:space="0" w:color="auto"/>
            <w:right w:val="none" w:sz="0" w:space="0" w:color="auto"/>
          </w:divBdr>
        </w:div>
      </w:divsChild>
    </w:div>
    <w:div w:id="1268467481">
      <w:bodyDiv w:val="1"/>
      <w:marLeft w:val="0"/>
      <w:marRight w:val="0"/>
      <w:marTop w:val="0"/>
      <w:marBottom w:val="0"/>
      <w:divBdr>
        <w:top w:val="none" w:sz="0" w:space="0" w:color="auto"/>
        <w:left w:val="none" w:sz="0" w:space="0" w:color="auto"/>
        <w:bottom w:val="none" w:sz="0" w:space="0" w:color="auto"/>
        <w:right w:val="none" w:sz="0" w:space="0" w:color="auto"/>
      </w:divBdr>
      <w:divsChild>
        <w:div w:id="281881093">
          <w:marLeft w:val="640"/>
          <w:marRight w:val="0"/>
          <w:marTop w:val="0"/>
          <w:marBottom w:val="0"/>
          <w:divBdr>
            <w:top w:val="none" w:sz="0" w:space="0" w:color="auto"/>
            <w:left w:val="none" w:sz="0" w:space="0" w:color="auto"/>
            <w:bottom w:val="none" w:sz="0" w:space="0" w:color="auto"/>
            <w:right w:val="none" w:sz="0" w:space="0" w:color="auto"/>
          </w:divBdr>
        </w:div>
        <w:div w:id="1479765930">
          <w:marLeft w:val="640"/>
          <w:marRight w:val="0"/>
          <w:marTop w:val="0"/>
          <w:marBottom w:val="0"/>
          <w:divBdr>
            <w:top w:val="none" w:sz="0" w:space="0" w:color="auto"/>
            <w:left w:val="none" w:sz="0" w:space="0" w:color="auto"/>
            <w:bottom w:val="none" w:sz="0" w:space="0" w:color="auto"/>
            <w:right w:val="none" w:sz="0" w:space="0" w:color="auto"/>
          </w:divBdr>
        </w:div>
        <w:div w:id="1541935614">
          <w:marLeft w:val="640"/>
          <w:marRight w:val="0"/>
          <w:marTop w:val="0"/>
          <w:marBottom w:val="0"/>
          <w:divBdr>
            <w:top w:val="none" w:sz="0" w:space="0" w:color="auto"/>
            <w:left w:val="none" w:sz="0" w:space="0" w:color="auto"/>
            <w:bottom w:val="none" w:sz="0" w:space="0" w:color="auto"/>
            <w:right w:val="none" w:sz="0" w:space="0" w:color="auto"/>
          </w:divBdr>
        </w:div>
        <w:div w:id="556018094">
          <w:marLeft w:val="640"/>
          <w:marRight w:val="0"/>
          <w:marTop w:val="0"/>
          <w:marBottom w:val="0"/>
          <w:divBdr>
            <w:top w:val="none" w:sz="0" w:space="0" w:color="auto"/>
            <w:left w:val="none" w:sz="0" w:space="0" w:color="auto"/>
            <w:bottom w:val="none" w:sz="0" w:space="0" w:color="auto"/>
            <w:right w:val="none" w:sz="0" w:space="0" w:color="auto"/>
          </w:divBdr>
        </w:div>
        <w:div w:id="640889424">
          <w:marLeft w:val="640"/>
          <w:marRight w:val="0"/>
          <w:marTop w:val="0"/>
          <w:marBottom w:val="0"/>
          <w:divBdr>
            <w:top w:val="none" w:sz="0" w:space="0" w:color="auto"/>
            <w:left w:val="none" w:sz="0" w:space="0" w:color="auto"/>
            <w:bottom w:val="none" w:sz="0" w:space="0" w:color="auto"/>
            <w:right w:val="none" w:sz="0" w:space="0" w:color="auto"/>
          </w:divBdr>
        </w:div>
        <w:div w:id="1192181658">
          <w:marLeft w:val="640"/>
          <w:marRight w:val="0"/>
          <w:marTop w:val="0"/>
          <w:marBottom w:val="0"/>
          <w:divBdr>
            <w:top w:val="none" w:sz="0" w:space="0" w:color="auto"/>
            <w:left w:val="none" w:sz="0" w:space="0" w:color="auto"/>
            <w:bottom w:val="none" w:sz="0" w:space="0" w:color="auto"/>
            <w:right w:val="none" w:sz="0" w:space="0" w:color="auto"/>
          </w:divBdr>
        </w:div>
        <w:div w:id="1608385826">
          <w:marLeft w:val="640"/>
          <w:marRight w:val="0"/>
          <w:marTop w:val="0"/>
          <w:marBottom w:val="0"/>
          <w:divBdr>
            <w:top w:val="none" w:sz="0" w:space="0" w:color="auto"/>
            <w:left w:val="none" w:sz="0" w:space="0" w:color="auto"/>
            <w:bottom w:val="none" w:sz="0" w:space="0" w:color="auto"/>
            <w:right w:val="none" w:sz="0" w:space="0" w:color="auto"/>
          </w:divBdr>
        </w:div>
        <w:div w:id="238685341">
          <w:marLeft w:val="640"/>
          <w:marRight w:val="0"/>
          <w:marTop w:val="0"/>
          <w:marBottom w:val="0"/>
          <w:divBdr>
            <w:top w:val="none" w:sz="0" w:space="0" w:color="auto"/>
            <w:left w:val="none" w:sz="0" w:space="0" w:color="auto"/>
            <w:bottom w:val="none" w:sz="0" w:space="0" w:color="auto"/>
            <w:right w:val="none" w:sz="0" w:space="0" w:color="auto"/>
          </w:divBdr>
        </w:div>
        <w:div w:id="165754980">
          <w:marLeft w:val="640"/>
          <w:marRight w:val="0"/>
          <w:marTop w:val="0"/>
          <w:marBottom w:val="0"/>
          <w:divBdr>
            <w:top w:val="none" w:sz="0" w:space="0" w:color="auto"/>
            <w:left w:val="none" w:sz="0" w:space="0" w:color="auto"/>
            <w:bottom w:val="none" w:sz="0" w:space="0" w:color="auto"/>
            <w:right w:val="none" w:sz="0" w:space="0" w:color="auto"/>
          </w:divBdr>
        </w:div>
        <w:div w:id="1943487828">
          <w:marLeft w:val="640"/>
          <w:marRight w:val="0"/>
          <w:marTop w:val="0"/>
          <w:marBottom w:val="0"/>
          <w:divBdr>
            <w:top w:val="none" w:sz="0" w:space="0" w:color="auto"/>
            <w:left w:val="none" w:sz="0" w:space="0" w:color="auto"/>
            <w:bottom w:val="none" w:sz="0" w:space="0" w:color="auto"/>
            <w:right w:val="none" w:sz="0" w:space="0" w:color="auto"/>
          </w:divBdr>
        </w:div>
      </w:divsChild>
    </w:div>
    <w:div w:id="1306201111">
      <w:bodyDiv w:val="1"/>
      <w:marLeft w:val="0"/>
      <w:marRight w:val="0"/>
      <w:marTop w:val="0"/>
      <w:marBottom w:val="0"/>
      <w:divBdr>
        <w:top w:val="none" w:sz="0" w:space="0" w:color="auto"/>
        <w:left w:val="none" w:sz="0" w:space="0" w:color="auto"/>
        <w:bottom w:val="none" w:sz="0" w:space="0" w:color="auto"/>
        <w:right w:val="none" w:sz="0" w:space="0" w:color="auto"/>
      </w:divBdr>
      <w:divsChild>
        <w:div w:id="1882205079">
          <w:marLeft w:val="640"/>
          <w:marRight w:val="0"/>
          <w:marTop w:val="0"/>
          <w:marBottom w:val="0"/>
          <w:divBdr>
            <w:top w:val="none" w:sz="0" w:space="0" w:color="auto"/>
            <w:left w:val="none" w:sz="0" w:space="0" w:color="auto"/>
            <w:bottom w:val="none" w:sz="0" w:space="0" w:color="auto"/>
            <w:right w:val="none" w:sz="0" w:space="0" w:color="auto"/>
          </w:divBdr>
        </w:div>
        <w:div w:id="471872584">
          <w:marLeft w:val="640"/>
          <w:marRight w:val="0"/>
          <w:marTop w:val="0"/>
          <w:marBottom w:val="0"/>
          <w:divBdr>
            <w:top w:val="none" w:sz="0" w:space="0" w:color="auto"/>
            <w:left w:val="none" w:sz="0" w:space="0" w:color="auto"/>
            <w:bottom w:val="none" w:sz="0" w:space="0" w:color="auto"/>
            <w:right w:val="none" w:sz="0" w:space="0" w:color="auto"/>
          </w:divBdr>
        </w:div>
        <w:div w:id="1201236927">
          <w:marLeft w:val="640"/>
          <w:marRight w:val="0"/>
          <w:marTop w:val="0"/>
          <w:marBottom w:val="0"/>
          <w:divBdr>
            <w:top w:val="none" w:sz="0" w:space="0" w:color="auto"/>
            <w:left w:val="none" w:sz="0" w:space="0" w:color="auto"/>
            <w:bottom w:val="none" w:sz="0" w:space="0" w:color="auto"/>
            <w:right w:val="none" w:sz="0" w:space="0" w:color="auto"/>
          </w:divBdr>
        </w:div>
        <w:div w:id="266351420">
          <w:marLeft w:val="640"/>
          <w:marRight w:val="0"/>
          <w:marTop w:val="0"/>
          <w:marBottom w:val="0"/>
          <w:divBdr>
            <w:top w:val="none" w:sz="0" w:space="0" w:color="auto"/>
            <w:left w:val="none" w:sz="0" w:space="0" w:color="auto"/>
            <w:bottom w:val="none" w:sz="0" w:space="0" w:color="auto"/>
            <w:right w:val="none" w:sz="0" w:space="0" w:color="auto"/>
          </w:divBdr>
        </w:div>
        <w:div w:id="257326417">
          <w:marLeft w:val="640"/>
          <w:marRight w:val="0"/>
          <w:marTop w:val="0"/>
          <w:marBottom w:val="0"/>
          <w:divBdr>
            <w:top w:val="none" w:sz="0" w:space="0" w:color="auto"/>
            <w:left w:val="none" w:sz="0" w:space="0" w:color="auto"/>
            <w:bottom w:val="none" w:sz="0" w:space="0" w:color="auto"/>
            <w:right w:val="none" w:sz="0" w:space="0" w:color="auto"/>
          </w:divBdr>
        </w:div>
        <w:div w:id="41832113">
          <w:marLeft w:val="640"/>
          <w:marRight w:val="0"/>
          <w:marTop w:val="0"/>
          <w:marBottom w:val="0"/>
          <w:divBdr>
            <w:top w:val="none" w:sz="0" w:space="0" w:color="auto"/>
            <w:left w:val="none" w:sz="0" w:space="0" w:color="auto"/>
            <w:bottom w:val="none" w:sz="0" w:space="0" w:color="auto"/>
            <w:right w:val="none" w:sz="0" w:space="0" w:color="auto"/>
          </w:divBdr>
        </w:div>
        <w:div w:id="1502157561">
          <w:marLeft w:val="640"/>
          <w:marRight w:val="0"/>
          <w:marTop w:val="0"/>
          <w:marBottom w:val="0"/>
          <w:divBdr>
            <w:top w:val="none" w:sz="0" w:space="0" w:color="auto"/>
            <w:left w:val="none" w:sz="0" w:space="0" w:color="auto"/>
            <w:bottom w:val="none" w:sz="0" w:space="0" w:color="auto"/>
            <w:right w:val="none" w:sz="0" w:space="0" w:color="auto"/>
          </w:divBdr>
        </w:div>
        <w:div w:id="1150635996">
          <w:marLeft w:val="640"/>
          <w:marRight w:val="0"/>
          <w:marTop w:val="0"/>
          <w:marBottom w:val="0"/>
          <w:divBdr>
            <w:top w:val="none" w:sz="0" w:space="0" w:color="auto"/>
            <w:left w:val="none" w:sz="0" w:space="0" w:color="auto"/>
            <w:bottom w:val="none" w:sz="0" w:space="0" w:color="auto"/>
            <w:right w:val="none" w:sz="0" w:space="0" w:color="auto"/>
          </w:divBdr>
        </w:div>
        <w:div w:id="1599096211">
          <w:marLeft w:val="640"/>
          <w:marRight w:val="0"/>
          <w:marTop w:val="0"/>
          <w:marBottom w:val="0"/>
          <w:divBdr>
            <w:top w:val="none" w:sz="0" w:space="0" w:color="auto"/>
            <w:left w:val="none" w:sz="0" w:space="0" w:color="auto"/>
            <w:bottom w:val="none" w:sz="0" w:space="0" w:color="auto"/>
            <w:right w:val="none" w:sz="0" w:space="0" w:color="auto"/>
          </w:divBdr>
        </w:div>
        <w:div w:id="1502310282">
          <w:marLeft w:val="640"/>
          <w:marRight w:val="0"/>
          <w:marTop w:val="0"/>
          <w:marBottom w:val="0"/>
          <w:divBdr>
            <w:top w:val="none" w:sz="0" w:space="0" w:color="auto"/>
            <w:left w:val="none" w:sz="0" w:space="0" w:color="auto"/>
            <w:bottom w:val="none" w:sz="0" w:space="0" w:color="auto"/>
            <w:right w:val="none" w:sz="0" w:space="0" w:color="auto"/>
          </w:divBdr>
        </w:div>
        <w:div w:id="1790389829">
          <w:marLeft w:val="640"/>
          <w:marRight w:val="0"/>
          <w:marTop w:val="0"/>
          <w:marBottom w:val="0"/>
          <w:divBdr>
            <w:top w:val="none" w:sz="0" w:space="0" w:color="auto"/>
            <w:left w:val="none" w:sz="0" w:space="0" w:color="auto"/>
            <w:bottom w:val="none" w:sz="0" w:space="0" w:color="auto"/>
            <w:right w:val="none" w:sz="0" w:space="0" w:color="auto"/>
          </w:divBdr>
        </w:div>
      </w:divsChild>
    </w:div>
    <w:div w:id="1332486981">
      <w:bodyDiv w:val="1"/>
      <w:marLeft w:val="0"/>
      <w:marRight w:val="0"/>
      <w:marTop w:val="0"/>
      <w:marBottom w:val="0"/>
      <w:divBdr>
        <w:top w:val="none" w:sz="0" w:space="0" w:color="auto"/>
        <w:left w:val="none" w:sz="0" w:space="0" w:color="auto"/>
        <w:bottom w:val="none" w:sz="0" w:space="0" w:color="auto"/>
        <w:right w:val="none" w:sz="0" w:space="0" w:color="auto"/>
      </w:divBdr>
      <w:divsChild>
        <w:div w:id="320935565">
          <w:marLeft w:val="640"/>
          <w:marRight w:val="0"/>
          <w:marTop w:val="0"/>
          <w:marBottom w:val="0"/>
          <w:divBdr>
            <w:top w:val="none" w:sz="0" w:space="0" w:color="auto"/>
            <w:left w:val="none" w:sz="0" w:space="0" w:color="auto"/>
            <w:bottom w:val="none" w:sz="0" w:space="0" w:color="auto"/>
            <w:right w:val="none" w:sz="0" w:space="0" w:color="auto"/>
          </w:divBdr>
        </w:div>
        <w:div w:id="1032070603">
          <w:marLeft w:val="640"/>
          <w:marRight w:val="0"/>
          <w:marTop w:val="0"/>
          <w:marBottom w:val="0"/>
          <w:divBdr>
            <w:top w:val="none" w:sz="0" w:space="0" w:color="auto"/>
            <w:left w:val="none" w:sz="0" w:space="0" w:color="auto"/>
            <w:bottom w:val="none" w:sz="0" w:space="0" w:color="auto"/>
            <w:right w:val="none" w:sz="0" w:space="0" w:color="auto"/>
          </w:divBdr>
        </w:div>
        <w:div w:id="2066102747">
          <w:marLeft w:val="640"/>
          <w:marRight w:val="0"/>
          <w:marTop w:val="0"/>
          <w:marBottom w:val="0"/>
          <w:divBdr>
            <w:top w:val="none" w:sz="0" w:space="0" w:color="auto"/>
            <w:left w:val="none" w:sz="0" w:space="0" w:color="auto"/>
            <w:bottom w:val="none" w:sz="0" w:space="0" w:color="auto"/>
            <w:right w:val="none" w:sz="0" w:space="0" w:color="auto"/>
          </w:divBdr>
        </w:div>
        <w:div w:id="995500497">
          <w:marLeft w:val="640"/>
          <w:marRight w:val="0"/>
          <w:marTop w:val="0"/>
          <w:marBottom w:val="0"/>
          <w:divBdr>
            <w:top w:val="none" w:sz="0" w:space="0" w:color="auto"/>
            <w:left w:val="none" w:sz="0" w:space="0" w:color="auto"/>
            <w:bottom w:val="none" w:sz="0" w:space="0" w:color="auto"/>
            <w:right w:val="none" w:sz="0" w:space="0" w:color="auto"/>
          </w:divBdr>
        </w:div>
        <w:div w:id="1309439488">
          <w:marLeft w:val="640"/>
          <w:marRight w:val="0"/>
          <w:marTop w:val="0"/>
          <w:marBottom w:val="0"/>
          <w:divBdr>
            <w:top w:val="none" w:sz="0" w:space="0" w:color="auto"/>
            <w:left w:val="none" w:sz="0" w:space="0" w:color="auto"/>
            <w:bottom w:val="none" w:sz="0" w:space="0" w:color="auto"/>
            <w:right w:val="none" w:sz="0" w:space="0" w:color="auto"/>
          </w:divBdr>
        </w:div>
        <w:div w:id="1769079612">
          <w:marLeft w:val="640"/>
          <w:marRight w:val="0"/>
          <w:marTop w:val="0"/>
          <w:marBottom w:val="0"/>
          <w:divBdr>
            <w:top w:val="none" w:sz="0" w:space="0" w:color="auto"/>
            <w:left w:val="none" w:sz="0" w:space="0" w:color="auto"/>
            <w:bottom w:val="none" w:sz="0" w:space="0" w:color="auto"/>
            <w:right w:val="none" w:sz="0" w:space="0" w:color="auto"/>
          </w:divBdr>
        </w:div>
        <w:div w:id="885213459">
          <w:marLeft w:val="640"/>
          <w:marRight w:val="0"/>
          <w:marTop w:val="0"/>
          <w:marBottom w:val="0"/>
          <w:divBdr>
            <w:top w:val="none" w:sz="0" w:space="0" w:color="auto"/>
            <w:left w:val="none" w:sz="0" w:space="0" w:color="auto"/>
            <w:bottom w:val="none" w:sz="0" w:space="0" w:color="auto"/>
            <w:right w:val="none" w:sz="0" w:space="0" w:color="auto"/>
          </w:divBdr>
        </w:div>
        <w:div w:id="2105413487">
          <w:marLeft w:val="640"/>
          <w:marRight w:val="0"/>
          <w:marTop w:val="0"/>
          <w:marBottom w:val="0"/>
          <w:divBdr>
            <w:top w:val="none" w:sz="0" w:space="0" w:color="auto"/>
            <w:left w:val="none" w:sz="0" w:space="0" w:color="auto"/>
            <w:bottom w:val="none" w:sz="0" w:space="0" w:color="auto"/>
            <w:right w:val="none" w:sz="0" w:space="0" w:color="auto"/>
          </w:divBdr>
        </w:div>
        <w:div w:id="1372270974">
          <w:marLeft w:val="640"/>
          <w:marRight w:val="0"/>
          <w:marTop w:val="0"/>
          <w:marBottom w:val="0"/>
          <w:divBdr>
            <w:top w:val="none" w:sz="0" w:space="0" w:color="auto"/>
            <w:left w:val="none" w:sz="0" w:space="0" w:color="auto"/>
            <w:bottom w:val="none" w:sz="0" w:space="0" w:color="auto"/>
            <w:right w:val="none" w:sz="0" w:space="0" w:color="auto"/>
          </w:divBdr>
        </w:div>
        <w:div w:id="865484606">
          <w:marLeft w:val="640"/>
          <w:marRight w:val="0"/>
          <w:marTop w:val="0"/>
          <w:marBottom w:val="0"/>
          <w:divBdr>
            <w:top w:val="none" w:sz="0" w:space="0" w:color="auto"/>
            <w:left w:val="none" w:sz="0" w:space="0" w:color="auto"/>
            <w:bottom w:val="none" w:sz="0" w:space="0" w:color="auto"/>
            <w:right w:val="none" w:sz="0" w:space="0" w:color="auto"/>
          </w:divBdr>
        </w:div>
      </w:divsChild>
    </w:div>
    <w:div w:id="1447895354">
      <w:bodyDiv w:val="1"/>
      <w:marLeft w:val="0"/>
      <w:marRight w:val="0"/>
      <w:marTop w:val="0"/>
      <w:marBottom w:val="0"/>
      <w:divBdr>
        <w:top w:val="none" w:sz="0" w:space="0" w:color="auto"/>
        <w:left w:val="none" w:sz="0" w:space="0" w:color="auto"/>
        <w:bottom w:val="none" w:sz="0" w:space="0" w:color="auto"/>
        <w:right w:val="none" w:sz="0" w:space="0" w:color="auto"/>
      </w:divBdr>
      <w:divsChild>
        <w:div w:id="1616672936">
          <w:marLeft w:val="640"/>
          <w:marRight w:val="0"/>
          <w:marTop w:val="0"/>
          <w:marBottom w:val="0"/>
          <w:divBdr>
            <w:top w:val="none" w:sz="0" w:space="0" w:color="auto"/>
            <w:left w:val="none" w:sz="0" w:space="0" w:color="auto"/>
            <w:bottom w:val="none" w:sz="0" w:space="0" w:color="auto"/>
            <w:right w:val="none" w:sz="0" w:space="0" w:color="auto"/>
          </w:divBdr>
        </w:div>
        <w:div w:id="1414471092">
          <w:marLeft w:val="640"/>
          <w:marRight w:val="0"/>
          <w:marTop w:val="0"/>
          <w:marBottom w:val="0"/>
          <w:divBdr>
            <w:top w:val="none" w:sz="0" w:space="0" w:color="auto"/>
            <w:left w:val="none" w:sz="0" w:space="0" w:color="auto"/>
            <w:bottom w:val="none" w:sz="0" w:space="0" w:color="auto"/>
            <w:right w:val="none" w:sz="0" w:space="0" w:color="auto"/>
          </w:divBdr>
        </w:div>
        <w:div w:id="1661273854">
          <w:marLeft w:val="640"/>
          <w:marRight w:val="0"/>
          <w:marTop w:val="0"/>
          <w:marBottom w:val="0"/>
          <w:divBdr>
            <w:top w:val="none" w:sz="0" w:space="0" w:color="auto"/>
            <w:left w:val="none" w:sz="0" w:space="0" w:color="auto"/>
            <w:bottom w:val="none" w:sz="0" w:space="0" w:color="auto"/>
            <w:right w:val="none" w:sz="0" w:space="0" w:color="auto"/>
          </w:divBdr>
        </w:div>
        <w:div w:id="1345476016">
          <w:marLeft w:val="640"/>
          <w:marRight w:val="0"/>
          <w:marTop w:val="0"/>
          <w:marBottom w:val="0"/>
          <w:divBdr>
            <w:top w:val="none" w:sz="0" w:space="0" w:color="auto"/>
            <w:left w:val="none" w:sz="0" w:space="0" w:color="auto"/>
            <w:bottom w:val="none" w:sz="0" w:space="0" w:color="auto"/>
            <w:right w:val="none" w:sz="0" w:space="0" w:color="auto"/>
          </w:divBdr>
        </w:div>
        <w:div w:id="229385991">
          <w:marLeft w:val="640"/>
          <w:marRight w:val="0"/>
          <w:marTop w:val="0"/>
          <w:marBottom w:val="0"/>
          <w:divBdr>
            <w:top w:val="none" w:sz="0" w:space="0" w:color="auto"/>
            <w:left w:val="none" w:sz="0" w:space="0" w:color="auto"/>
            <w:bottom w:val="none" w:sz="0" w:space="0" w:color="auto"/>
            <w:right w:val="none" w:sz="0" w:space="0" w:color="auto"/>
          </w:divBdr>
        </w:div>
        <w:div w:id="412433682">
          <w:marLeft w:val="640"/>
          <w:marRight w:val="0"/>
          <w:marTop w:val="0"/>
          <w:marBottom w:val="0"/>
          <w:divBdr>
            <w:top w:val="none" w:sz="0" w:space="0" w:color="auto"/>
            <w:left w:val="none" w:sz="0" w:space="0" w:color="auto"/>
            <w:bottom w:val="none" w:sz="0" w:space="0" w:color="auto"/>
            <w:right w:val="none" w:sz="0" w:space="0" w:color="auto"/>
          </w:divBdr>
        </w:div>
        <w:div w:id="1044984481">
          <w:marLeft w:val="640"/>
          <w:marRight w:val="0"/>
          <w:marTop w:val="0"/>
          <w:marBottom w:val="0"/>
          <w:divBdr>
            <w:top w:val="none" w:sz="0" w:space="0" w:color="auto"/>
            <w:left w:val="none" w:sz="0" w:space="0" w:color="auto"/>
            <w:bottom w:val="none" w:sz="0" w:space="0" w:color="auto"/>
            <w:right w:val="none" w:sz="0" w:space="0" w:color="auto"/>
          </w:divBdr>
        </w:div>
        <w:div w:id="405609785">
          <w:marLeft w:val="640"/>
          <w:marRight w:val="0"/>
          <w:marTop w:val="0"/>
          <w:marBottom w:val="0"/>
          <w:divBdr>
            <w:top w:val="none" w:sz="0" w:space="0" w:color="auto"/>
            <w:left w:val="none" w:sz="0" w:space="0" w:color="auto"/>
            <w:bottom w:val="none" w:sz="0" w:space="0" w:color="auto"/>
            <w:right w:val="none" w:sz="0" w:space="0" w:color="auto"/>
          </w:divBdr>
        </w:div>
        <w:div w:id="1819615314">
          <w:marLeft w:val="640"/>
          <w:marRight w:val="0"/>
          <w:marTop w:val="0"/>
          <w:marBottom w:val="0"/>
          <w:divBdr>
            <w:top w:val="none" w:sz="0" w:space="0" w:color="auto"/>
            <w:left w:val="none" w:sz="0" w:space="0" w:color="auto"/>
            <w:bottom w:val="none" w:sz="0" w:space="0" w:color="auto"/>
            <w:right w:val="none" w:sz="0" w:space="0" w:color="auto"/>
          </w:divBdr>
        </w:div>
        <w:div w:id="1087389416">
          <w:marLeft w:val="640"/>
          <w:marRight w:val="0"/>
          <w:marTop w:val="0"/>
          <w:marBottom w:val="0"/>
          <w:divBdr>
            <w:top w:val="none" w:sz="0" w:space="0" w:color="auto"/>
            <w:left w:val="none" w:sz="0" w:space="0" w:color="auto"/>
            <w:bottom w:val="none" w:sz="0" w:space="0" w:color="auto"/>
            <w:right w:val="none" w:sz="0" w:space="0" w:color="auto"/>
          </w:divBdr>
        </w:div>
      </w:divsChild>
    </w:div>
    <w:div w:id="1575891910">
      <w:bodyDiv w:val="1"/>
      <w:marLeft w:val="0"/>
      <w:marRight w:val="0"/>
      <w:marTop w:val="0"/>
      <w:marBottom w:val="0"/>
      <w:divBdr>
        <w:top w:val="none" w:sz="0" w:space="0" w:color="auto"/>
        <w:left w:val="none" w:sz="0" w:space="0" w:color="auto"/>
        <w:bottom w:val="none" w:sz="0" w:space="0" w:color="auto"/>
        <w:right w:val="none" w:sz="0" w:space="0" w:color="auto"/>
      </w:divBdr>
      <w:divsChild>
        <w:div w:id="2003073316">
          <w:marLeft w:val="640"/>
          <w:marRight w:val="0"/>
          <w:marTop w:val="0"/>
          <w:marBottom w:val="0"/>
          <w:divBdr>
            <w:top w:val="none" w:sz="0" w:space="0" w:color="auto"/>
            <w:left w:val="none" w:sz="0" w:space="0" w:color="auto"/>
            <w:bottom w:val="none" w:sz="0" w:space="0" w:color="auto"/>
            <w:right w:val="none" w:sz="0" w:space="0" w:color="auto"/>
          </w:divBdr>
        </w:div>
        <w:div w:id="1319335390">
          <w:marLeft w:val="640"/>
          <w:marRight w:val="0"/>
          <w:marTop w:val="0"/>
          <w:marBottom w:val="0"/>
          <w:divBdr>
            <w:top w:val="none" w:sz="0" w:space="0" w:color="auto"/>
            <w:left w:val="none" w:sz="0" w:space="0" w:color="auto"/>
            <w:bottom w:val="none" w:sz="0" w:space="0" w:color="auto"/>
            <w:right w:val="none" w:sz="0" w:space="0" w:color="auto"/>
          </w:divBdr>
        </w:div>
        <w:div w:id="1129933655">
          <w:marLeft w:val="640"/>
          <w:marRight w:val="0"/>
          <w:marTop w:val="0"/>
          <w:marBottom w:val="0"/>
          <w:divBdr>
            <w:top w:val="none" w:sz="0" w:space="0" w:color="auto"/>
            <w:left w:val="none" w:sz="0" w:space="0" w:color="auto"/>
            <w:bottom w:val="none" w:sz="0" w:space="0" w:color="auto"/>
            <w:right w:val="none" w:sz="0" w:space="0" w:color="auto"/>
          </w:divBdr>
        </w:div>
        <w:div w:id="1288125899">
          <w:marLeft w:val="640"/>
          <w:marRight w:val="0"/>
          <w:marTop w:val="0"/>
          <w:marBottom w:val="0"/>
          <w:divBdr>
            <w:top w:val="none" w:sz="0" w:space="0" w:color="auto"/>
            <w:left w:val="none" w:sz="0" w:space="0" w:color="auto"/>
            <w:bottom w:val="none" w:sz="0" w:space="0" w:color="auto"/>
            <w:right w:val="none" w:sz="0" w:space="0" w:color="auto"/>
          </w:divBdr>
        </w:div>
        <w:div w:id="635137020">
          <w:marLeft w:val="640"/>
          <w:marRight w:val="0"/>
          <w:marTop w:val="0"/>
          <w:marBottom w:val="0"/>
          <w:divBdr>
            <w:top w:val="none" w:sz="0" w:space="0" w:color="auto"/>
            <w:left w:val="none" w:sz="0" w:space="0" w:color="auto"/>
            <w:bottom w:val="none" w:sz="0" w:space="0" w:color="auto"/>
            <w:right w:val="none" w:sz="0" w:space="0" w:color="auto"/>
          </w:divBdr>
        </w:div>
        <w:div w:id="667287580">
          <w:marLeft w:val="640"/>
          <w:marRight w:val="0"/>
          <w:marTop w:val="0"/>
          <w:marBottom w:val="0"/>
          <w:divBdr>
            <w:top w:val="none" w:sz="0" w:space="0" w:color="auto"/>
            <w:left w:val="none" w:sz="0" w:space="0" w:color="auto"/>
            <w:bottom w:val="none" w:sz="0" w:space="0" w:color="auto"/>
            <w:right w:val="none" w:sz="0" w:space="0" w:color="auto"/>
          </w:divBdr>
        </w:div>
        <w:div w:id="1240627982">
          <w:marLeft w:val="640"/>
          <w:marRight w:val="0"/>
          <w:marTop w:val="0"/>
          <w:marBottom w:val="0"/>
          <w:divBdr>
            <w:top w:val="none" w:sz="0" w:space="0" w:color="auto"/>
            <w:left w:val="none" w:sz="0" w:space="0" w:color="auto"/>
            <w:bottom w:val="none" w:sz="0" w:space="0" w:color="auto"/>
            <w:right w:val="none" w:sz="0" w:space="0" w:color="auto"/>
          </w:divBdr>
        </w:div>
        <w:div w:id="1584530116">
          <w:marLeft w:val="640"/>
          <w:marRight w:val="0"/>
          <w:marTop w:val="0"/>
          <w:marBottom w:val="0"/>
          <w:divBdr>
            <w:top w:val="none" w:sz="0" w:space="0" w:color="auto"/>
            <w:left w:val="none" w:sz="0" w:space="0" w:color="auto"/>
            <w:bottom w:val="none" w:sz="0" w:space="0" w:color="auto"/>
            <w:right w:val="none" w:sz="0" w:space="0" w:color="auto"/>
          </w:divBdr>
        </w:div>
        <w:div w:id="261188212">
          <w:marLeft w:val="640"/>
          <w:marRight w:val="0"/>
          <w:marTop w:val="0"/>
          <w:marBottom w:val="0"/>
          <w:divBdr>
            <w:top w:val="none" w:sz="0" w:space="0" w:color="auto"/>
            <w:left w:val="none" w:sz="0" w:space="0" w:color="auto"/>
            <w:bottom w:val="none" w:sz="0" w:space="0" w:color="auto"/>
            <w:right w:val="none" w:sz="0" w:space="0" w:color="auto"/>
          </w:divBdr>
        </w:div>
        <w:div w:id="1404838719">
          <w:marLeft w:val="640"/>
          <w:marRight w:val="0"/>
          <w:marTop w:val="0"/>
          <w:marBottom w:val="0"/>
          <w:divBdr>
            <w:top w:val="none" w:sz="0" w:space="0" w:color="auto"/>
            <w:left w:val="none" w:sz="0" w:space="0" w:color="auto"/>
            <w:bottom w:val="none" w:sz="0" w:space="0" w:color="auto"/>
            <w:right w:val="none" w:sz="0" w:space="0" w:color="auto"/>
          </w:divBdr>
        </w:div>
      </w:divsChild>
    </w:div>
    <w:div w:id="1615819115">
      <w:bodyDiv w:val="1"/>
      <w:marLeft w:val="0"/>
      <w:marRight w:val="0"/>
      <w:marTop w:val="0"/>
      <w:marBottom w:val="0"/>
      <w:divBdr>
        <w:top w:val="none" w:sz="0" w:space="0" w:color="auto"/>
        <w:left w:val="none" w:sz="0" w:space="0" w:color="auto"/>
        <w:bottom w:val="none" w:sz="0" w:space="0" w:color="auto"/>
        <w:right w:val="none" w:sz="0" w:space="0" w:color="auto"/>
      </w:divBdr>
      <w:divsChild>
        <w:div w:id="362635696">
          <w:marLeft w:val="640"/>
          <w:marRight w:val="0"/>
          <w:marTop w:val="0"/>
          <w:marBottom w:val="0"/>
          <w:divBdr>
            <w:top w:val="none" w:sz="0" w:space="0" w:color="auto"/>
            <w:left w:val="none" w:sz="0" w:space="0" w:color="auto"/>
            <w:bottom w:val="none" w:sz="0" w:space="0" w:color="auto"/>
            <w:right w:val="none" w:sz="0" w:space="0" w:color="auto"/>
          </w:divBdr>
        </w:div>
        <w:div w:id="226381864">
          <w:marLeft w:val="640"/>
          <w:marRight w:val="0"/>
          <w:marTop w:val="0"/>
          <w:marBottom w:val="0"/>
          <w:divBdr>
            <w:top w:val="none" w:sz="0" w:space="0" w:color="auto"/>
            <w:left w:val="none" w:sz="0" w:space="0" w:color="auto"/>
            <w:bottom w:val="none" w:sz="0" w:space="0" w:color="auto"/>
            <w:right w:val="none" w:sz="0" w:space="0" w:color="auto"/>
          </w:divBdr>
        </w:div>
        <w:div w:id="2052226745">
          <w:marLeft w:val="640"/>
          <w:marRight w:val="0"/>
          <w:marTop w:val="0"/>
          <w:marBottom w:val="0"/>
          <w:divBdr>
            <w:top w:val="none" w:sz="0" w:space="0" w:color="auto"/>
            <w:left w:val="none" w:sz="0" w:space="0" w:color="auto"/>
            <w:bottom w:val="none" w:sz="0" w:space="0" w:color="auto"/>
            <w:right w:val="none" w:sz="0" w:space="0" w:color="auto"/>
          </w:divBdr>
        </w:div>
        <w:div w:id="1863547515">
          <w:marLeft w:val="640"/>
          <w:marRight w:val="0"/>
          <w:marTop w:val="0"/>
          <w:marBottom w:val="0"/>
          <w:divBdr>
            <w:top w:val="none" w:sz="0" w:space="0" w:color="auto"/>
            <w:left w:val="none" w:sz="0" w:space="0" w:color="auto"/>
            <w:bottom w:val="none" w:sz="0" w:space="0" w:color="auto"/>
            <w:right w:val="none" w:sz="0" w:space="0" w:color="auto"/>
          </w:divBdr>
        </w:div>
        <w:div w:id="64768771">
          <w:marLeft w:val="640"/>
          <w:marRight w:val="0"/>
          <w:marTop w:val="0"/>
          <w:marBottom w:val="0"/>
          <w:divBdr>
            <w:top w:val="none" w:sz="0" w:space="0" w:color="auto"/>
            <w:left w:val="none" w:sz="0" w:space="0" w:color="auto"/>
            <w:bottom w:val="none" w:sz="0" w:space="0" w:color="auto"/>
            <w:right w:val="none" w:sz="0" w:space="0" w:color="auto"/>
          </w:divBdr>
        </w:div>
        <w:div w:id="2037999065">
          <w:marLeft w:val="640"/>
          <w:marRight w:val="0"/>
          <w:marTop w:val="0"/>
          <w:marBottom w:val="0"/>
          <w:divBdr>
            <w:top w:val="none" w:sz="0" w:space="0" w:color="auto"/>
            <w:left w:val="none" w:sz="0" w:space="0" w:color="auto"/>
            <w:bottom w:val="none" w:sz="0" w:space="0" w:color="auto"/>
            <w:right w:val="none" w:sz="0" w:space="0" w:color="auto"/>
          </w:divBdr>
        </w:div>
        <w:div w:id="12734241">
          <w:marLeft w:val="640"/>
          <w:marRight w:val="0"/>
          <w:marTop w:val="0"/>
          <w:marBottom w:val="0"/>
          <w:divBdr>
            <w:top w:val="none" w:sz="0" w:space="0" w:color="auto"/>
            <w:left w:val="none" w:sz="0" w:space="0" w:color="auto"/>
            <w:bottom w:val="none" w:sz="0" w:space="0" w:color="auto"/>
            <w:right w:val="none" w:sz="0" w:space="0" w:color="auto"/>
          </w:divBdr>
        </w:div>
        <w:div w:id="445390783">
          <w:marLeft w:val="640"/>
          <w:marRight w:val="0"/>
          <w:marTop w:val="0"/>
          <w:marBottom w:val="0"/>
          <w:divBdr>
            <w:top w:val="none" w:sz="0" w:space="0" w:color="auto"/>
            <w:left w:val="none" w:sz="0" w:space="0" w:color="auto"/>
            <w:bottom w:val="none" w:sz="0" w:space="0" w:color="auto"/>
            <w:right w:val="none" w:sz="0" w:space="0" w:color="auto"/>
          </w:divBdr>
        </w:div>
        <w:div w:id="1016270041">
          <w:marLeft w:val="640"/>
          <w:marRight w:val="0"/>
          <w:marTop w:val="0"/>
          <w:marBottom w:val="0"/>
          <w:divBdr>
            <w:top w:val="none" w:sz="0" w:space="0" w:color="auto"/>
            <w:left w:val="none" w:sz="0" w:space="0" w:color="auto"/>
            <w:bottom w:val="none" w:sz="0" w:space="0" w:color="auto"/>
            <w:right w:val="none" w:sz="0" w:space="0" w:color="auto"/>
          </w:divBdr>
        </w:div>
        <w:div w:id="1452899588">
          <w:marLeft w:val="640"/>
          <w:marRight w:val="0"/>
          <w:marTop w:val="0"/>
          <w:marBottom w:val="0"/>
          <w:divBdr>
            <w:top w:val="none" w:sz="0" w:space="0" w:color="auto"/>
            <w:left w:val="none" w:sz="0" w:space="0" w:color="auto"/>
            <w:bottom w:val="none" w:sz="0" w:space="0" w:color="auto"/>
            <w:right w:val="none" w:sz="0" w:space="0" w:color="auto"/>
          </w:divBdr>
        </w:div>
        <w:div w:id="1816143707">
          <w:marLeft w:val="640"/>
          <w:marRight w:val="0"/>
          <w:marTop w:val="0"/>
          <w:marBottom w:val="0"/>
          <w:divBdr>
            <w:top w:val="none" w:sz="0" w:space="0" w:color="auto"/>
            <w:left w:val="none" w:sz="0" w:space="0" w:color="auto"/>
            <w:bottom w:val="none" w:sz="0" w:space="0" w:color="auto"/>
            <w:right w:val="none" w:sz="0" w:space="0" w:color="auto"/>
          </w:divBdr>
        </w:div>
      </w:divsChild>
    </w:div>
    <w:div w:id="1707102776">
      <w:bodyDiv w:val="1"/>
      <w:marLeft w:val="0"/>
      <w:marRight w:val="0"/>
      <w:marTop w:val="0"/>
      <w:marBottom w:val="0"/>
      <w:divBdr>
        <w:top w:val="none" w:sz="0" w:space="0" w:color="auto"/>
        <w:left w:val="none" w:sz="0" w:space="0" w:color="auto"/>
        <w:bottom w:val="none" w:sz="0" w:space="0" w:color="auto"/>
        <w:right w:val="none" w:sz="0" w:space="0" w:color="auto"/>
      </w:divBdr>
      <w:divsChild>
        <w:div w:id="965429530">
          <w:marLeft w:val="640"/>
          <w:marRight w:val="0"/>
          <w:marTop w:val="0"/>
          <w:marBottom w:val="0"/>
          <w:divBdr>
            <w:top w:val="none" w:sz="0" w:space="0" w:color="auto"/>
            <w:left w:val="none" w:sz="0" w:space="0" w:color="auto"/>
            <w:bottom w:val="none" w:sz="0" w:space="0" w:color="auto"/>
            <w:right w:val="none" w:sz="0" w:space="0" w:color="auto"/>
          </w:divBdr>
        </w:div>
        <w:div w:id="1470512811">
          <w:marLeft w:val="640"/>
          <w:marRight w:val="0"/>
          <w:marTop w:val="0"/>
          <w:marBottom w:val="0"/>
          <w:divBdr>
            <w:top w:val="none" w:sz="0" w:space="0" w:color="auto"/>
            <w:left w:val="none" w:sz="0" w:space="0" w:color="auto"/>
            <w:bottom w:val="none" w:sz="0" w:space="0" w:color="auto"/>
            <w:right w:val="none" w:sz="0" w:space="0" w:color="auto"/>
          </w:divBdr>
        </w:div>
        <w:div w:id="254947143">
          <w:marLeft w:val="640"/>
          <w:marRight w:val="0"/>
          <w:marTop w:val="0"/>
          <w:marBottom w:val="0"/>
          <w:divBdr>
            <w:top w:val="none" w:sz="0" w:space="0" w:color="auto"/>
            <w:left w:val="none" w:sz="0" w:space="0" w:color="auto"/>
            <w:bottom w:val="none" w:sz="0" w:space="0" w:color="auto"/>
            <w:right w:val="none" w:sz="0" w:space="0" w:color="auto"/>
          </w:divBdr>
        </w:div>
        <w:div w:id="201283674">
          <w:marLeft w:val="640"/>
          <w:marRight w:val="0"/>
          <w:marTop w:val="0"/>
          <w:marBottom w:val="0"/>
          <w:divBdr>
            <w:top w:val="none" w:sz="0" w:space="0" w:color="auto"/>
            <w:left w:val="none" w:sz="0" w:space="0" w:color="auto"/>
            <w:bottom w:val="none" w:sz="0" w:space="0" w:color="auto"/>
            <w:right w:val="none" w:sz="0" w:space="0" w:color="auto"/>
          </w:divBdr>
        </w:div>
        <w:div w:id="1967268916">
          <w:marLeft w:val="640"/>
          <w:marRight w:val="0"/>
          <w:marTop w:val="0"/>
          <w:marBottom w:val="0"/>
          <w:divBdr>
            <w:top w:val="none" w:sz="0" w:space="0" w:color="auto"/>
            <w:left w:val="none" w:sz="0" w:space="0" w:color="auto"/>
            <w:bottom w:val="none" w:sz="0" w:space="0" w:color="auto"/>
            <w:right w:val="none" w:sz="0" w:space="0" w:color="auto"/>
          </w:divBdr>
        </w:div>
        <w:div w:id="891117597">
          <w:marLeft w:val="640"/>
          <w:marRight w:val="0"/>
          <w:marTop w:val="0"/>
          <w:marBottom w:val="0"/>
          <w:divBdr>
            <w:top w:val="none" w:sz="0" w:space="0" w:color="auto"/>
            <w:left w:val="none" w:sz="0" w:space="0" w:color="auto"/>
            <w:bottom w:val="none" w:sz="0" w:space="0" w:color="auto"/>
            <w:right w:val="none" w:sz="0" w:space="0" w:color="auto"/>
          </w:divBdr>
        </w:div>
        <w:div w:id="1774666089">
          <w:marLeft w:val="640"/>
          <w:marRight w:val="0"/>
          <w:marTop w:val="0"/>
          <w:marBottom w:val="0"/>
          <w:divBdr>
            <w:top w:val="none" w:sz="0" w:space="0" w:color="auto"/>
            <w:left w:val="none" w:sz="0" w:space="0" w:color="auto"/>
            <w:bottom w:val="none" w:sz="0" w:space="0" w:color="auto"/>
            <w:right w:val="none" w:sz="0" w:space="0" w:color="auto"/>
          </w:divBdr>
        </w:div>
        <w:div w:id="821967509">
          <w:marLeft w:val="640"/>
          <w:marRight w:val="0"/>
          <w:marTop w:val="0"/>
          <w:marBottom w:val="0"/>
          <w:divBdr>
            <w:top w:val="none" w:sz="0" w:space="0" w:color="auto"/>
            <w:left w:val="none" w:sz="0" w:space="0" w:color="auto"/>
            <w:bottom w:val="none" w:sz="0" w:space="0" w:color="auto"/>
            <w:right w:val="none" w:sz="0" w:space="0" w:color="auto"/>
          </w:divBdr>
        </w:div>
        <w:div w:id="969357438">
          <w:marLeft w:val="640"/>
          <w:marRight w:val="0"/>
          <w:marTop w:val="0"/>
          <w:marBottom w:val="0"/>
          <w:divBdr>
            <w:top w:val="none" w:sz="0" w:space="0" w:color="auto"/>
            <w:left w:val="none" w:sz="0" w:space="0" w:color="auto"/>
            <w:bottom w:val="none" w:sz="0" w:space="0" w:color="auto"/>
            <w:right w:val="none" w:sz="0" w:space="0" w:color="auto"/>
          </w:divBdr>
        </w:div>
        <w:div w:id="386270037">
          <w:marLeft w:val="640"/>
          <w:marRight w:val="0"/>
          <w:marTop w:val="0"/>
          <w:marBottom w:val="0"/>
          <w:divBdr>
            <w:top w:val="none" w:sz="0" w:space="0" w:color="auto"/>
            <w:left w:val="none" w:sz="0" w:space="0" w:color="auto"/>
            <w:bottom w:val="none" w:sz="0" w:space="0" w:color="auto"/>
            <w:right w:val="none" w:sz="0" w:space="0" w:color="auto"/>
          </w:divBdr>
        </w:div>
        <w:div w:id="876158984">
          <w:marLeft w:val="640"/>
          <w:marRight w:val="0"/>
          <w:marTop w:val="0"/>
          <w:marBottom w:val="0"/>
          <w:divBdr>
            <w:top w:val="none" w:sz="0" w:space="0" w:color="auto"/>
            <w:left w:val="none" w:sz="0" w:space="0" w:color="auto"/>
            <w:bottom w:val="none" w:sz="0" w:space="0" w:color="auto"/>
            <w:right w:val="none" w:sz="0" w:space="0" w:color="auto"/>
          </w:divBdr>
        </w:div>
      </w:divsChild>
    </w:div>
    <w:div w:id="1788353895">
      <w:bodyDiv w:val="1"/>
      <w:marLeft w:val="0"/>
      <w:marRight w:val="0"/>
      <w:marTop w:val="0"/>
      <w:marBottom w:val="0"/>
      <w:divBdr>
        <w:top w:val="none" w:sz="0" w:space="0" w:color="auto"/>
        <w:left w:val="none" w:sz="0" w:space="0" w:color="auto"/>
        <w:bottom w:val="none" w:sz="0" w:space="0" w:color="auto"/>
        <w:right w:val="none" w:sz="0" w:space="0" w:color="auto"/>
      </w:divBdr>
      <w:divsChild>
        <w:div w:id="961347733">
          <w:marLeft w:val="640"/>
          <w:marRight w:val="0"/>
          <w:marTop w:val="0"/>
          <w:marBottom w:val="0"/>
          <w:divBdr>
            <w:top w:val="none" w:sz="0" w:space="0" w:color="auto"/>
            <w:left w:val="none" w:sz="0" w:space="0" w:color="auto"/>
            <w:bottom w:val="none" w:sz="0" w:space="0" w:color="auto"/>
            <w:right w:val="none" w:sz="0" w:space="0" w:color="auto"/>
          </w:divBdr>
        </w:div>
        <w:div w:id="1031078465">
          <w:marLeft w:val="640"/>
          <w:marRight w:val="0"/>
          <w:marTop w:val="0"/>
          <w:marBottom w:val="0"/>
          <w:divBdr>
            <w:top w:val="none" w:sz="0" w:space="0" w:color="auto"/>
            <w:left w:val="none" w:sz="0" w:space="0" w:color="auto"/>
            <w:bottom w:val="none" w:sz="0" w:space="0" w:color="auto"/>
            <w:right w:val="none" w:sz="0" w:space="0" w:color="auto"/>
          </w:divBdr>
        </w:div>
        <w:div w:id="1438408090">
          <w:marLeft w:val="640"/>
          <w:marRight w:val="0"/>
          <w:marTop w:val="0"/>
          <w:marBottom w:val="0"/>
          <w:divBdr>
            <w:top w:val="none" w:sz="0" w:space="0" w:color="auto"/>
            <w:left w:val="none" w:sz="0" w:space="0" w:color="auto"/>
            <w:bottom w:val="none" w:sz="0" w:space="0" w:color="auto"/>
            <w:right w:val="none" w:sz="0" w:space="0" w:color="auto"/>
          </w:divBdr>
        </w:div>
        <w:div w:id="337851345">
          <w:marLeft w:val="640"/>
          <w:marRight w:val="0"/>
          <w:marTop w:val="0"/>
          <w:marBottom w:val="0"/>
          <w:divBdr>
            <w:top w:val="none" w:sz="0" w:space="0" w:color="auto"/>
            <w:left w:val="none" w:sz="0" w:space="0" w:color="auto"/>
            <w:bottom w:val="none" w:sz="0" w:space="0" w:color="auto"/>
            <w:right w:val="none" w:sz="0" w:space="0" w:color="auto"/>
          </w:divBdr>
        </w:div>
        <w:div w:id="489836397">
          <w:marLeft w:val="640"/>
          <w:marRight w:val="0"/>
          <w:marTop w:val="0"/>
          <w:marBottom w:val="0"/>
          <w:divBdr>
            <w:top w:val="none" w:sz="0" w:space="0" w:color="auto"/>
            <w:left w:val="none" w:sz="0" w:space="0" w:color="auto"/>
            <w:bottom w:val="none" w:sz="0" w:space="0" w:color="auto"/>
            <w:right w:val="none" w:sz="0" w:space="0" w:color="auto"/>
          </w:divBdr>
        </w:div>
        <w:div w:id="1943562943">
          <w:marLeft w:val="640"/>
          <w:marRight w:val="0"/>
          <w:marTop w:val="0"/>
          <w:marBottom w:val="0"/>
          <w:divBdr>
            <w:top w:val="none" w:sz="0" w:space="0" w:color="auto"/>
            <w:left w:val="none" w:sz="0" w:space="0" w:color="auto"/>
            <w:bottom w:val="none" w:sz="0" w:space="0" w:color="auto"/>
            <w:right w:val="none" w:sz="0" w:space="0" w:color="auto"/>
          </w:divBdr>
        </w:div>
        <w:div w:id="531267027">
          <w:marLeft w:val="640"/>
          <w:marRight w:val="0"/>
          <w:marTop w:val="0"/>
          <w:marBottom w:val="0"/>
          <w:divBdr>
            <w:top w:val="none" w:sz="0" w:space="0" w:color="auto"/>
            <w:left w:val="none" w:sz="0" w:space="0" w:color="auto"/>
            <w:bottom w:val="none" w:sz="0" w:space="0" w:color="auto"/>
            <w:right w:val="none" w:sz="0" w:space="0" w:color="auto"/>
          </w:divBdr>
        </w:div>
        <w:div w:id="1039666345">
          <w:marLeft w:val="640"/>
          <w:marRight w:val="0"/>
          <w:marTop w:val="0"/>
          <w:marBottom w:val="0"/>
          <w:divBdr>
            <w:top w:val="none" w:sz="0" w:space="0" w:color="auto"/>
            <w:left w:val="none" w:sz="0" w:space="0" w:color="auto"/>
            <w:bottom w:val="none" w:sz="0" w:space="0" w:color="auto"/>
            <w:right w:val="none" w:sz="0" w:space="0" w:color="auto"/>
          </w:divBdr>
        </w:div>
        <w:div w:id="198974485">
          <w:marLeft w:val="640"/>
          <w:marRight w:val="0"/>
          <w:marTop w:val="0"/>
          <w:marBottom w:val="0"/>
          <w:divBdr>
            <w:top w:val="none" w:sz="0" w:space="0" w:color="auto"/>
            <w:left w:val="none" w:sz="0" w:space="0" w:color="auto"/>
            <w:bottom w:val="none" w:sz="0" w:space="0" w:color="auto"/>
            <w:right w:val="none" w:sz="0" w:space="0" w:color="auto"/>
          </w:divBdr>
        </w:div>
        <w:div w:id="1528717362">
          <w:marLeft w:val="640"/>
          <w:marRight w:val="0"/>
          <w:marTop w:val="0"/>
          <w:marBottom w:val="0"/>
          <w:divBdr>
            <w:top w:val="none" w:sz="0" w:space="0" w:color="auto"/>
            <w:left w:val="none" w:sz="0" w:space="0" w:color="auto"/>
            <w:bottom w:val="none" w:sz="0" w:space="0" w:color="auto"/>
            <w:right w:val="none" w:sz="0" w:space="0" w:color="auto"/>
          </w:divBdr>
        </w:div>
        <w:div w:id="2101558632">
          <w:marLeft w:val="640"/>
          <w:marRight w:val="0"/>
          <w:marTop w:val="0"/>
          <w:marBottom w:val="0"/>
          <w:divBdr>
            <w:top w:val="none" w:sz="0" w:space="0" w:color="auto"/>
            <w:left w:val="none" w:sz="0" w:space="0" w:color="auto"/>
            <w:bottom w:val="none" w:sz="0" w:space="0" w:color="auto"/>
            <w:right w:val="none" w:sz="0" w:space="0" w:color="auto"/>
          </w:divBdr>
        </w:div>
      </w:divsChild>
    </w:div>
    <w:div w:id="1851487467">
      <w:bodyDiv w:val="1"/>
      <w:marLeft w:val="0"/>
      <w:marRight w:val="0"/>
      <w:marTop w:val="0"/>
      <w:marBottom w:val="0"/>
      <w:divBdr>
        <w:top w:val="none" w:sz="0" w:space="0" w:color="auto"/>
        <w:left w:val="none" w:sz="0" w:space="0" w:color="auto"/>
        <w:bottom w:val="none" w:sz="0" w:space="0" w:color="auto"/>
        <w:right w:val="none" w:sz="0" w:space="0" w:color="auto"/>
      </w:divBdr>
      <w:divsChild>
        <w:div w:id="909923582">
          <w:marLeft w:val="640"/>
          <w:marRight w:val="0"/>
          <w:marTop w:val="0"/>
          <w:marBottom w:val="0"/>
          <w:divBdr>
            <w:top w:val="none" w:sz="0" w:space="0" w:color="auto"/>
            <w:left w:val="none" w:sz="0" w:space="0" w:color="auto"/>
            <w:bottom w:val="none" w:sz="0" w:space="0" w:color="auto"/>
            <w:right w:val="none" w:sz="0" w:space="0" w:color="auto"/>
          </w:divBdr>
        </w:div>
        <w:div w:id="181675856">
          <w:marLeft w:val="640"/>
          <w:marRight w:val="0"/>
          <w:marTop w:val="0"/>
          <w:marBottom w:val="0"/>
          <w:divBdr>
            <w:top w:val="none" w:sz="0" w:space="0" w:color="auto"/>
            <w:left w:val="none" w:sz="0" w:space="0" w:color="auto"/>
            <w:bottom w:val="none" w:sz="0" w:space="0" w:color="auto"/>
            <w:right w:val="none" w:sz="0" w:space="0" w:color="auto"/>
          </w:divBdr>
        </w:div>
        <w:div w:id="2027439633">
          <w:marLeft w:val="640"/>
          <w:marRight w:val="0"/>
          <w:marTop w:val="0"/>
          <w:marBottom w:val="0"/>
          <w:divBdr>
            <w:top w:val="none" w:sz="0" w:space="0" w:color="auto"/>
            <w:left w:val="none" w:sz="0" w:space="0" w:color="auto"/>
            <w:bottom w:val="none" w:sz="0" w:space="0" w:color="auto"/>
            <w:right w:val="none" w:sz="0" w:space="0" w:color="auto"/>
          </w:divBdr>
        </w:div>
        <w:div w:id="1243488705">
          <w:marLeft w:val="640"/>
          <w:marRight w:val="0"/>
          <w:marTop w:val="0"/>
          <w:marBottom w:val="0"/>
          <w:divBdr>
            <w:top w:val="none" w:sz="0" w:space="0" w:color="auto"/>
            <w:left w:val="none" w:sz="0" w:space="0" w:color="auto"/>
            <w:bottom w:val="none" w:sz="0" w:space="0" w:color="auto"/>
            <w:right w:val="none" w:sz="0" w:space="0" w:color="auto"/>
          </w:divBdr>
        </w:div>
        <w:div w:id="311564230">
          <w:marLeft w:val="640"/>
          <w:marRight w:val="0"/>
          <w:marTop w:val="0"/>
          <w:marBottom w:val="0"/>
          <w:divBdr>
            <w:top w:val="none" w:sz="0" w:space="0" w:color="auto"/>
            <w:left w:val="none" w:sz="0" w:space="0" w:color="auto"/>
            <w:bottom w:val="none" w:sz="0" w:space="0" w:color="auto"/>
            <w:right w:val="none" w:sz="0" w:space="0" w:color="auto"/>
          </w:divBdr>
        </w:div>
        <w:div w:id="1764034727">
          <w:marLeft w:val="640"/>
          <w:marRight w:val="0"/>
          <w:marTop w:val="0"/>
          <w:marBottom w:val="0"/>
          <w:divBdr>
            <w:top w:val="none" w:sz="0" w:space="0" w:color="auto"/>
            <w:left w:val="none" w:sz="0" w:space="0" w:color="auto"/>
            <w:bottom w:val="none" w:sz="0" w:space="0" w:color="auto"/>
            <w:right w:val="none" w:sz="0" w:space="0" w:color="auto"/>
          </w:divBdr>
        </w:div>
        <w:div w:id="1577477271">
          <w:marLeft w:val="640"/>
          <w:marRight w:val="0"/>
          <w:marTop w:val="0"/>
          <w:marBottom w:val="0"/>
          <w:divBdr>
            <w:top w:val="none" w:sz="0" w:space="0" w:color="auto"/>
            <w:left w:val="none" w:sz="0" w:space="0" w:color="auto"/>
            <w:bottom w:val="none" w:sz="0" w:space="0" w:color="auto"/>
            <w:right w:val="none" w:sz="0" w:space="0" w:color="auto"/>
          </w:divBdr>
        </w:div>
        <w:div w:id="974258394">
          <w:marLeft w:val="640"/>
          <w:marRight w:val="0"/>
          <w:marTop w:val="0"/>
          <w:marBottom w:val="0"/>
          <w:divBdr>
            <w:top w:val="none" w:sz="0" w:space="0" w:color="auto"/>
            <w:left w:val="none" w:sz="0" w:space="0" w:color="auto"/>
            <w:bottom w:val="none" w:sz="0" w:space="0" w:color="auto"/>
            <w:right w:val="none" w:sz="0" w:space="0" w:color="auto"/>
          </w:divBdr>
        </w:div>
        <w:div w:id="1603147762">
          <w:marLeft w:val="640"/>
          <w:marRight w:val="0"/>
          <w:marTop w:val="0"/>
          <w:marBottom w:val="0"/>
          <w:divBdr>
            <w:top w:val="none" w:sz="0" w:space="0" w:color="auto"/>
            <w:left w:val="none" w:sz="0" w:space="0" w:color="auto"/>
            <w:bottom w:val="none" w:sz="0" w:space="0" w:color="auto"/>
            <w:right w:val="none" w:sz="0" w:space="0" w:color="auto"/>
          </w:divBdr>
        </w:div>
        <w:div w:id="242419731">
          <w:marLeft w:val="640"/>
          <w:marRight w:val="0"/>
          <w:marTop w:val="0"/>
          <w:marBottom w:val="0"/>
          <w:divBdr>
            <w:top w:val="none" w:sz="0" w:space="0" w:color="auto"/>
            <w:left w:val="none" w:sz="0" w:space="0" w:color="auto"/>
            <w:bottom w:val="none" w:sz="0" w:space="0" w:color="auto"/>
            <w:right w:val="none" w:sz="0" w:space="0" w:color="auto"/>
          </w:divBdr>
        </w:div>
        <w:div w:id="1006976294">
          <w:marLeft w:val="640"/>
          <w:marRight w:val="0"/>
          <w:marTop w:val="0"/>
          <w:marBottom w:val="0"/>
          <w:divBdr>
            <w:top w:val="none" w:sz="0" w:space="0" w:color="auto"/>
            <w:left w:val="none" w:sz="0" w:space="0" w:color="auto"/>
            <w:bottom w:val="none" w:sz="0" w:space="0" w:color="auto"/>
            <w:right w:val="none" w:sz="0" w:space="0" w:color="auto"/>
          </w:divBdr>
        </w:div>
        <w:div w:id="195140103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5.png"/><Relationship Id="rId33" Type="http://schemas.openxmlformats.org/officeDocument/2006/relationships/image" Target="media/image110.png"/><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glossaryDocument" Target="glossary/document.xml"/><Relationship Id="rId5"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0.png"/><Relationship Id="rId31" Type="http://schemas.openxmlformats.org/officeDocument/2006/relationships/image" Target="media/image100.jp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80.png"/><Relationship Id="rId30" Type="http://schemas.openxmlformats.org/officeDocument/2006/relationships/image" Target="media/image11.jpg"/><Relationship Id="rId35"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2F45F66-393D-4FEF-8E67-9FF5271EAF1B}"/>
      </w:docPartPr>
      <w:docPartBody>
        <w:p w:rsidR="00ED6D73" w:rsidRDefault="00000000">
          <w:r>
            <w:rPr>
              <w:rStyle w:val="PlaceholderText"/>
            </w:rPr>
            <w:t>Click or tap here to enter text.</w:t>
          </w:r>
        </w:p>
      </w:docPartBody>
    </w:docPart>
    <w:docPart>
      <w:docPartPr>
        <w:name w:val="7115726531CA4286803F7BDA047303FB"/>
        <w:category>
          <w:name w:val="General"/>
          <w:gallery w:val="placeholder"/>
        </w:category>
        <w:types>
          <w:type w:val="bbPlcHdr"/>
        </w:types>
        <w:behaviors>
          <w:behavior w:val="content"/>
        </w:behaviors>
        <w:guid w:val="{04B82DDB-0A10-4EB1-9957-9A798ED828E4}"/>
      </w:docPartPr>
      <w:docPartBody>
        <w:p w:rsidR="00EA22F0" w:rsidRDefault="00D158B2" w:rsidP="00D158B2">
          <w:pPr>
            <w:pStyle w:val="7115726531CA4286803F7BDA047303FB"/>
          </w:pPr>
          <w:r w:rsidRPr="00DC3A00">
            <w:rPr>
              <w:rStyle w:val="PlaceholderText"/>
            </w:rPr>
            <w:t>Click or tap here to enter text.</w:t>
          </w:r>
        </w:p>
      </w:docPartBody>
    </w:docPart>
    <w:docPart>
      <w:docPartPr>
        <w:name w:val="5C4F45F61DB8494FA7C6B5992EDDC36C"/>
        <w:category>
          <w:name w:val="General"/>
          <w:gallery w:val="placeholder"/>
        </w:category>
        <w:types>
          <w:type w:val="bbPlcHdr"/>
        </w:types>
        <w:behaviors>
          <w:behavior w:val="content"/>
        </w:behaviors>
        <w:guid w:val="{5C536B0D-FFF3-40D0-B5C9-12BC81A1B38A}"/>
      </w:docPartPr>
      <w:docPartBody>
        <w:p w:rsidR="00EA22F0" w:rsidRDefault="00D158B2" w:rsidP="00D158B2">
          <w:pPr>
            <w:pStyle w:val="5C4F45F61DB8494FA7C6B5992EDDC36C"/>
          </w:pPr>
          <w:r w:rsidRPr="00DC3A00">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412E" w:rsidRDefault="009B412E">
      <w:pPr>
        <w:spacing w:after="0" w:line="240" w:lineRule="auto"/>
      </w:pPr>
      <w:r>
        <w:separator/>
      </w:r>
    </w:p>
  </w:endnote>
  <w:endnote w:type="continuationSeparator" w:id="0">
    <w:p w:rsidR="009B412E" w:rsidRDefault="009B412E">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412E" w:rsidRDefault="009B412E">
      <w:pPr>
        <w:spacing w:after="0" w:line="240" w:lineRule="auto"/>
      </w:pPr>
      <w:r>
        <w:separator/>
      </w:r>
    </w:p>
  </w:footnote>
  <w:footnote w:type="continuationSeparator" w:id="0">
    <w:p w:rsidR="009B412E" w:rsidRDefault="009B412E">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D73"/>
    <w:rsid w:val="000168CB"/>
    <w:rsid w:val="00035611"/>
    <w:rsid w:val="000936D4"/>
    <w:rsid w:val="000B13C4"/>
    <w:rsid w:val="002E0239"/>
    <w:rsid w:val="002E428D"/>
    <w:rsid w:val="00326732"/>
    <w:rsid w:val="00433F3A"/>
    <w:rsid w:val="0050582D"/>
    <w:rsid w:val="00644687"/>
    <w:rsid w:val="00950F64"/>
    <w:rsid w:val="009B412E"/>
    <w:rsid w:val="009D2427"/>
    <w:rsid w:val="00A101F1"/>
    <w:rsid w:val="00A94F20"/>
    <w:rsid w:val="00AC3E35"/>
    <w:rsid w:val="00D158B2"/>
    <w:rsid w:val="00EA22F0"/>
    <w:rsid w:val="00ED6D73"/>
    <w:rsid w:val="00F07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rial" w:eastAsia="Arial" w:hAnsi="Arial" w:cs="Arial"/>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Arial" w:eastAsia="Arial" w:hAnsi="Arial" w:cs="Arial"/>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Arial" w:eastAsia="Arial" w:hAnsi="Arial" w:cs="Arial"/>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0F4761"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0F4761"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0F476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0F4761" w:themeColor="accent1" w:themeShade="BF"/>
    </w:rPr>
  </w:style>
  <w:style w:type="character" w:customStyle="1" w:styleId="Heading5Char">
    <w:name w:val="Heading 5 Char"/>
    <w:basedOn w:val="DefaultParagraphFont"/>
    <w:link w:val="Heading5"/>
    <w:uiPriority w:val="9"/>
    <w:rPr>
      <w:rFonts w:ascii="Arial" w:eastAsia="Arial" w:hAnsi="Arial" w:cs="Arial"/>
      <w:color w:val="0F476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sid w:val="00D158B2"/>
    <w:rPr>
      <w:color w:val="666666"/>
    </w:rPr>
  </w:style>
  <w:style w:type="paragraph" w:customStyle="1" w:styleId="7115726531CA4286803F7BDA047303FB">
    <w:name w:val="7115726531CA4286803F7BDA047303FB"/>
    <w:rsid w:val="00D158B2"/>
    <w:rPr>
      <w:kern w:val="2"/>
    </w:rPr>
  </w:style>
  <w:style w:type="paragraph" w:customStyle="1" w:styleId="5C4F45F61DB8494FA7C6B5992EDDC36C">
    <w:name w:val="5C4F45F61DB8494FA7C6B5992EDDC36C"/>
    <w:rsid w:val="00D158B2"/>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24DE43-AE4E-4D7D-B3E9-3DC3309BDB3A}">
  <we:reference id="wa104382081" version="1.55.1.0" store="en-US" storeType="OMEX"/>
  <we:alternateReferences>
    <we:reference id="WA104382081" version="1.55.1.0" store="" storeType="OMEX"/>
  </we:alternateReferences>
  <we:properties>
    <we:property name="MENDELEY_CITATIONS" value="[{&quot;citationID&quot;:&quot;MENDELEY_CITATION_f306ef72-dbd3-4e21-8302-423f66a2151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&quot;,&quot;citationItems&quot;:[{&quot;id&quot;:&quot;e6c431fa-695b-39fd-b4a8-7c53634a7bf0&quot;,&quot;itemData&quot;:{&quot;type&quot;:&quot;article-journal&quot;,&quot;id&quot;:&quot;e6c431fa-695b-39fd-b4a8-7c53634a7bf0&quot;,&quot;title&quot;:&quot;Towards universal neural network interatomic potential&quot;,&quot;author&quot;:[{&quot;family&quot;:&quot;Takamoto&quot;,&quot;given&quot;:&quot;So&quot;,&quot;parse-names&quot;:false,&quot;dropping-particle&quot;:&quot;&quot;,&quot;non-dropping-particle&quot;:&quot;&quot;},{&quot;family&quot;:&quot;Okanohara&quot;,&quot;given&quot;:&quot;Daisuke&quot;,&quot;parse-names&quot;:false,&quot;dropping-particle&quot;:&quot;&quot;,&quot;non-dropping-particle&quot;:&quot;&quot;},{&quot;family&quot;:&quot;Li&quot;,&quot;given&quot;:&quot;Qing Jie&quot;,&quot;parse-names&quot;:false,&quot;dropping-particle&quot;:&quot;&quot;,&quot;non-dropping-particle&quot;:&quot;&quot;},{&quot;family&quot;:&quot;Li&quot;,&quot;given&quot;:&quot;Ju&quot;,&quot;parse-names&quot;:false,&quot;dropping-particle&quot;:&quot;&quot;,&quot;non-dropping-particle&quot;:&quot;&quot;}],&quot;container-title&quot;:&quot;Journal of Materiomics&quot;,&quot;accessed&quot;:{&quot;date-parts&quot;:[[2025,1,23]]},&quot;DOI&quot;:&quot;10.1016/J.JMAT.2022.12.007&quot;,&quot;ISSN&quot;:&quot;23528486&quot;,&quot;URL&quot;:&quot;https://www.researchgate.net/publication/367556006_Towards_universal_neural_network_interatomic_potential&quot;,&quot;issued&quot;:{&quot;date-parts&quot;:[[2023,5,1]]},&quot;page&quot;:&quot;447-454&quot;,&quot;publisher&quot;:&quot;Chinese Ceramic Society&quot;,&quot;issue&quot;:&quot;3&quot;,&quot;volume&quot;:&quot;9&quot;,&quot;container-title-short&quot;:&quot;&quot;},&quot;isTemporary&quot;:false},{&quot;id&quot;:&quot;55b0e399-ab95-397f-bc26-2f274ec11ad5&quot;,&quot;itemData&quot;:{&quot;type&quot;:&quot;article-journal&quot;,&quot;id&quot;:&quot;55b0e399-ab95-397f-bc26-2f274ec11ad5&quot;,&quot;title&quot;:&quot;Towards universal neural network potential for material discovery applicable to arbitrary combination of 45 elements&quot;,&quot;author&quot;:[{&quot;family&quot;:&quot;Takamoto&quot;,&quot;given&quot;:&quot;So&quot;,&quot;parse-names&quot;:false,&quot;dropping-particle&quot;:&quot;&quot;,&quot;non-dropping-particle&quot;:&quot;&quot;},{&quot;family&quot;:&quot;Shinagawa&quot;,&quot;given&quot;:&quot;Chikashi&quot;,&quot;parse-names&quot;:false,&quot;dropping-particle&quot;:&quot;&quot;,&quot;non-dropping-particle&quot;:&quot;&quot;},{&quot;family&quot;:&quot;Motoki&quot;,&quot;given&quot;:&quot;Daisuke&quot;,&quot;parse-names&quot;:false,&quot;dropping-particle&quot;:&quot;&quot;,&quot;non-dropping-particle&quot;:&quot;&quot;},{&quot;family&quot;:&quot;Nakago&quot;,&quot;given&quot;:&quot;Kosuke&quot;,&quot;parse-names&quot;:false,&quot;dropping-particle&quot;:&quot;&quot;,&quot;non-dropping-particle&quot;:&quot;&quot;},{&quot;family&quot;:&quot;Li&quot;,&quot;given&quot;:&quot;Wenwen&quot;,&quot;parse-names&quot;:false,&quot;dropping-particle&quot;:&quot;&quot;,&quot;non-dropping-particle&quot;:&quot;&quot;},{&quot;family&quot;:&quot;Kurata&quot;,&quot;given&quot;:&quot;Iori&quot;,&quot;parse-names&quot;:false,&quot;dropping-particle&quot;:&quot;&quot;,&quot;non-dropping-particle&quot;:&quot;&quot;},{&quot;family&quot;:&quot;Watanabe&quot;,&quot;given&quot;:&quot;Taku&quot;,&quot;parse-names&quot;:false,&quot;dropping-particle&quot;:&quot;&quot;,&quot;non-dropping-particle&quot;:&quot;&quot;},{&quot;family&quot;:&quot;Yayama&quot;,&quot;given&quot;:&quot;Yoshihiro&quot;,&quot;parse-names&quot;:false,&quot;dropping-particle&quot;:&quot;&quot;,&quot;non-dropping-particle&quot;:&quot;&quot;},{&quot;family&quot;:&quot;Iriguchi&quot;,&quot;given&quot;:&quot;Hiroki&quot;,&quot;parse-names&quot;:false,&quot;dropping-particle&quot;:&quot;&quot;,&quot;non-dropping-particle&quot;:&quot;&quot;},{&quot;family&quot;:&quot;Asano&quot;,&quot;given&quot;:&quot;Yusuke&quot;,&quot;parse-names&quot;:false,&quot;dropping-particle&quot;:&quot;&quot;,&quot;non-dropping-particle&quot;:&quot;&quot;},{&quot;family&quot;:&quot;Onodera&quot;,&quot;given&quot;:&quot;Tasuku&quot;,&quot;parse-names&quot;:false,&quot;dropping-particle&quot;:&quot;&quot;,&quot;non-dropping-particle&quot;:&quot;&quot;},{&quot;family&quot;:&quot;Ishii&quot;,&quot;given&quot;:&quot;Takafumi&quot;,&quot;parse-names&quot;:false,&quot;dropping-particle&quot;:&quot;&quot;,&quot;non-dropping-particle&quot;:&quot;&quot;},{&quot;family&quot;:&quot;Kudo&quot;,&quot;given&quot;:&quot;Takao&quot;,&quot;parse-names&quot;:false,&quot;dropping-particle&quot;:&quot;&quot;,&quot;non-dropping-particle&quot;:&quot;&quot;},{&quot;family&quot;:&quot;Ono&quot;,&quot;given&quot;:&quot;Hideki&quot;,&quot;parse-names&quot;:false,&quot;dropping-particle&quot;:&quot;&quot;,&quot;non-dropping-particle&quot;:&quot;&quot;},{&quot;family&quot;:&quot;Sawada&quot;,&quot;given&quot;:&quot;Ryohto&quot;,&quot;parse-names&quot;:false,&quot;dropping-particle&quot;:&quot;&quot;,&quot;non-dropping-particle&quot;:&quot;&quot;},{&quot;family&quot;:&quot;Ishitani&quot;,&quot;given&quot;:&quot;Ryuichiro&quot;,&quot;parse-names&quot;:false,&quot;dropping-particle&quot;:&quot;&quot;,&quot;non-dropping-particle&quot;:&quot;&quot;},{&quot;family&quot;:&quot;Ong&quot;,&quot;given&quot;:&quot;Marc&quot;,&quot;parse-names&quot;:false,&quot;dropping-particle&quot;:&quot;&quot;,&quot;non-dropping-particle&quot;:&quot;&quot;},{&quot;family&quot;:&quot;Yamaguchi&quot;,&quot;given&quot;:&quot;Taiki&quot;,&quot;parse-names&quot;:false,&quot;dropping-particle&quot;:&quot;&quot;,&quot;non-dropping-particle&quot;:&quot;&quot;},{&quot;family&quot;:&quot;Kataoka&quot;,&quot;given&quot;:&quot;Toshiki&quot;,&quot;parse-names&quot;:false,&quot;dropping-particle&quot;:&quot;&quot;,&quot;non-dropping-particle&quot;:&quot;&quot;},{&quot;family&quot;:&quot;Hayashi&quot;,&quot;given&quot;:&quot;Akihide&quot;,&quot;parse-names&quot;:false,&quot;dropping-particle&quot;:&quot;&quot;,&quot;non-dropping-particle&quot;:&quot;&quot;},{&quot;family&quot;:&quot;Charoenphakdee&quot;,&quot;given&quot;:&quot;Nontawat&quot;,&quot;parse-names&quot;:false,&quot;dropping-particle&quot;:&quot;&quot;,&quot;non-dropping-particle&quot;:&quot;&quot;},{&quot;family&quot;:&quot;Ibuka&quot;,&quot;given&quot;:&quot;Takeshi&quot;,&quot;parse-names&quot;:false,&quot;dropping-particle&quot;:&quot;&quot;,&quot;non-dropping-particle&quot;:&quot;&quot;}],&quot;container-title&quot;:&quot;Nature Communications 2022 13:1&quot;,&quot;accessed&quot;:{&quot;date-parts&quot;:[[2025,1,23]]},&quot;DOI&quot;:&quot;10.1038/s41467-022-30687-9&quot;,&quot;ISSN&quot;:&quot;2041-1723&quot;,&quot;PMID&quot;:&quot;35637178&quot;,&quot;URL&quot;:&quot;https://www.nature.com/articles/s41467-022-30687-9&quot;,&quot;issued&quot;:{&quot;date-parts&quot;:[[2022,5,30]]},&quot;page&quot;:&quot;1-11&quot;,&quot;abstract&quot;:&quot;Computational material discovery is under intense study owing to its ability to explore the vast space of chemical systems. Neural network potentials (NNPs) have been shown to be particularly effective in conducting atomistic simulations for such purposes. However, existing NNPs are generally designed for narrow target materials, making them unsuitable for broader applications in material discovery. Here we report a development of universal NNP called PreFerred Potential (PFP), which is able to handle any combination of 45 elements. Particular emphasis is placed on the datasets, which include a diverse set of virtual structures used to attain the universality. We demonstrated the applicability of PFP in selected domains: lithium diffusion in LiFeSO4F, molecular adsorption in metal-organic frameworks, an order–disorder transition of Cu-Au alloys, and material discovery for a Fischer–Tropsch catalyst. They showcase the power of PFP, and this technology provides a highly useful tool for material discovery. Existing neural network potentials are generally designed for narrow target materials. Here the authors develop a neural network potential which is able to handle any combination of 45 elements and show its applicability in multiple domains.&quot;,&quot;publisher&quot;:&quot;Nature Publishing Group&quot;,&quot;issue&quot;:&quot;1&quot;,&quot;volume&quot;:&quot;13&quot;,&quot;container-title-short&quot;:&quot;&quot;},&quot;isTemporary&quot;:false}]},{&quot;citationID&quot;:&quot;MENDELEY_CITATION_53a88fc3-48eb-425a-bd41-93dc8ed3dec5&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&quot;,&quot;citationItems&quot;:[{&quot;id&quot;:&quot;14380db3-c56b-381b-8bcd-97c713047d5b&quot;,&quot;itemData&quot;:{&quot;type&quot;:&quot;article-journal&quot;,&quot;id&quot;:&quot;14380db3-c56b-381b-8bcd-97c713047d5b&quot;,&quot;title&quot;:&quot;Molecular dynamics with coupling to an external bath&quot;,&quot;author&quot;:[{&quot;family&quot;:&quot;Berendsen&quot;,&quot;given&quot;:&quot;H. J.C.&quot;,&quot;parse-names&quot;:false,&quot;dropping-particle&quot;:&quot;&quot;,&quot;non-dropping-particle&quot;:&quot;&quot;},{&quot;family&quot;:&quot;Postma&quot;,&quot;given&quot;:&quot;J. P.M.&quot;,&quot;parse-names&quot;:false,&quot;dropping-particle&quot;:&quot;&quot;,&quot;non-dropping-particle&quot;:&quot;&quot;},{&quot;family&quot;:&quot;Gunsteren&quot;,&quot;given&quot;:&quot;W. F.&quot;,&quot;parse-names&quot;:false,&quot;dropping-particle&quot;:&quot;&quot;,&quot;non-dropping-particle&quot;:&quot;Van&quot;},{&quot;family&quot;:&quot;Dinola&quot;,&quot;given&quot;:&quot;A.&quot;,&quot;parse-names&quot;:false,&quot;dropping-particle&quot;:&quot;&quot;,&quot;non-dropping-particle&quot;:&quot;&quot;},{&quot;family&quot;:&quot;Haak&quot;,&quot;given&quot;:&quot;J. R.&quot;,&quot;parse-names&quot;:false,&quot;dropping-particle&quot;:&quot;&quot;,&quot;non-dropping-particle&quot;:&quot;&quot;}],&quot;container-title&quot;:&quot;The Journal of Chemical Physics&quot;,&quot;container-title-short&quot;:&quot;J Chem Phys&quot;,&quot;accessed&quot;:{&quot;date-parts&quot;:[[2025,1,23]]},&quot;DOI&quot;:&quot;10.1063/1.448118&quot;,&quot;ISSN&quot;:&quot;00219606&quot;,&quot;URL&quot;:&quot;https://www.researchgate.net/publication/220044061_Molecular-Dynamics_with_Coupling_to_An_External_Bath&quot;,&quot;issued&quot;:{&quot;date-parts&quot;:[[1984]]},&quot;page&quot;:&quot;3684-3690&quot;,&quot;abstract&quot;:&quot;In molecular dynamics (MD) simulations the need often arises to maintain such parameters as temperature or pressure rather than energy and volume, or to impose gradients for studying transport properties in nonequilibrium MD. A method is described to realize coupling to an external bath with constant temperature or pressure with adjustable time constants for the coupling. The method is easily extendable to other variables and to gradients, and can be applied also to polyatomic molecules involving internal constraints. The influence of coupling time constants on dynamical variables is evaluated. A leap-frog algorithm is presented for the general case involving constraints with coupling to both a constant temperature and a constant pressure bath. © 1984 American Institute of Physics.&quot;,&quot;issue&quot;:&quot;8&quot;,&quot;volume&quot;:&quot;81&quot;},&quot;isTemporary&quot;:false}]},{&quot;citationID&quot;:&quot;MENDELEY_CITATION_a4810447-a795-4a3e-bb23-13fa04339f1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&quot;,&quot;citationItems&quot;:[{&quot;id&quot;:&quot;b386cef4-0162-3595-9649-3b0ab1c47876&quot;,&quot;itemData&quot;:{&quot;type&quot;:&quot;book&quot;,&quot;id&quot;:&quot;b386cef4-0162-3595-9649-3b0ab1c47876&quot;,&quot;title&quot;:&quot;Practical Methods of Optimization&quot;,&quot;author&quot;:[{&quot;family&quot;:&quot;Fletcher&quot;,&quot;given&quot;:&quot;R.&quot;,&quot;parse-names&quot;:false,&quot;dropping-particle&quot;:&quot;&quot;,&quot;non-dropping-particle&quot;:&quot;&quot;}],&quot;accessed&quot;:{&quot;date-parts&quot;:[[2025,1,23]]},&quot;DOI&quot;:&quot;10.1002/9781118723203&quot;,&quot;ISBN&quot;:&quot;9780471915478&quot;,&quot;URL&quot;:&quot;https://onlinelibrary.wiley.com/doi/book/10.1002/9781118723203&quot;,&quot;issued&quot;:{&quot;date-parts&quot;:[[2000,5,23]]},&quot;number-of-pages&quot;:&quot;436&quot;,&quot;publisher&quot;:&quot;Wiley&quot;,&quot;container-title-short&quot;:&quot;&quot;},&quot;isTemporary&quot;:false}]},{&quot;citationID&quot;:&quot;MENDELEY_CITATION_0d50d3ff-7657-4487-8105-ddb58e39240d&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&quot;,&quot;citationItems&quot;:[{&quot;id&quot;:&quot;b73d15d8-e422-5e51-8df6-80deb92c9831&quot;,&quot;itemData&quot;:{&quot;DOI&quot;:&quot;10.1201/b17118&quot;,&quot;ISBN&quot;:&quot;9780429170195&quot;,&quot;editor&quot;:[{&quot;dropping-particle&quot;:&quot;&quot;,&quot;family&quot;:&quot;Haynes&quot;,&quot;given&quot;:&quot;William M.&quot;,&quot;non-dropping-particle&quot;:&quot;&quot;,&quot;parse-names&quot;:false,&quot;suffix&quot;:&quot;&quot;}],&quot;id&quot;:&quot;b73d15d8-e422-5e51-8df6-80deb92c9831&quot;,&quot;issued&quot;:{&quot;date-parts&quot;:[[&quot;2014&quot;,&quot;6&quot;,&quot;4&quot;]]},&quot;publisher&quot;:&quot;CRC Press&quot;,&quot;title&quot;:&quot;CRC Handbook of Chemistry and Physics&quot;,&quot;type&quot;:&quot;book&quot;,&quot;container-title-short&quot;:&quot;&quot;},&quot;uris&quot;:[&quot;http://www.mendeley.com/documents/?uuid=9de099d1-fb6a-40e1-b4fa-b1344d50df2f&quot;],&quot;isTemporary&quot;:false,&quot;legacyDesktopId&quot;:&quot;9de099d1-fb6a-40e1-b4fa-b1344d50df2f&quot;}]},{&quot;citationID&quot;:&quot;MENDELEY_CITATION_63799459-3db6-4610-b103-a1653c781475&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&quot;,&quot;citationItems&quot;:[{&quot;id&quot;:&quot;b7cb0e78-593f-53f9-80c3-49a65e0fac53&quot;,&quot;itemData&quot;:{&quot;DOI&quot;:&quot;https://dx.doi.org/10.18434/T4HS32&quot;,&quot;URL&quot;:&quot;http://physics.nist.gov/ffast&quot;,&quot;author&quot;:[{&quot;dropping-particle&quot;:&quot;&quot;,&quot;family&quot;:&quot;Chantler, C.T., Olsen, K., Dragoset, R.A., Chang, J., Kishore, A.R., Kotochigova, S.A., and Zucker&quot;,&quot;given&quot;:&quot;D.S.&quot;,&quot;non-dropping-particle&quot;:&quot;&quot;,&quot;parse-names&quot;:false,&quot;suffix&quot;:&quot;&quot;}],&quot;container-title&quot;:&quot;X-Ray Form Factor, Attenuation and Scattering Tables (version 2.1). [Online]&quot;,&quot;id&quot;:&quot;b7cb0e78-593f-53f9-80c3-49a65e0fac53&quot;,&quot;issued&quot;:{&quot;date-parts&quot;:[[&quot;2005&quot;]]},&quot;title&quot;:&quot;X-Ray Form Factor, Attenuation and Scattering Tables (version 2.1)&quot;,&quot;type&quot;:&quot;webpage&quot;,&quot;container-title-short&quot;:&quot;&quot;},&quot;uris&quot;:[&quot;http://www.mendeley.com/documents/?uuid=08394344-2e59-4361-a4c2-24fa36297d84&quot;],&quot;isTemporary&quot;:false,&quot;legacyDesktopId&quot;:&quot;08394344-2e59-4361-a4c2-24fa36297d84&quot;}]},{&quot;citationID&quot;:&quot;MENDELEY_CITATION_29b75ce6-c84a-4c01-885f-636e24766d88&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&quot;,&quot;citationItems&quot;:[{&quot;id&quot;:&quot;bea737ec-1bd4-51db-9d02-510c8ae91914&quot;,&quot;itemData&quot;:{&quot;DOI&quot;:&quot;10.1021/j150579a011&quot;,&quot;ISSN&quot;:&quot;00223654&quot;,&quot;abstract&quot;:&quot;The empirical correction to Stokes' law proposed by Robinson and Stokes has been extended for small ions to provide a concordant set of radii for the hydrated ions. Ions with a crystal ionic radius of about 2 Å. exhibit a minimum hydrated radius of 3.3 Å. corresponding to the maximum in the equivalent conductance. The internal consistency of the set of radii is demonstrated by correlation with the temperature coefficient of equivalent conductance, the viscosity B-coefficient and the partial molar ionic entropy. Except for the small monatomic ions with the minimum hydrated radius, the hydrated ionic radius at 25° is demonstrated to be a linear function of the viscosity B-coefficient. The significance of this relation is discussed in terms of the structural modification rendered by the ions to water.&quot;,&quot;author&quot;:[{&quot;dropping-particle&quot;:&quot;&quot;,&quot;family&quot;:&quot;Nightingale&quot;,&quot;given&quot;:&quot;E. R.&quot;,&quot;non-dropping-particle&quot;:&quot;&quot;,&quot;parse-names&quot;:false,&quot;suffix&quot;:&quot;&quot;}],&quot;container-title&quot;:&quot;Journal of Physical Chemistry&quot;,&quot;id&quot;:&quot;bea737ec-1bd4-51db-9d02-510c8ae91914&quot;,&quot;issue&quot;:&quot;9&quot;,&quot;issued&quot;:{&quot;date-parts&quot;:[[&quot;1959&quot;]]},&quot;page&quot;:&quot;1381-1387&quot;,&quot;title&quot;:&quot;Phenomenological theory of ion solvation. Effective radii of hydrated ions&quot;,&quot;type&quot;:&quot;article-journal&quot;,&quot;volume&quot;:&quot;63&quot;,&quot;container-title-short&quot;:&quot;&quot;},&quot;uris&quot;:[&quot;http://www.mendeley.com/documents/?uuid=28d99ed2-ba3e-48d2-8a0f-32c909731576&quot;],&quot;isTemporary&quot;:false,&quot;legacyDesktopId&quot;:&quot;28d99ed2-ba3e-48d2-8a0f-32c909731576&quot;},{&quot;id&quot;:&quot;ce62f6d0-8c4a-372f-8d3a-ff4ab65b571d&quot;,&quot;itemData&quot;:{&quot;type&quot;:&quot;article-journal&quot;,&quot;id&quot;:&quot;ce62f6d0-8c4a-372f-8d3a-ff4ab65b571d&quot;,&quot;title&quot;:&quot;A combinatorial study of electrochemical anion intercalation into graphite&quot;,&quot;author&quot;:[{&quot;family&quot;:&quot;Chugh&quot;,&quot;given&quot;:&quot;Manjusha&quot;,&quot;parse-names&quot;:false,&quot;dropping-particle&quot;:&quot;&quot;,&quot;non-dropping-particle&quot;:&quot;&quot;},{&quot;family&quot;:&quot;Jain&quot;,&quot;given&quot;:&quot;Mitisha&quot;,&quot;parse-names&quot;:false,&quot;dropping-particle&quot;:&quot;&quot;,&quot;non-dropping-particle&quot;:&quot;&quot;},{&quot;family&quot;:&quot;Wang&quot;,&quot;given&quot;:&quot;Gang&quot;,&quot;parse-names&quot;:false,&quot;dropping-particle&quot;:&quot;&quot;,&quot;non-dropping-particle&quot;:&quot;&quot;},{&quot;family&quot;:&quot;Nia&quot;,&quot;given&quot;:&quot;Ali Shaygan&quot;,&quot;parse-names&quot;:false,&quot;dropping-particle&quot;:&quot;&quot;,&quot;non-dropping-particle&quot;:&quot;&quot;},{&quot;family&quot;:&quot;Mirhosseini&quot;,&quot;given&quot;:&quot;Hossein&quot;,&quot;parse-names&quot;:false,&quot;dropping-particle&quot;:&quot;&quot;,&quot;non-dropping-particle&quot;:&quot;&quot;},{&quot;family&quot;:&quot;Kühne&quot;,&quot;given&quot;:&quot;Thomas D.&quot;,&quot;parse-names&quot;:false,&quot;dropping-particle&quot;:&quot;&quot;,&quot;non-dropping-particle&quot;:&quot;&quot;}],&quot;container-title&quot;:&quot;Materials Research Express&quot;,&quot;container-title-short&quot;:&quot;Mater Res Express&quot;,&quot;DOI&quot;:&quot;10.1088/2053-1591/ac1965&quot;,&quot;ISSN&quot;:&quot;20531591&quot;,&quot;issued&quot;:{&quot;date-parts&quot;:[[2021]]},&quot;abstract&quot;:&quot;Dual-ion batteries are considered to be an emerging viable energy storage technology owing to their safety, high power capability, low cost, and scalability. Intercalation of anions into a graphite positive electrode provides high operating voltage and improved energy density to such dual-ion batteries. In this work, we have performed a combinatorial study of graphite intercalation compounds considering four anions, namely hexafluorophosphate (PF-6 ), perchlorate (ClO-4 ), bis(fluorosulfonyl)imide (FSI-), and bis(trifluoromethanesulfonyl)imide (TFSI-), via first-principles calculations. The structural properties and energetics of the intercalation compounds are compared based on different sizes, geometries, and the physical and chemical properties of the intercalated anions. The staging mechanism of anion intercalation into graphite and the specific capacities, and voltage profiles of the intercalated compounds are investigated. Acomparison regarding battery electrochemistry is also done with available experimental observations. Our calculated intercalation energies and voltage profiles show that the initial anion intercalation into graphite is less favorable than subsequent ones for all the anions considered in this study. Although the effect of the size of anions in a graphite cathode on various properties of the intercalated compounds is not as significant as the size of cations in a graphite anode, some distinction between the studied anions can still be made. Among the studied anions, the intercalation compounds based on PF-6 are the most stable ones. These PF-6 anions cause relatively small structural deformations of the graphite and have the highest oxidative ability, highest onset voltage, and highest diffusion barrier along the graphene sheets. The overall small diffusion barriers of the anions within graphite explain the high rate capability of dual-ion batteries.&quot;,&quot;publisher&quot;:&quot;IOP Publishing&quot;,&quot;issue&quot;:&quot;8&quot;,&quot;volume&quot;:&quot;8&quot;},&quot;isTemporary&quot;:false}]},{&quot;citationID&quot;:&quot;MENDELEY_CITATION_f92a3e0d-5a46-40d5-9ca8-293b68c6d7a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&quot;,&quot;citationItems&quot;:[{&quot;id&quot;:&quot;ce62f6d0-8c4a-372f-8d3a-ff4ab65b571d&quot;,&quot;itemData&quot;:{&quot;type&quot;:&quot;article-journal&quot;,&quot;id&quot;:&quot;ce62f6d0-8c4a-372f-8d3a-ff4ab65b571d&quot;,&quot;title&quot;:&quot;A combinatorial study of electrochemical anion intercalation into graphite&quot;,&quot;author&quot;:[{&quot;family&quot;:&quot;Chugh&quot;,&quot;given&quot;:&quot;Manjusha&quot;,&quot;parse-names&quot;:false,&quot;dropping-particle&quot;:&quot;&quot;,&quot;non-dropping-particle&quot;:&quot;&quot;},{&quot;family&quot;:&quot;Jain&quot;,&quot;given&quot;:&quot;Mitisha&quot;,&quot;parse-names&quot;:false,&quot;dropping-particle&quot;:&quot;&quot;,&quot;non-dropping-particle&quot;:&quot;&quot;},{&quot;family&quot;:&quot;Wang&quot;,&quot;given&quot;:&quot;Gang&quot;,&quot;parse-names&quot;:false,&quot;dropping-particle&quot;:&quot;&quot;,&quot;non-dropping-particle&quot;:&quot;&quot;},{&quot;family&quot;:&quot;Nia&quot;,&quot;given&quot;:&quot;Ali Shaygan&quot;,&quot;parse-names&quot;:false,&quot;dropping-particle&quot;:&quot;&quot;,&quot;non-dropping-particle&quot;:&quot;&quot;},{&quot;family&quot;:&quot;Mirhosseini&quot;,&quot;given&quot;:&quot;Hossein&quot;,&quot;parse-names&quot;:false,&quot;dropping-particle&quot;:&quot;&quot;,&quot;non-dropping-particle&quot;:&quot;&quot;},{&quot;family&quot;:&quot;Kühne&quot;,&quot;given&quot;:&quot;Thomas D.&quot;,&quot;parse-names&quot;:false,&quot;dropping-particle&quot;:&quot;&quot;,&quot;non-dropping-particle&quot;:&quot;&quot;}],&quot;container-title&quot;:&quot;Materials Research Express&quot;,&quot;container-title-short&quot;:&quot;Mater Res Express&quot;,&quot;DOI&quot;:&quot;10.1088/2053-1591/ac1965&quot;,&quot;ISSN&quot;:&quot;20531591&quot;,&quot;issued&quot;:{&quot;date-parts&quot;:[[2021]]},&quot;abstract&quot;:&quot;Dual-ion batteries are considered to be an emerging viable energy storage technology owing to their safety, high power capability, low cost, and scalability. Intercalation of anions into a graphite positive electrode provides high operating voltage and improved energy density to such dual-ion batteries. In this work, we have performed a combinatorial study of graphite intercalation compounds considering four anions, namely hexafluorophosphate (PF-6 ), perchlorate (ClO-4 ), bis(fluorosulfonyl)imide (FSI-), and bis(trifluoromethanesulfonyl)imide (TFSI-), via first-principles calculations. The structural properties and energetics of the intercalation compounds are compared based on different sizes, geometries, and the physical and chemical properties of the intercalated anions. The staging mechanism of anion intercalation into graphite and the specific capacities, and voltage profiles of the intercalated compounds are investigated. Acomparison regarding battery electrochemistry is also done with available experimental observations. Our calculated intercalation energies and voltage profiles show that the initial anion intercalation into graphite is less favorable than subsequent ones for all the anions considered in this study. Although the effect of the size of anions in a graphite cathode on various properties of the intercalated compounds is not as significant as the size of cations in a graphite anode, some distinction between the studied anions can still be made. Among the studied anions, the intercalation compounds based on PF-6 are the most stable ones. These PF-6 anions cause relatively small structural deformations of the graphite and have the highest oxidative ability, highest onset voltage, and highest diffusion barrier along the graphene sheets. The overall small diffusion barriers of the anions within graphite explain the high rate capability of dual-ion batteries.&quot;,&quot;publisher&quot;:&quot;IOP Publishing&quot;,&quot;issue&quot;:&quot;8&quot;,&quot;volume&quot;:&quot;8&quot;},&quot;isTemporary&quot;:false}]},{&quot;citationID&quot;:&quot;MENDELEY_CITATION_02d4c7a0-86e1-40bb-86bc-6a0e03e82dcc&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&quot;,&quot;citationItems&quot;:[{&quot;id&quot;:&quot;db7d7109-a0a7-334e-8c93-fd15a36d857d&quot;,&quot;itemData&quot;:{&quot;type&quot;:&quot;article-journal&quot;,&quot;id&quot;:&quot;db7d7109-a0a7-334e-8c93-fd15a36d857d&quot;,&quot;title&quot;:&quot;The Core Subunit Structure in RNA Polymerase Holoenzyme Determined by Neutron Small‐Angle Scattering&quot;,&quot;author&quot;:[{&quot;family&quot;:&quot;STÖCKEL&quot;,&quot;given&quot;:&quot;Peter&quot;,&quot;parse-names&quot;:false,&quot;dropping-particle&quot;:&quot;&quot;,&quot;non-dropping-particle&quot;:&quot;&quot;},{&quot;family&quot;:&quot;MAY&quot;,&quot;given&quot;:&quot;Roland&quot;,&quot;parse-names&quot;:false,&quot;dropping-particle&quot;:&quot;&quot;,&quot;non-dropping-particle&quot;:&quot;&quot;},{&quot;family&quot;:&quot;STRELL&quot;,&quot;given&quot;:&quot;Irmtraud&quot;,&quot;parse-names&quot;:false,&quot;dropping-particle&quot;:&quot;&quot;,&quot;non-dropping-particle&quot;:&quot;&quot;},{&quot;family&quot;:&quot;CEJKA&quot;,&quot;given&quot;:&quot;Zdenka&quot;,&quot;parse-names&quot;:false,&quot;dropping-particle&quot;:&quot;&quot;,&quot;non-dropping-particle&quot;:&quot;&quot;},{&quot;family&quot;:&quot;HOPPE&quot;,&quot;given&quot;:&quot;Walter&quot;,&quot;parse-names&quot;:false,&quot;dropping-particle&quot;:&quot;&quot;,&quot;non-dropping-particle&quot;:&quot;&quot;},{&quot;family&quot;:&quot;HEUMANN&quot;,&quot;given&quot;:&quot;Hermann&quot;,&quot;parse-names&quot;:false,&quot;dropping-particle&quot;:&quot;&quot;,&quot;non-dropping-particle&quot;:&quot;&quot;},{&quot;family&quot;:&quot;ZILLIG&quot;,&quot;given&quot;:&quot;Wolfram&quot;,&quot;parse-names&quot;:false,&quot;dropping-particle&quot;:&quot;&quot;,&quot;non-dropping-particle&quot;:&quot;&quot;},{&quot;family&quot;:&quot;CRESPI&quot;,&quot;given&quot;:&quot;Henry&quot;,&quot;parse-names&quot;:false,&quot;dropping-particle&quot;:&quot;&quot;,&quot;non-dropping-particle&quot;:&quot;&quot;}],&quot;container-title&quot;:&quot;European Journal of Biochemistry&quot;,&quot;container-title-short&quot;:&quot;Eur J Biochem&quot;,&quot;accessed&quot;:{&quot;date-parts&quot;:[[2025,1,28]]},&quot;DOI&quot;:&quot;10.1111/j.1432-1033.1980.tb07220.x&quot;,&quot;ISSN&quot;:&quot;0014-2956&quot;,&quot;URL&quot;:&quot;https://febs.onlinelibrary.wiley.com/doi/10.1111/j.1432-1033.1980.tb07220.x&quot;,&quot;issued&quot;:{&quot;date-parts&quot;:[[1980,11,3]]},&quot;page&quot;:&quot;411-417&quot;,&quot;abstract&quot;:&quot;&lt;p&gt; The core subunit arrangement α &lt;sub&gt;2&lt;/sub&gt; ‐β‐β′ within DNA‐dependent RNA polymerase holoenzyme α &lt;sub&gt;2&lt;/sub&gt; ββ′σ from &lt;italic&gt;Escherichia coli&lt;/italic&gt; was investigated by neutron small‐angle scattering using label triangulation. The quaternary structure of multisubunit biomolecules can be studied by this new method if total reconstitution works in a quantitative way and if extensive replacement of C‐bound hydrogen (H) by deuterium ( &lt;sup&gt;2&lt;/sup&gt; H) is possible. A substitution of the selected subunits by their fully deuterated analogues was used for the analysis of the overall shapes of the core subunits α &lt;sub&gt;2&lt;/sub&gt; , β and β′ &lt;italic&gt;in situ&lt;/italic&gt; and for the determination of the intersubunit centre‐to‐centre distances. The contrast between the buffer and the remaining ‘hydrogenated’ enzyme vanishes if the buffer contains 42% &lt;sup&gt;2&lt;/sup&gt; H &lt;sub&gt;2&lt;/sub&gt; O (matching of scattering length densities). The isotopic hybridization of the enzyme fulfils the conditions of isomorphous replacement as required: molecular functions, like enzyme activity, were completely preserved. &lt;/p&gt;&quot;,&quot;issue&quot;:&quot;2&quot;,&quot;volume&quot;:&quot;112&quot;},&quot;isTemporary&quot;:false},{&quot;id&quot;:&quot;1a55c09a-bddf-3c69-8db0-8e88c00860a7&quot;,&quot;itemData&quot;:{&quot;type&quot;:&quot;article-journal&quot;,&quot;id&quot;:&quot;1a55c09a-bddf-3c69-8db0-8e88c00860a7&quot;,&quot;title&quot;:&quot;Interpretation of small-angle scattering data of inhomogeneous ellipsoids&quot;,&quot;author&quot;:[{&quot;family&quot;:&quot;Fritz&quot;,&quot;given&quot;:&quot;Gerhard&quot;,&quot;parse-names&quot;:false,&quot;dropping-particle&quot;:&quot;&quot;,&quot;non-dropping-particle&quot;:&quot;&quot;},{&quot;family&quot;:&quot;Bergmann&quot;,&quot;given&quot;:&quot;Alexander&quot;,&quot;parse-names&quot;:false,&quot;dropping-particle&quot;:&quot;&quot;,&quot;non-dropping-particle&quot;:&quot;&quot;}],&quot;container-title&quot;:&quot;urn:issn:0021-8898&quot;,&quot;accessed&quot;:{&quot;date-parts&quot;:[[2025,1,28]]},&quot;DOI&quot;:&quot;10.1107/S0021889804017959&quot;,&quot;ISSN&quot;:&quot;0021-8898&quot;,&quot;URL&quot;:&quot;https://journals.iucr.org/paper?aj5026&quot;,&quot;issued&quot;:{&quot;date-parts&quot;:[[2004,9,11]]},&quot;page&quot;:&quot;815-822&quot;,&quot;abstract&quot;:&quot;Small-angle scattering data of inhomogeneous ellipsoidal particles are discussed in terms of their pair distance distribution functions p(r). Special attention is given to the determination of core and shell thicknesses and axis ratios as well as to large distances within the particles, since cross terms between parts of positive and negative contrast within the particle can produce misleading results, similar to homogeneous particles or Janus particles. Cross-section pair distance distribution functions pc(r) of cylinders with elliptical cross sections show similar behaviour. Theoretical calculations are compared with small-angle X-ray and neutron scattering (SAXS and SANS) data of cetyltrimethylammonium bromide in aqueous KCl solutions.&quot;,&quot;publisher&quot;:&quot;International Union of Crystallography&quot;,&quot;issue&quot;:&quot;5&quot;,&quot;volume&quot;:&quot;37&quot;,&quot;container-title-short&quot;:&quot;&quot;},&quot;isTemporary&quot;:false}]},{&quot;citationID&quot;:&quot;MENDELEY_CITATION_7a2ab70d-883d-4bd0-8f6f-ec0bc1e1f9c5&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&quot;,&quot;citationItems&quot;:[{&quot;id&quot;:&quot;6632ff46-b6e2-398c-969f-a409c6407434&quot;,&quot;itemData&quot;:{&quot;type&quot;:&quot;article-journal&quot;,&quot;id&quot;:&quot;6632ff46-b6e2-398c-969f-a409c6407434&quot;,&quot;title&quot;:&quot;Salt concentration and charging velocity determine ion charge storage mechanism in nanoporous supercapacitors&quot;,&quot;author&quot;:[{&quot;family&quot;:&quot;Prehal&quot;,&quot;given&quot;:&quot;C.&quot;,&quot;parse-names&quot;:false,&quot;dropping-particle&quot;:&quot;&quot;,&quot;non-dropping-particle&quot;:&quot;&quot;},{&quot;family&quot;:&quot;Koczwara&quot;,&quot;given&quot;:&quot;C.&quot;,&quot;parse-names&quot;:false,&quot;dropping-particle&quot;:&quot;&quot;,&quot;non-dropping-particle&quot;:&quot;&quot;},{&quot;family&quot;:&quot;Amenitsch&quot;,&quot;given&quot;:&quot;H.&quot;,&quot;parse-names&quot;:false,&quot;dropping-particle&quot;:&quot;&quot;,&quot;non-dropping-particle&quot;:&quot;&quot;},{&quot;family&quot;:&quot;Presser&quot;,&quot;given&quot;:&quot;V.&quot;,&quot;parse-names&quot;:false,&quot;dropping-particle&quot;:&quot;&quot;,&quot;non-dropping-particle&quot;:&quot;&quot;},{&quot;family&quot;:&quot;Paris&quot;,&quot;given&quot;:&quot;O.&quot;,&quot;parse-names&quot;:false,&quot;dropping-particle&quot;:&quot;&quot;,&quot;non-dropping-particle&quot;:&quot;&quot;}],&quot;container-title&quot;:&quot;Nature Communications&quot;,&quot;container-title-short&quot;:&quot;Nat Commun&quot;,&quot;DOI&quot;:&quot;10.1038/s41467-018-06612-4&quot;,&quot;ISBN&quot;:&quot;4146701806612&quot;,&quot;ISSN&quot;:&quot;2041-1723&quot;,&quot;PMID&quot;:&quot;30297775&quot;,&quot;URL&quot;:&quot;http://dx.doi.org/10.1038/s41467-018-06612-4&quot;,&quot;issued&quot;:{&quot;date-parts&quot;:[[2018,10,8]]},&quot;page&quot;:&quot;4145&quot;,&quot;abstract&quot;:&quot;A fundamental understanding of ion charge storage in nanoporous electrodes is essential to improve the performance of supercapacitors or devices for capacitive desalination. Here, we employ in situ X-ray transmission measurements on activated carbon supercapacitors to study ion concentration changes during electrochemical operation. Whereas counter-ion adsorption was found to dominate at small electrolyte salt concentrations and slow cycling speed, ion replacement prevails for high molar concentrations and/or fast cycling. Chronoamperometry measurements reveal two distinct time regimes of ion concentration changes. In the first regime the supercapacitor is charged, and counter- and co-ion concentration changes align with ion replacement and partially co-ion expulsion. In the second regime, the electrode charge remains constant, but the total ion concentration increases. We conclude that the initial fast charge neutralization in nanoporous supercapacitor electrodes leads to a non-equilibrium ion configuration. The subsequent, charge-neutral equilibration slowly increases the total ion concentration towards counter-ion adsorption.&quot;,&quot;publisher&quot;:&quot;Springer US&quot;,&quot;issue&quot;:&quot;1&quot;,&quot;volume&quot;:&quot;9&quot;},&quot;isTemporary&quot;:false},{&quot;id&quot;:&quot;5aafa6aa-ac71-31a9-96eb-79a83c372e98&quot;,&quot;itemData&quot;:{&quot;type&quot;:&quot;article-journal&quot;,&quot;id&quot;:&quot;5aafa6aa-ac71-31a9-96eb-79a83c372e98&quot;,&quot;title&quot;:&quot;Are SAXS and SANS suitable to extract information on the role of water for electric-double-layer formation at the carbon–aqueous-electrolyte interface?&quot;,&quot;author&quot;:[{&quot;family&quot;:&quot;Seyffertitz&quot;,&quot;given&quot;:&quot;Malina&quot;,&quot;parse-names&quot;:false,&quot;dropping-particle&quot;:&quot;&quot;,&quot;non-dropping-particle&quot;:&quot;&quot;},{&quot;family&quot;:&quot;Stock&quot;,&quot;given&quot;:&quot;Sebastian&quot;,&quot;parse-names&quot;:false,&quot;dropping-particle&quot;:&quot;&quot;,&quot;non-dropping-particle&quot;:&quot;&quot;},{&quot;family&quot;:&quot;Rauscher&quot;,&quot;given&quot;:&quot;Max Valentin&quot;,&quot;parse-names&quot;:false,&quot;dropping-particle&quot;:&quot;&quot;,&quot;non-dropping-particle&quot;:&quot;&quot;},{&quot;family&quot;:&quot;Prehal&quot;,&quot;given&quot;:&quot;Christian&quot;,&quot;parse-names&quot;:false,&quot;dropping-particle&quot;:&quot;&quot;,&quot;non-dropping-particle&quot;:&quot;&quot;},{&quot;family&quot;:&quot;Haas&quot;,&quot;given&quot;:&quot;Sylvio&quot;,&quot;parse-names&quot;:false,&quot;dropping-particle&quot;:&quot;&quot;,&quot;non-dropping-particle&quot;:&quot;&quot;},{&quot;family&quot;:&quot;Porcar&quot;,&quot;given&quot;:&quot;Lionel&quot;,&quot;parse-names&quot;:false,&quot;dropping-particle&quot;:&quot;&quot;,&quot;non-dropping-particle&quot;:&quot;&quot;},{&quot;family&quot;:&quot;Paris&quot;,&quot;given&quot;:&quot;Oskar&quot;,&quot;parse-names&quot;:false,&quot;dropping-particle&quot;:&quot;&quot;,&quot;non-dropping-particle&quot;:&quot;&quot;}],&quot;container-title&quot;:&quot;Faraday Discussions&quot;,&quot;container-title-short&quot;:&quot;Faraday Discuss&quot;,&quot;DOI&quot;:&quot;10.1039/D3FD00124E&quot;,&quot;ISSN&quot;:&quot;1359-6640&quot;,&quot;URL&quot;:&quot;http://pubs.rsc.org/en/Content/ArticleLanding/2023/FD/D3FD00124E&quot;,&quot;issued&quot;:{&quot;date-parts&quot;:[[2024]]},&quot;page&quot;:&quot;363 - 380&quot;,&quot;abstract&quot;:&quot;This study reports on the applicability of X-ray transmission, small- and wide-angle X-ray scattering and small-angle neutron scattering for investigating processes in the working electrode of an electric double-layer capacitor at different applied potentials.&quot;,&quot;volume&quot;:&quot;249&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945D9-CFF5-4CA7-8908-ED3F565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Malina Jop</dc:creator>
  <cp:keywords/>
  <dc:description/>
  <cp:lastModifiedBy>Malina Seyffertitz</cp:lastModifiedBy>
  <cp:revision>47</cp:revision>
  <cp:lastPrinted>2025-01-30T20:25:00Z</cp:lastPrinted>
  <dcterms:created xsi:type="dcterms:W3CDTF">2025-01-29T08:48:00Z</dcterms:created>
  <dcterms:modified xsi:type="dcterms:W3CDTF">2025-02-06T10:58:00Z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http://www.zotero.org/styles/carbon</vt:lpwstr>
  </property>
  <property fmtid="{D5CDD505-2E9C-101B-9397-08002B2CF9AE}" pid="9" name="Mendeley Recent Style Name 3_1">
    <vt:lpwstr>Carbon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14d9c001-dfe8-33c5-aa98-b5405bc97838</vt:lpwstr>
  </property>
  <property fmtid="{D5CDD505-2E9C-101B-9397-08002B2CF9AE}" pid="24" name="Mendeley Citation Style_1">
    <vt:lpwstr>http://www.zotero.org/styles/carbon</vt:lpwstr>
  </property>
</Properties>
</file>