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62FF5" w14:textId="77777777" w:rsidR="000A46C5" w:rsidRPr="000A46C5" w:rsidRDefault="000A46C5" w:rsidP="005712A1">
      <w:pPr>
        <w:spacing w:line="360" w:lineRule="auto"/>
        <w:jc w:val="center"/>
        <w:rPr>
          <w:rFonts w:ascii="Times New Roman" w:hAnsi="Times New Roman" w:cs="Times New Roman"/>
          <w:b/>
          <w:sz w:val="32"/>
          <w:szCs w:val="32"/>
        </w:rPr>
      </w:pPr>
      <w:r w:rsidRPr="000A46C5">
        <w:rPr>
          <w:rFonts w:ascii="Times New Roman" w:hAnsi="Times New Roman" w:cs="Times New Roman"/>
          <w:b/>
          <w:sz w:val="32"/>
          <w:szCs w:val="32"/>
        </w:rPr>
        <w:t>Aptamer-regulated colorimetric and electrochemical dual-mode sensor for the detection of uranyl ions utilizing AuNCs@COF composite</w:t>
      </w:r>
    </w:p>
    <w:p w14:paraId="191ABAEC" w14:textId="77777777" w:rsidR="000A46C5" w:rsidRPr="000A46C5" w:rsidRDefault="000A46C5" w:rsidP="005712A1">
      <w:pPr>
        <w:spacing w:line="360" w:lineRule="auto"/>
        <w:jc w:val="center"/>
        <w:rPr>
          <w:rFonts w:ascii="Times New Roman" w:hAnsi="Times New Roman" w:cs="Times New Roman"/>
          <w:sz w:val="24"/>
          <w:szCs w:val="24"/>
        </w:rPr>
      </w:pPr>
      <w:bookmarkStart w:id="0" w:name="a"/>
      <w:r w:rsidRPr="000A46C5">
        <w:rPr>
          <w:rFonts w:ascii="Times New Roman" w:hAnsi="Times New Roman" w:cs="Times New Roman"/>
          <w:sz w:val="24"/>
          <w:szCs w:val="24"/>
        </w:rPr>
        <w:t>Zhijun Chen</w:t>
      </w:r>
      <w:r w:rsidRPr="000A46C5">
        <w:rPr>
          <w:rFonts w:ascii="Times New Roman" w:hAnsi="Times New Roman" w:cs="Times New Roman"/>
          <w:sz w:val="24"/>
          <w:szCs w:val="24"/>
          <w:vertAlign w:val="superscript"/>
        </w:rPr>
        <w:t xml:space="preserve"> </w:t>
      </w:r>
      <w:proofErr w:type="spellStart"/>
      <w:proofErr w:type="gramStart"/>
      <w:r w:rsidRPr="000A46C5">
        <w:rPr>
          <w:rFonts w:ascii="Times New Roman" w:hAnsi="Times New Roman" w:cs="Times New Roman"/>
          <w:sz w:val="24"/>
          <w:szCs w:val="24"/>
          <w:vertAlign w:val="superscript"/>
        </w:rPr>
        <w:t>a,b</w:t>
      </w:r>
      <w:proofErr w:type="spellEnd"/>
      <w:proofErr w:type="gramEnd"/>
      <w:r w:rsidRPr="000A46C5">
        <w:rPr>
          <w:rFonts w:ascii="Times New Roman" w:hAnsi="Times New Roman" w:cs="Times New Roman"/>
          <w:sz w:val="24"/>
          <w:szCs w:val="24"/>
        </w:rPr>
        <w:t xml:space="preserve">, </w:t>
      </w:r>
      <w:proofErr w:type="spellStart"/>
      <w:r w:rsidRPr="000A46C5">
        <w:rPr>
          <w:rFonts w:ascii="Times New Roman" w:hAnsi="Times New Roman" w:cs="Times New Roman"/>
          <w:sz w:val="24"/>
          <w:szCs w:val="24"/>
        </w:rPr>
        <w:t>Jinquan</w:t>
      </w:r>
      <w:proofErr w:type="spellEnd"/>
      <w:r w:rsidRPr="000A46C5">
        <w:rPr>
          <w:rFonts w:ascii="Times New Roman" w:hAnsi="Times New Roman" w:cs="Times New Roman"/>
          <w:sz w:val="24"/>
          <w:szCs w:val="24"/>
        </w:rPr>
        <w:t xml:space="preserve"> Liu</w:t>
      </w:r>
      <w:r w:rsidRPr="000A46C5">
        <w:rPr>
          <w:rFonts w:ascii="Times New Roman" w:hAnsi="Times New Roman" w:cs="Times New Roman"/>
          <w:sz w:val="24"/>
          <w:szCs w:val="24"/>
          <w:vertAlign w:val="superscript"/>
        </w:rPr>
        <w:t xml:space="preserve"> </w:t>
      </w:r>
      <w:proofErr w:type="spellStart"/>
      <w:r w:rsidRPr="000A46C5">
        <w:rPr>
          <w:rFonts w:ascii="Times New Roman" w:hAnsi="Times New Roman" w:cs="Times New Roman"/>
          <w:sz w:val="24"/>
          <w:szCs w:val="24"/>
          <w:vertAlign w:val="superscript"/>
        </w:rPr>
        <w:t>a,b,d</w:t>
      </w:r>
      <w:proofErr w:type="spellEnd"/>
      <w:r w:rsidRPr="000A46C5">
        <w:rPr>
          <w:rFonts w:ascii="Times New Roman" w:hAnsi="Times New Roman" w:cs="Times New Roman"/>
          <w:sz w:val="24"/>
          <w:szCs w:val="24"/>
        </w:rPr>
        <w:t>*, Wenyu Wang</w:t>
      </w:r>
      <w:r w:rsidRPr="000A46C5">
        <w:rPr>
          <w:rFonts w:ascii="Times New Roman" w:hAnsi="Times New Roman" w:cs="Times New Roman"/>
          <w:sz w:val="24"/>
          <w:szCs w:val="24"/>
          <w:vertAlign w:val="superscript"/>
        </w:rPr>
        <w:t xml:space="preserve"> </w:t>
      </w:r>
      <w:proofErr w:type="spellStart"/>
      <w:r w:rsidRPr="000A46C5">
        <w:rPr>
          <w:rFonts w:ascii="Times New Roman" w:hAnsi="Times New Roman" w:cs="Times New Roman"/>
          <w:sz w:val="24"/>
          <w:szCs w:val="24"/>
          <w:vertAlign w:val="superscript"/>
        </w:rPr>
        <w:t>a,b</w:t>
      </w:r>
      <w:proofErr w:type="spellEnd"/>
      <w:r w:rsidRPr="000A46C5">
        <w:rPr>
          <w:rFonts w:ascii="Times New Roman" w:hAnsi="Times New Roman" w:cs="Times New Roman"/>
          <w:sz w:val="24"/>
          <w:szCs w:val="24"/>
        </w:rPr>
        <w:t xml:space="preserve">, </w:t>
      </w:r>
      <w:proofErr w:type="spellStart"/>
      <w:r w:rsidRPr="000A46C5">
        <w:rPr>
          <w:rFonts w:ascii="Times New Roman" w:hAnsi="Times New Roman" w:cs="Times New Roman"/>
          <w:sz w:val="24"/>
          <w:szCs w:val="24"/>
        </w:rPr>
        <w:t>Guoqing</w:t>
      </w:r>
      <w:proofErr w:type="spellEnd"/>
      <w:r w:rsidRPr="000A46C5">
        <w:rPr>
          <w:rFonts w:ascii="Times New Roman" w:hAnsi="Times New Roman" w:cs="Times New Roman"/>
          <w:sz w:val="24"/>
          <w:szCs w:val="24"/>
        </w:rPr>
        <w:t xml:space="preserve"> Qin</w:t>
      </w:r>
      <w:r w:rsidRPr="000A46C5">
        <w:rPr>
          <w:rFonts w:ascii="Times New Roman" w:hAnsi="Times New Roman" w:cs="Times New Roman"/>
          <w:sz w:val="24"/>
          <w:szCs w:val="24"/>
          <w:vertAlign w:val="superscript"/>
        </w:rPr>
        <w:t xml:space="preserve"> </w:t>
      </w:r>
      <w:proofErr w:type="spellStart"/>
      <w:r w:rsidRPr="000A46C5">
        <w:rPr>
          <w:rFonts w:ascii="Times New Roman" w:hAnsi="Times New Roman" w:cs="Times New Roman"/>
          <w:sz w:val="24"/>
          <w:szCs w:val="24"/>
          <w:vertAlign w:val="superscript"/>
        </w:rPr>
        <w:t>a,b</w:t>
      </w:r>
      <w:proofErr w:type="spellEnd"/>
      <w:r w:rsidRPr="000A46C5">
        <w:rPr>
          <w:rFonts w:ascii="Times New Roman" w:hAnsi="Times New Roman" w:cs="Times New Roman"/>
          <w:sz w:val="24"/>
          <w:szCs w:val="24"/>
        </w:rPr>
        <w:t>, Siru Liu</w:t>
      </w:r>
      <w:r w:rsidRPr="000A46C5">
        <w:rPr>
          <w:rFonts w:ascii="Times New Roman" w:hAnsi="Times New Roman" w:cs="Times New Roman"/>
          <w:sz w:val="24"/>
          <w:szCs w:val="24"/>
          <w:vertAlign w:val="superscript"/>
        </w:rPr>
        <w:t xml:space="preserve"> </w:t>
      </w:r>
      <w:proofErr w:type="spellStart"/>
      <w:r w:rsidRPr="000A46C5">
        <w:rPr>
          <w:rFonts w:ascii="Times New Roman" w:hAnsi="Times New Roman" w:cs="Times New Roman"/>
          <w:sz w:val="24"/>
          <w:szCs w:val="24"/>
          <w:vertAlign w:val="superscript"/>
        </w:rPr>
        <w:t>a,b</w:t>
      </w:r>
      <w:proofErr w:type="spellEnd"/>
      <w:r w:rsidRPr="000A46C5">
        <w:rPr>
          <w:rFonts w:ascii="Times New Roman" w:hAnsi="Times New Roman" w:cs="Times New Roman"/>
          <w:sz w:val="24"/>
          <w:szCs w:val="24"/>
        </w:rPr>
        <w:t>,</w:t>
      </w:r>
      <w:r w:rsidRPr="000A46C5">
        <w:rPr>
          <w:rFonts w:ascii="Times New Roman" w:hAnsi="Times New Roman" w:cs="Times New Roman" w:hint="eastAsia"/>
          <w:sz w:val="24"/>
          <w:szCs w:val="24"/>
        </w:rPr>
        <w:t xml:space="preserve"> </w:t>
      </w:r>
      <w:r w:rsidRPr="000A46C5">
        <w:rPr>
          <w:rFonts w:ascii="Times New Roman" w:hAnsi="Times New Roman" w:cs="Times New Roman"/>
          <w:sz w:val="24"/>
          <w:szCs w:val="24"/>
        </w:rPr>
        <w:t>Weilin Zhang</w:t>
      </w:r>
      <w:r w:rsidRPr="000A46C5">
        <w:rPr>
          <w:rFonts w:ascii="Times New Roman" w:hAnsi="Times New Roman" w:cs="Times New Roman"/>
          <w:sz w:val="24"/>
          <w:szCs w:val="24"/>
          <w:vertAlign w:val="superscript"/>
        </w:rPr>
        <w:t xml:space="preserve"> </w:t>
      </w:r>
      <w:proofErr w:type="spellStart"/>
      <w:r w:rsidRPr="000A46C5">
        <w:rPr>
          <w:rFonts w:ascii="Times New Roman" w:hAnsi="Times New Roman" w:cs="Times New Roman"/>
          <w:sz w:val="24"/>
          <w:szCs w:val="24"/>
          <w:vertAlign w:val="superscript"/>
        </w:rPr>
        <w:t>a,b</w:t>
      </w:r>
      <w:proofErr w:type="spellEnd"/>
      <w:r w:rsidRPr="000A46C5">
        <w:rPr>
          <w:rFonts w:ascii="Times New Roman" w:hAnsi="Times New Roman" w:cs="Times New Roman"/>
          <w:sz w:val="24"/>
          <w:szCs w:val="24"/>
        </w:rPr>
        <w:t>, Changmin Peng</w:t>
      </w:r>
      <w:r w:rsidRPr="000A46C5">
        <w:rPr>
          <w:rFonts w:ascii="Times New Roman" w:hAnsi="Times New Roman" w:cs="Times New Roman"/>
          <w:sz w:val="24"/>
          <w:szCs w:val="24"/>
          <w:vertAlign w:val="superscript"/>
        </w:rPr>
        <w:t xml:space="preserve"> </w:t>
      </w:r>
      <w:proofErr w:type="spellStart"/>
      <w:r w:rsidRPr="000A46C5">
        <w:rPr>
          <w:rFonts w:ascii="Times New Roman" w:hAnsi="Times New Roman" w:cs="Times New Roman"/>
          <w:sz w:val="24"/>
          <w:szCs w:val="24"/>
          <w:vertAlign w:val="superscript"/>
        </w:rPr>
        <w:t>a,b</w:t>
      </w:r>
      <w:proofErr w:type="spellEnd"/>
      <w:r w:rsidRPr="000A46C5">
        <w:rPr>
          <w:rFonts w:ascii="Times New Roman" w:hAnsi="Times New Roman" w:cs="Times New Roman"/>
          <w:sz w:val="24"/>
          <w:szCs w:val="24"/>
        </w:rPr>
        <w:t>, Yan Tan</w:t>
      </w:r>
      <w:r w:rsidRPr="000A46C5">
        <w:rPr>
          <w:rFonts w:ascii="Times New Roman" w:hAnsi="Times New Roman" w:cs="Times New Roman"/>
          <w:sz w:val="24"/>
          <w:szCs w:val="24"/>
          <w:vertAlign w:val="superscript"/>
        </w:rPr>
        <w:t xml:space="preserve"> </w:t>
      </w:r>
      <w:proofErr w:type="spellStart"/>
      <w:r w:rsidRPr="000A46C5">
        <w:rPr>
          <w:rFonts w:ascii="Times New Roman" w:hAnsi="Times New Roman" w:cs="Times New Roman"/>
          <w:sz w:val="24"/>
          <w:szCs w:val="24"/>
          <w:vertAlign w:val="superscript"/>
        </w:rPr>
        <w:t>a,b</w:t>
      </w:r>
      <w:proofErr w:type="spellEnd"/>
      <w:r w:rsidRPr="000A46C5">
        <w:rPr>
          <w:rFonts w:ascii="Times New Roman" w:hAnsi="Times New Roman" w:cs="Times New Roman"/>
          <w:sz w:val="24"/>
          <w:szCs w:val="24"/>
        </w:rPr>
        <w:t xml:space="preserve">, </w:t>
      </w:r>
      <w:proofErr w:type="spellStart"/>
      <w:r w:rsidRPr="000A46C5">
        <w:rPr>
          <w:rFonts w:ascii="Times New Roman" w:hAnsi="Times New Roman" w:cs="Times New Roman"/>
          <w:sz w:val="24"/>
          <w:szCs w:val="24"/>
        </w:rPr>
        <w:t>Zhongran</w:t>
      </w:r>
      <w:proofErr w:type="spellEnd"/>
      <w:r w:rsidRPr="000A46C5">
        <w:rPr>
          <w:rFonts w:ascii="Times New Roman" w:hAnsi="Times New Roman" w:cs="Times New Roman"/>
          <w:sz w:val="24"/>
          <w:szCs w:val="24"/>
        </w:rPr>
        <w:t xml:space="preserve"> Dai</w:t>
      </w:r>
      <w:r w:rsidRPr="000A46C5">
        <w:rPr>
          <w:rFonts w:ascii="Times New Roman" w:hAnsi="Times New Roman" w:cs="Times New Roman"/>
          <w:sz w:val="24"/>
          <w:szCs w:val="24"/>
          <w:vertAlign w:val="superscript"/>
        </w:rPr>
        <w:t xml:space="preserve"> c</w:t>
      </w:r>
      <w:r w:rsidRPr="000A46C5">
        <w:rPr>
          <w:rFonts w:ascii="Times New Roman" w:hAnsi="Times New Roman" w:cs="Times New Roman"/>
          <w:sz w:val="24"/>
          <w:szCs w:val="24"/>
        </w:rPr>
        <w:t xml:space="preserve">, </w:t>
      </w:r>
      <w:proofErr w:type="spellStart"/>
      <w:r w:rsidRPr="000A46C5">
        <w:rPr>
          <w:rFonts w:ascii="Times New Roman" w:hAnsi="Times New Roman" w:cs="Times New Roman"/>
          <w:sz w:val="24"/>
          <w:szCs w:val="24"/>
        </w:rPr>
        <w:t>Deshuai</w:t>
      </w:r>
      <w:proofErr w:type="spellEnd"/>
      <w:r w:rsidRPr="000A46C5">
        <w:rPr>
          <w:rFonts w:ascii="Times New Roman" w:hAnsi="Times New Roman" w:cs="Times New Roman"/>
          <w:sz w:val="24"/>
          <w:szCs w:val="24"/>
        </w:rPr>
        <w:t xml:space="preserve"> Zhen</w:t>
      </w:r>
      <w:r w:rsidRPr="000A46C5">
        <w:rPr>
          <w:rFonts w:ascii="Times New Roman" w:hAnsi="Times New Roman" w:cs="Times New Roman"/>
          <w:sz w:val="24"/>
          <w:szCs w:val="24"/>
          <w:vertAlign w:val="superscript"/>
        </w:rPr>
        <w:t xml:space="preserve"> </w:t>
      </w:r>
      <w:proofErr w:type="spellStart"/>
      <w:r w:rsidRPr="000A46C5">
        <w:rPr>
          <w:rFonts w:ascii="Times New Roman" w:hAnsi="Times New Roman" w:cs="Times New Roman"/>
          <w:sz w:val="24"/>
          <w:szCs w:val="24"/>
          <w:vertAlign w:val="superscript"/>
        </w:rPr>
        <w:t>a,b</w:t>
      </w:r>
      <w:proofErr w:type="spellEnd"/>
      <w:r w:rsidRPr="000A46C5">
        <w:rPr>
          <w:rFonts w:ascii="Times New Roman" w:hAnsi="Times New Roman" w:cs="Times New Roman"/>
          <w:sz w:val="24"/>
          <w:szCs w:val="24"/>
        </w:rPr>
        <w:t>, Le Li</w:t>
      </w:r>
      <w:r w:rsidRPr="000A46C5">
        <w:rPr>
          <w:rFonts w:ascii="Times New Roman" w:hAnsi="Times New Roman" w:cs="Times New Roman"/>
          <w:sz w:val="24"/>
          <w:szCs w:val="24"/>
          <w:vertAlign w:val="superscript"/>
        </w:rPr>
        <w:t xml:space="preserve"> </w:t>
      </w:r>
      <w:proofErr w:type="spellStart"/>
      <w:r w:rsidRPr="000A46C5">
        <w:rPr>
          <w:rFonts w:ascii="Times New Roman" w:hAnsi="Times New Roman" w:cs="Times New Roman"/>
          <w:sz w:val="24"/>
          <w:szCs w:val="24"/>
          <w:vertAlign w:val="superscript"/>
        </w:rPr>
        <w:t>a,b</w:t>
      </w:r>
      <w:proofErr w:type="spellEnd"/>
      <w:r w:rsidRPr="000A46C5">
        <w:rPr>
          <w:rFonts w:ascii="Times New Roman" w:hAnsi="Times New Roman" w:cs="Times New Roman"/>
          <w:sz w:val="24"/>
          <w:szCs w:val="24"/>
        </w:rPr>
        <w:t>*</w:t>
      </w:r>
    </w:p>
    <w:p w14:paraId="3181BF4F" w14:textId="77777777" w:rsidR="000A46C5" w:rsidRPr="000A46C5" w:rsidRDefault="000A46C5" w:rsidP="005712A1">
      <w:pPr>
        <w:spacing w:line="360" w:lineRule="auto"/>
        <w:rPr>
          <w:rFonts w:ascii="Times New Roman" w:hAnsi="Times New Roman" w:cs="Times New Roman"/>
          <w:szCs w:val="21"/>
        </w:rPr>
      </w:pPr>
      <w:bookmarkStart w:id="1" w:name="_Hlk183598673"/>
      <w:bookmarkEnd w:id="0"/>
      <w:r w:rsidRPr="000A46C5">
        <w:rPr>
          <w:rFonts w:ascii="Times New Roman" w:hAnsi="Times New Roman" w:cs="Times New Roman"/>
          <w:szCs w:val="21"/>
          <w:vertAlign w:val="superscript"/>
        </w:rPr>
        <w:t>a</w:t>
      </w:r>
      <w:r w:rsidRPr="000A46C5">
        <w:rPr>
          <w:rFonts w:ascii="Times New Roman" w:hAnsi="Times New Roman" w:cs="Times New Roman"/>
          <w:szCs w:val="21"/>
        </w:rPr>
        <w:t xml:space="preserve"> Department of Health Inspection and Quarantine, School of Public Health, Hengyang Medical School, University of South China,</w:t>
      </w:r>
      <w:bookmarkStart w:id="2" w:name="_Hlk183636467"/>
      <w:r w:rsidRPr="000A46C5">
        <w:rPr>
          <w:rFonts w:ascii="Times New Roman" w:hAnsi="Times New Roman" w:cs="Times New Roman"/>
          <w:szCs w:val="21"/>
        </w:rPr>
        <w:t xml:space="preserve"> Hengyang, </w:t>
      </w:r>
      <w:bookmarkEnd w:id="2"/>
      <w:r w:rsidRPr="000A46C5">
        <w:rPr>
          <w:rFonts w:ascii="Times New Roman" w:hAnsi="Times New Roman" w:cs="Times New Roman"/>
          <w:szCs w:val="21"/>
        </w:rPr>
        <w:t>421001, China.</w:t>
      </w:r>
    </w:p>
    <w:p w14:paraId="59950FCA" w14:textId="77777777" w:rsidR="000A46C5" w:rsidRPr="000A46C5" w:rsidRDefault="000A46C5" w:rsidP="005712A1">
      <w:pPr>
        <w:spacing w:line="360" w:lineRule="auto"/>
        <w:rPr>
          <w:rFonts w:ascii="Times New Roman" w:hAnsi="Times New Roman" w:cs="Times New Roman"/>
          <w:szCs w:val="21"/>
        </w:rPr>
      </w:pPr>
      <w:bookmarkStart w:id="3" w:name="c"/>
      <w:r w:rsidRPr="000A46C5">
        <w:rPr>
          <w:rFonts w:ascii="Times New Roman" w:hAnsi="Times New Roman" w:cs="Times New Roman"/>
          <w:szCs w:val="21"/>
          <w:vertAlign w:val="superscript"/>
        </w:rPr>
        <w:t>b</w:t>
      </w:r>
      <w:r w:rsidRPr="000A46C5">
        <w:rPr>
          <w:rFonts w:ascii="Times New Roman" w:hAnsi="Times New Roman" w:cs="Times New Roman"/>
          <w:szCs w:val="21"/>
        </w:rPr>
        <w:t xml:space="preserve"> Hunan Province Key Laboratory of Typical Environment Pollution and Health Hazards, University of South China, Hengyang,</w:t>
      </w:r>
      <w:bookmarkStart w:id="4" w:name="_Hlk183636614"/>
      <w:r w:rsidRPr="000A46C5">
        <w:rPr>
          <w:rFonts w:ascii="Times New Roman" w:hAnsi="Times New Roman" w:cs="Times New Roman"/>
          <w:szCs w:val="21"/>
        </w:rPr>
        <w:t xml:space="preserve"> </w:t>
      </w:r>
      <w:bookmarkEnd w:id="4"/>
      <w:r w:rsidRPr="000A46C5">
        <w:rPr>
          <w:rFonts w:ascii="Times New Roman" w:hAnsi="Times New Roman" w:cs="Times New Roman"/>
          <w:szCs w:val="21"/>
        </w:rPr>
        <w:t>421001, China.</w:t>
      </w:r>
    </w:p>
    <w:p w14:paraId="468BAD45" w14:textId="77777777" w:rsidR="000A46C5" w:rsidRPr="000A46C5" w:rsidRDefault="000A46C5" w:rsidP="005712A1">
      <w:pPr>
        <w:spacing w:line="360" w:lineRule="auto"/>
        <w:rPr>
          <w:rFonts w:ascii="Times New Roman" w:hAnsi="Times New Roman" w:cs="Times New Roman"/>
          <w:szCs w:val="21"/>
        </w:rPr>
      </w:pPr>
      <w:bookmarkStart w:id="5" w:name="d"/>
      <w:bookmarkEnd w:id="3"/>
      <w:r w:rsidRPr="000A46C5">
        <w:rPr>
          <w:rFonts w:ascii="Times New Roman" w:hAnsi="Times New Roman" w:cs="Times New Roman"/>
          <w:szCs w:val="21"/>
          <w:vertAlign w:val="superscript"/>
        </w:rPr>
        <w:t>c</w:t>
      </w:r>
      <w:r w:rsidRPr="000A46C5">
        <w:rPr>
          <w:rFonts w:ascii="Times New Roman" w:hAnsi="Times New Roman" w:cs="Times New Roman"/>
          <w:szCs w:val="21"/>
        </w:rPr>
        <w:t xml:space="preserve"> Key Discipline Laboratory for National Defense for Biotechnology in Uranium Mining and Hydrometallurgy, University of South China, Hengyang, 421001, China.</w:t>
      </w:r>
    </w:p>
    <w:p w14:paraId="778317B0" w14:textId="77777777" w:rsidR="000A46C5" w:rsidRPr="000A46C5" w:rsidRDefault="000A46C5" w:rsidP="005712A1">
      <w:pPr>
        <w:spacing w:line="360" w:lineRule="auto"/>
        <w:rPr>
          <w:rFonts w:ascii="Times New Roman" w:hAnsi="Times New Roman" w:cs="Times New Roman"/>
          <w:szCs w:val="21"/>
        </w:rPr>
      </w:pPr>
      <w:r w:rsidRPr="000A46C5">
        <w:rPr>
          <w:rFonts w:ascii="Times New Roman" w:hAnsi="Times New Roman" w:cs="Times New Roman"/>
          <w:szCs w:val="21"/>
          <w:vertAlign w:val="superscript"/>
        </w:rPr>
        <w:t>d</w:t>
      </w:r>
      <w:r w:rsidRPr="000A46C5">
        <w:rPr>
          <w:rFonts w:ascii="Times New Roman" w:hAnsi="Times New Roman" w:cs="Times New Roman"/>
          <w:szCs w:val="21"/>
        </w:rPr>
        <w:t xml:space="preserve"> State Environmental Protection Key Laboratory of Monitoring for Heavy Metal Pollutants.</w:t>
      </w:r>
    </w:p>
    <w:bookmarkEnd w:id="5"/>
    <w:p w14:paraId="7B30C327" w14:textId="77777777" w:rsidR="000A46C5" w:rsidRPr="000A46C5" w:rsidRDefault="000A46C5" w:rsidP="005712A1">
      <w:pPr>
        <w:spacing w:line="360" w:lineRule="auto"/>
        <w:rPr>
          <w:rFonts w:ascii="Times New Roman" w:hAnsi="Times New Roman" w:cs="Times New Roman"/>
          <w:iCs/>
          <w:szCs w:val="21"/>
        </w:rPr>
        <w:sectPr w:rsidR="000A46C5" w:rsidRPr="000A46C5" w:rsidSect="000A46C5">
          <w:pgSz w:w="11906" w:h="16838"/>
          <w:pgMar w:top="1440" w:right="1800" w:bottom="1440" w:left="1800" w:header="851" w:footer="992" w:gutter="0"/>
          <w:cols w:space="425"/>
          <w:docGrid w:type="lines" w:linePitch="312"/>
        </w:sectPr>
      </w:pPr>
      <w:r w:rsidRPr="000A46C5">
        <w:rPr>
          <w:rFonts w:ascii="Times New Roman" w:hAnsi="Times New Roman" w:cs="Times New Roman"/>
          <w:iCs/>
          <w:szCs w:val="21"/>
          <w:vertAlign w:val="superscript"/>
        </w:rPr>
        <w:t>*</w:t>
      </w:r>
      <w:r w:rsidRPr="000A46C5">
        <w:rPr>
          <w:rFonts w:ascii="Times New Roman" w:hAnsi="Times New Roman" w:cs="Times New Roman"/>
          <w:iCs/>
          <w:szCs w:val="21"/>
        </w:rPr>
        <w:t xml:space="preserve"> Corresponding Author</w:t>
      </w:r>
      <w:r w:rsidRPr="000A46C5">
        <w:rPr>
          <w:rFonts w:ascii="Times New Roman" w:hAnsi="Times New Roman" w:cs="Times New Roman" w:hint="eastAsia"/>
          <w:iCs/>
          <w:szCs w:val="21"/>
        </w:rPr>
        <w:t>:</w:t>
      </w:r>
      <w:r w:rsidRPr="000A46C5">
        <w:rPr>
          <w:rFonts w:ascii="Times New Roman" w:hAnsi="Times New Roman" w:cs="Times New Roman"/>
          <w:iCs/>
          <w:szCs w:val="21"/>
        </w:rPr>
        <w:t xml:space="preserve"> Le Li and </w:t>
      </w:r>
      <w:proofErr w:type="spellStart"/>
      <w:r w:rsidRPr="000A46C5">
        <w:rPr>
          <w:rFonts w:ascii="Times New Roman" w:hAnsi="Times New Roman" w:cs="Times New Roman"/>
          <w:iCs/>
          <w:szCs w:val="21"/>
        </w:rPr>
        <w:t>Jinquan</w:t>
      </w:r>
      <w:proofErr w:type="spellEnd"/>
      <w:r w:rsidRPr="000A46C5">
        <w:rPr>
          <w:rFonts w:ascii="Times New Roman" w:hAnsi="Times New Roman" w:cs="Times New Roman"/>
          <w:iCs/>
          <w:szCs w:val="21"/>
        </w:rPr>
        <w:t xml:space="preserve"> Liu; E-mail addresses: usclile@126.com (Le Li) and </w:t>
      </w:r>
      <w:bookmarkStart w:id="6" w:name="_Hlk136715108"/>
      <w:r w:rsidRPr="000A46C5">
        <w:rPr>
          <w:rFonts w:ascii="Times New Roman" w:hAnsi="Times New Roman" w:cs="Times New Roman"/>
          <w:iCs/>
          <w:szCs w:val="21"/>
        </w:rPr>
        <w:t>letliufly@163.com (</w:t>
      </w:r>
      <w:proofErr w:type="spellStart"/>
      <w:r w:rsidRPr="000A46C5">
        <w:rPr>
          <w:rFonts w:ascii="Times New Roman" w:hAnsi="Times New Roman" w:cs="Times New Roman"/>
          <w:iCs/>
          <w:szCs w:val="21"/>
        </w:rPr>
        <w:t>Jinquan</w:t>
      </w:r>
      <w:proofErr w:type="spellEnd"/>
      <w:r w:rsidRPr="000A46C5">
        <w:rPr>
          <w:rFonts w:ascii="Times New Roman" w:hAnsi="Times New Roman" w:cs="Times New Roman"/>
          <w:iCs/>
          <w:szCs w:val="21"/>
        </w:rPr>
        <w:t xml:space="preserve"> Liu)</w:t>
      </w:r>
      <w:bookmarkEnd w:id="6"/>
      <w:r w:rsidRPr="000A46C5">
        <w:rPr>
          <w:rFonts w:ascii="Times New Roman" w:hAnsi="Times New Roman" w:cs="Times New Roman"/>
          <w:iCs/>
          <w:szCs w:val="21"/>
        </w:rPr>
        <w:t>.</w:t>
      </w:r>
    </w:p>
    <w:p w14:paraId="18BBB811" w14:textId="77777777" w:rsidR="000A46C5" w:rsidRPr="000A46C5" w:rsidRDefault="000A46C5" w:rsidP="005712A1">
      <w:pPr>
        <w:spacing w:line="360" w:lineRule="auto"/>
        <w:rPr>
          <w:rFonts w:ascii="Times New Roman" w:hAnsi="Times New Roman" w:cs="Times New Roman"/>
          <w:b/>
          <w:bCs/>
          <w:sz w:val="28"/>
          <w:szCs w:val="32"/>
        </w:rPr>
      </w:pPr>
      <w:r w:rsidRPr="000A46C5">
        <w:rPr>
          <w:rFonts w:ascii="Times New Roman" w:hAnsi="Times New Roman" w:cs="Times New Roman"/>
          <w:b/>
          <w:bCs/>
          <w:sz w:val="28"/>
          <w:szCs w:val="32"/>
        </w:rPr>
        <w:lastRenderedPageBreak/>
        <w:t>Reagents and apparatus</w:t>
      </w:r>
      <w:bookmarkEnd w:id="1"/>
    </w:p>
    <w:p w14:paraId="74911241" w14:textId="77777777" w:rsidR="000A46C5" w:rsidRPr="000A46C5" w:rsidRDefault="000A46C5" w:rsidP="005712A1">
      <w:pPr>
        <w:spacing w:line="360" w:lineRule="auto"/>
        <w:ind w:firstLineChars="200" w:firstLine="480"/>
        <w:rPr>
          <w:rFonts w:ascii="Times New Roman" w:hAnsi="Times New Roman" w:cs="Times New Roman"/>
          <w:sz w:val="24"/>
          <w:szCs w:val="24"/>
        </w:rPr>
      </w:pPr>
      <w:r w:rsidRPr="000A46C5">
        <w:rPr>
          <w:rFonts w:ascii="Times New Roman" w:hAnsi="Times New Roman" w:cs="Times New Roman"/>
          <w:sz w:val="24"/>
          <w:szCs w:val="24"/>
        </w:rPr>
        <w:t xml:space="preserve">Glacial acetic acid (HAc), acetonitrile (ACN), benzaldehyde, sodium hydroxide (NaOH), </w:t>
      </w:r>
      <w:bookmarkStart w:id="7" w:name="_Hlk178532784"/>
      <w:bookmarkStart w:id="8" w:name="_Hlk183643344"/>
      <w:r w:rsidRPr="000A46C5">
        <w:rPr>
          <w:rFonts w:ascii="Times New Roman" w:hAnsi="Times New Roman" w:cs="Times New Roman"/>
          <w:sz w:val="24"/>
          <w:szCs w:val="24"/>
        </w:rPr>
        <w:t>1,3,5-Tris(4-aminophenyl)benzene</w:t>
      </w:r>
      <w:bookmarkEnd w:id="7"/>
      <w:r w:rsidRPr="000A46C5">
        <w:rPr>
          <w:rFonts w:ascii="Times New Roman" w:hAnsi="Times New Roman" w:cs="Times New Roman"/>
          <w:sz w:val="24"/>
          <w:szCs w:val="24"/>
        </w:rPr>
        <w:t xml:space="preserve"> (TPB),</w:t>
      </w:r>
      <w:bookmarkEnd w:id="8"/>
      <w:r w:rsidRPr="000A46C5">
        <w:rPr>
          <w:rFonts w:ascii="Times New Roman" w:hAnsi="Times New Roman" w:cs="Times New Roman"/>
          <w:sz w:val="24"/>
          <w:szCs w:val="24"/>
        </w:rPr>
        <w:t xml:space="preserve"> </w:t>
      </w:r>
      <w:bookmarkStart w:id="9" w:name="_Hlk178532819"/>
      <w:bookmarkStart w:id="10" w:name="_Hlk183643420"/>
      <w:r w:rsidRPr="000A46C5">
        <w:rPr>
          <w:rFonts w:ascii="Times New Roman" w:hAnsi="Times New Roman" w:cs="Times New Roman"/>
          <w:sz w:val="24"/>
          <w:szCs w:val="24"/>
        </w:rPr>
        <w:t>2,5-dimethoxyterephthalaldehyde</w:t>
      </w:r>
      <w:bookmarkEnd w:id="9"/>
      <w:r w:rsidRPr="000A46C5">
        <w:rPr>
          <w:rFonts w:ascii="Times New Roman" w:hAnsi="Times New Roman" w:cs="Times New Roman"/>
          <w:sz w:val="24"/>
          <w:szCs w:val="24"/>
        </w:rPr>
        <w:t xml:space="preserve"> (DMTP)</w:t>
      </w:r>
      <w:bookmarkEnd w:id="10"/>
      <w:r w:rsidRPr="000A46C5">
        <w:rPr>
          <w:rFonts w:ascii="Times New Roman" w:hAnsi="Times New Roman" w:cs="Times New Roman"/>
          <w:sz w:val="24"/>
          <w:szCs w:val="24"/>
        </w:rPr>
        <w:t xml:space="preserve">, </w:t>
      </w:r>
      <w:bookmarkStart w:id="11" w:name="_Hlk183643457"/>
      <w:r w:rsidRPr="000A46C5">
        <w:rPr>
          <w:rFonts w:ascii="Times New Roman" w:hAnsi="Times New Roman" w:cs="Times New Roman"/>
          <w:sz w:val="24"/>
          <w:szCs w:val="24"/>
        </w:rPr>
        <w:t>Polyvinylpyrrolidone</w:t>
      </w:r>
      <w:bookmarkEnd w:id="11"/>
      <w:r w:rsidRPr="000A46C5">
        <w:rPr>
          <w:rFonts w:ascii="Times New Roman" w:hAnsi="Times New Roman" w:cs="Times New Roman"/>
          <w:sz w:val="24"/>
          <w:szCs w:val="24"/>
        </w:rPr>
        <w:t xml:space="preserve"> (PVP, Mw</w:t>
      </w:r>
      <w:r w:rsidRPr="000A46C5">
        <w:rPr>
          <w:rFonts w:ascii="Times New Roman" w:hAnsi="Times New Roman" w:cs="Times New Roman" w:hint="eastAsia"/>
          <w:sz w:val="24"/>
          <w:szCs w:val="24"/>
        </w:rPr>
        <w:t>=</w:t>
      </w:r>
      <w:r w:rsidRPr="000A46C5">
        <w:rPr>
          <w:rFonts w:ascii="Times New Roman" w:hAnsi="Times New Roman" w:cs="Times New Roman"/>
          <w:sz w:val="24"/>
          <w:szCs w:val="24"/>
        </w:rPr>
        <w:t>8000), potassium ferricyanide (K</w:t>
      </w:r>
      <w:r w:rsidRPr="000A46C5">
        <w:rPr>
          <w:rFonts w:ascii="Times New Roman" w:hAnsi="Times New Roman" w:cs="Times New Roman"/>
          <w:sz w:val="24"/>
          <w:szCs w:val="24"/>
          <w:vertAlign w:val="subscript"/>
        </w:rPr>
        <w:t>3</w:t>
      </w:r>
      <w:r w:rsidRPr="000A46C5">
        <w:rPr>
          <w:rFonts w:ascii="Times New Roman" w:hAnsi="Times New Roman" w:cs="Times New Roman"/>
          <w:sz w:val="24"/>
          <w:szCs w:val="24"/>
        </w:rPr>
        <w:t>Fe(CN)</w:t>
      </w:r>
      <w:r w:rsidRPr="000A46C5">
        <w:rPr>
          <w:rFonts w:ascii="Times New Roman" w:hAnsi="Times New Roman" w:cs="Times New Roman"/>
          <w:sz w:val="24"/>
          <w:szCs w:val="24"/>
          <w:vertAlign w:val="subscript"/>
        </w:rPr>
        <w:t>6</w:t>
      </w:r>
      <w:r w:rsidRPr="000A46C5">
        <w:rPr>
          <w:rFonts w:ascii="Times New Roman" w:hAnsi="Times New Roman" w:cs="Times New Roman"/>
          <w:sz w:val="24"/>
          <w:szCs w:val="24"/>
        </w:rPr>
        <w:t>), potassium ferrocyanide (K</w:t>
      </w:r>
      <w:r w:rsidRPr="000A46C5">
        <w:rPr>
          <w:rFonts w:ascii="Times New Roman" w:hAnsi="Times New Roman" w:cs="Times New Roman"/>
          <w:sz w:val="24"/>
          <w:szCs w:val="24"/>
          <w:vertAlign w:val="subscript"/>
        </w:rPr>
        <w:t>4</w:t>
      </w:r>
      <w:r w:rsidRPr="000A46C5">
        <w:rPr>
          <w:rFonts w:ascii="Times New Roman" w:hAnsi="Times New Roman" w:cs="Times New Roman"/>
          <w:sz w:val="24"/>
          <w:szCs w:val="24"/>
        </w:rPr>
        <w:t>Fe(CN)</w:t>
      </w:r>
      <w:r w:rsidRPr="000A46C5">
        <w:rPr>
          <w:rFonts w:ascii="Times New Roman" w:hAnsi="Times New Roman" w:cs="Times New Roman"/>
          <w:sz w:val="24"/>
          <w:szCs w:val="24"/>
          <w:vertAlign w:val="subscript"/>
        </w:rPr>
        <w:t>6</w:t>
      </w:r>
      <w:r w:rsidRPr="000A46C5">
        <w:rPr>
          <w:rFonts w:ascii="Times New Roman" w:hAnsi="Times New Roman" w:cs="Times New Roman"/>
          <w:sz w:val="24"/>
          <w:szCs w:val="24"/>
        </w:rPr>
        <w:t>·3H</w:t>
      </w:r>
      <w:r w:rsidRPr="000A46C5">
        <w:rPr>
          <w:rFonts w:ascii="Times New Roman" w:hAnsi="Times New Roman" w:cs="Times New Roman"/>
          <w:sz w:val="24"/>
          <w:szCs w:val="24"/>
          <w:vertAlign w:val="subscript"/>
        </w:rPr>
        <w:t>2</w:t>
      </w:r>
      <w:r w:rsidRPr="000A46C5">
        <w:rPr>
          <w:rFonts w:ascii="Times New Roman" w:hAnsi="Times New Roman" w:cs="Times New Roman"/>
          <w:sz w:val="24"/>
          <w:szCs w:val="24"/>
        </w:rPr>
        <w:t>O), potassium chloride (KCl) and Tetrachloroauric</w:t>
      </w:r>
      <w:r w:rsidRPr="000A46C5">
        <w:rPr>
          <w:rFonts w:ascii="Times New Roman" w:hAnsi="Times New Roman" w:cs="Times New Roman" w:hint="eastAsia"/>
          <w:sz w:val="24"/>
          <w:szCs w:val="24"/>
        </w:rPr>
        <w:t xml:space="preserve"> </w:t>
      </w:r>
      <w:r w:rsidRPr="000A46C5">
        <w:rPr>
          <w:rFonts w:ascii="Times New Roman" w:hAnsi="Times New Roman" w:cs="Times New Roman"/>
          <w:sz w:val="24"/>
          <w:szCs w:val="24"/>
        </w:rPr>
        <w:t>(III) acid trihydrate (HAuCl</w:t>
      </w:r>
      <w:r w:rsidRPr="000A46C5">
        <w:rPr>
          <w:rFonts w:ascii="Times New Roman" w:hAnsi="Times New Roman" w:cs="Times New Roman"/>
          <w:sz w:val="24"/>
          <w:szCs w:val="24"/>
          <w:vertAlign w:val="subscript"/>
        </w:rPr>
        <w:t>4</w:t>
      </w:r>
      <w:r w:rsidRPr="000A46C5">
        <w:rPr>
          <w:rFonts w:ascii="Times New Roman" w:hAnsi="Times New Roman" w:cs="Times New Roman"/>
          <w:sz w:val="24"/>
          <w:szCs w:val="24"/>
        </w:rPr>
        <w:t>·3H</w:t>
      </w:r>
      <w:r w:rsidRPr="000A46C5">
        <w:rPr>
          <w:rFonts w:ascii="Times New Roman" w:hAnsi="Times New Roman" w:cs="Times New Roman"/>
          <w:sz w:val="24"/>
          <w:szCs w:val="24"/>
          <w:vertAlign w:val="subscript"/>
        </w:rPr>
        <w:t>2</w:t>
      </w:r>
      <w:r w:rsidRPr="000A46C5">
        <w:rPr>
          <w:rFonts w:ascii="Times New Roman" w:hAnsi="Times New Roman" w:cs="Times New Roman"/>
          <w:sz w:val="24"/>
          <w:szCs w:val="24"/>
        </w:rPr>
        <w:t xml:space="preserve">O) were all purchased from Aladdin Reagent Co., Ltd. 3,3′,5,5′-tetramethylbenzidine (TMB), </w:t>
      </w:r>
      <w:bookmarkStart w:id="12" w:name="_Hlk183643928"/>
      <w:r w:rsidRPr="000A46C5">
        <w:rPr>
          <w:rFonts w:ascii="Times New Roman" w:hAnsi="Times New Roman" w:cs="Times New Roman"/>
          <w:sz w:val="24"/>
          <w:szCs w:val="24"/>
        </w:rPr>
        <w:t>6-aza-2-thiothymine (ATT)</w:t>
      </w:r>
      <w:bookmarkEnd w:id="12"/>
      <w:r w:rsidRPr="000A46C5">
        <w:rPr>
          <w:rFonts w:ascii="Times New Roman" w:hAnsi="Times New Roman" w:cs="Times New Roman"/>
          <w:sz w:val="24"/>
          <w:szCs w:val="24"/>
        </w:rPr>
        <w:t>, L-Tryptophan (Trp), isopropyl alcohol (IPA) and p-benzoquinone (PBQ) were bought from Shanghai Macklin Biochemical Co., Ltd. 30% hydrogen peroxide (H</w:t>
      </w:r>
      <w:r w:rsidRPr="000A46C5">
        <w:rPr>
          <w:rFonts w:ascii="Times New Roman" w:hAnsi="Times New Roman" w:cs="Times New Roman"/>
          <w:sz w:val="24"/>
          <w:szCs w:val="24"/>
          <w:vertAlign w:val="subscript"/>
        </w:rPr>
        <w:t>2</w:t>
      </w:r>
      <w:r w:rsidRPr="000A46C5">
        <w:rPr>
          <w:rFonts w:ascii="Times New Roman" w:hAnsi="Times New Roman" w:cs="Times New Roman"/>
          <w:sz w:val="24"/>
          <w:szCs w:val="24"/>
        </w:rPr>
        <w:t>O</w:t>
      </w:r>
      <w:r w:rsidRPr="000A46C5">
        <w:rPr>
          <w:rFonts w:ascii="Times New Roman" w:hAnsi="Times New Roman" w:cs="Times New Roman"/>
          <w:sz w:val="24"/>
          <w:szCs w:val="24"/>
          <w:vertAlign w:val="subscript"/>
        </w:rPr>
        <w:t>2</w:t>
      </w:r>
      <w:r w:rsidRPr="000A46C5">
        <w:rPr>
          <w:rFonts w:ascii="Times New Roman" w:hAnsi="Times New Roman" w:cs="Times New Roman"/>
          <w:sz w:val="24"/>
          <w:szCs w:val="24"/>
        </w:rPr>
        <w:t xml:space="preserve">), hydrochloric acid (HCl) and sodium acetate (NaAc) were sourced from Chengdu Jinshan Chemical Reagent Co., Ltd, Hunan hengyang kaixin chemical Co., Ltd and Xilong Chemical Reagent Co., Ltd, </w:t>
      </w:r>
      <w:r w:rsidRPr="000A46C5">
        <w:rPr>
          <w:rFonts w:ascii="Times New Roman" w:hAnsi="Times New Roman" w:cs="Times New Roman"/>
          <w:sz w:val="24"/>
          <w:szCs w:val="28"/>
        </w:rPr>
        <w:t xml:space="preserve">respectively. </w:t>
      </w:r>
      <w:r w:rsidRPr="000A46C5">
        <w:rPr>
          <w:rFonts w:ascii="Times New Roman" w:hAnsi="Times New Roman" w:cs="Times New Roman"/>
          <w:sz w:val="24"/>
          <w:szCs w:val="24"/>
        </w:rPr>
        <w:t>Uranyl nitrate hexahydrate (UO</w:t>
      </w:r>
      <w:r w:rsidRPr="000A46C5">
        <w:rPr>
          <w:rFonts w:ascii="Times New Roman" w:hAnsi="Times New Roman" w:cs="Times New Roman"/>
          <w:sz w:val="24"/>
          <w:szCs w:val="24"/>
          <w:vertAlign w:val="subscript"/>
        </w:rPr>
        <w:t>2</w:t>
      </w:r>
      <w:r w:rsidRPr="000A46C5">
        <w:rPr>
          <w:rFonts w:ascii="Times New Roman" w:hAnsi="Times New Roman" w:cs="Times New Roman"/>
          <w:sz w:val="24"/>
          <w:szCs w:val="24"/>
        </w:rPr>
        <w:t>NO</w:t>
      </w:r>
      <w:r w:rsidRPr="000A46C5">
        <w:rPr>
          <w:rFonts w:ascii="Times New Roman" w:hAnsi="Times New Roman" w:cs="Times New Roman"/>
          <w:sz w:val="24"/>
          <w:szCs w:val="24"/>
          <w:vertAlign w:val="subscript"/>
        </w:rPr>
        <w:t>3</w:t>
      </w:r>
      <w:r w:rsidRPr="000A46C5">
        <w:rPr>
          <w:rFonts w:ascii="Times New Roman" w:hAnsi="Times New Roman" w:cs="Times New Roman"/>
          <w:sz w:val="24"/>
          <w:szCs w:val="24"/>
        </w:rPr>
        <w:t>·6H</w:t>
      </w:r>
      <w:r w:rsidRPr="000A46C5">
        <w:rPr>
          <w:rFonts w:ascii="Times New Roman" w:hAnsi="Times New Roman" w:cs="Times New Roman"/>
          <w:sz w:val="24"/>
          <w:szCs w:val="24"/>
          <w:vertAlign w:val="subscript"/>
        </w:rPr>
        <w:t>2</w:t>
      </w:r>
      <w:r w:rsidRPr="000A46C5">
        <w:rPr>
          <w:rFonts w:ascii="Times New Roman" w:hAnsi="Times New Roman" w:cs="Times New Roman"/>
          <w:sz w:val="24"/>
          <w:szCs w:val="24"/>
        </w:rPr>
        <w:t>O) was obtained from Search Banner Reagent Co. Ltd (Shanghai, China). Anhydrous ethanol (CH</w:t>
      </w:r>
      <w:r w:rsidRPr="000A46C5">
        <w:rPr>
          <w:rFonts w:ascii="Times New Roman" w:hAnsi="Times New Roman" w:cs="Times New Roman"/>
          <w:sz w:val="24"/>
          <w:szCs w:val="24"/>
          <w:vertAlign w:val="subscript"/>
        </w:rPr>
        <w:t>3</w:t>
      </w:r>
      <w:r w:rsidRPr="000A46C5">
        <w:rPr>
          <w:rFonts w:ascii="Times New Roman" w:hAnsi="Times New Roman" w:cs="Times New Roman"/>
          <w:sz w:val="24"/>
          <w:szCs w:val="24"/>
        </w:rPr>
        <w:t>CH</w:t>
      </w:r>
      <w:r w:rsidRPr="000A46C5">
        <w:rPr>
          <w:rFonts w:ascii="Times New Roman" w:hAnsi="Times New Roman" w:cs="Times New Roman"/>
          <w:sz w:val="24"/>
          <w:szCs w:val="24"/>
          <w:vertAlign w:val="subscript"/>
        </w:rPr>
        <w:t>2</w:t>
      </w:r>
      <w:r w:rsidRPr="000A46C5">
        <w:rPr>
          <w:rFonts w:ascii="Times New Roman" w:hAnsi="Times New Roman" w:cs="Times New Roman"/>
          <w:sz w:val="24"/>
          <w:szCs w:val="24"/>
        </w:rPr>
        <w:t>OH) was provided by Tianjin Tianqi Chemical Reagent Co. Ltd. The UO</w:t>
      </w:r>
      <w:r w:rsidRPr="000A46C5">
        <w:rPr>
          <w:rFonts w:ascii="Times New Roman" w:hAnsi="Times New Roman" w:cs="Times New Roman"/>
          <w:sz w:val="24"/>
          <w:szCs w:val="24"/>
          <w:vertAlign w:val="subscript"/>
        </w:rPr>
        <w:t>2</w:t>
      </w:r>
      <w:r w:rsidRPr="000A46C5">
        <w:rPr>
          <w:rFonts w:ascii="Times New Roman" w:hAnsi="Times New Roman" w:cs="Times New Roman"/>
          <w:sz w:val="24"/>
          <w:szCs w:val="24"/>
          <w:vertAlign w:val="superscript"/>
        </w:rPr>
        <w:t>2+</w:t>
      </w:r>
      <w:r w:rsidRPr="000A46C5">
        <w:rPr>
          <w:rFonts w:ascii="Times New Roman" w:hAnsi="Times New Roman" w:cs="Times New Roman"/>
          <w:sz w:val="24"/>
          <w:szCs w:val="24"/>
        </w:rPr>
        <w:t xml:space="preserve"> aptamer (5'-CAC GTC CAT CTC TGC AGT CGG GTA GTT AAA CCG ACC TTC AGA CAT AGT GAG T-3') was offered by S</w:t>
      </w:r>
      <w:r w:rsidRPr="000A46C5">
        <w:rPr>
          <w:rFonts w:ascii="Times New Roman" w:hAnsi="Times New Roman" w:cs="Times New Roman" w:hint="eastAsia"/>
          <w:sz w:val="24"/>
          <w:szCs w:val="24"/>
        </w:rPr>
        <w:t>e</w:t>
      </w:r>
      <w:r w:rsidRPr="000A46C5">
        <w:rPr>
          <w:rFonts w:ascii="Times New Roman" w:hAnsi="Times New Roman" w:cs="Times New Roman"/>
          <w:sz w:val="24"/>
          <w:szCs w:val="24"/>
        </w:rPr>
        <w:t>ngon Biotech Co., Ltd</w:t>
      </w:r>
      <w:r w:rsidRPr="000A46C5">
        <w:rPr>
          <w:rFonts w:ascii="Times New Roman" w:hAnsi="Times New Roman" w:cs="Times New Roman" w:hint="eastAsia"/>
          <w:sz w:val="24"/>
          <w:szCs w:val="24"/>
          <w:vertAlign w:val="superscript"/>
        </w:rPr>
        <w:t xml:space="preserve"> </w:t>
      </w:r>
      <w:r w:rsidRPr="000A46C5">
        <w:rPr>
          <w:rFonts w:ascii="Times New Roman" w:hAnsi="Times New Roman" w:cs="Times New Roman"/>
          <w:noProof/>
          <w:sz w:val="24"/>
          <w:szCs w:val="24"/>
          <w:vertAlign w:val="superscript"/>
        </w:rPr>
        <w:t>[1]</w:t>
      </w:r>
      <w:r w:rsidRPr="000A46C5">
        <w:rPr>
          <w:rFonts w:ascii="Times New Roman" w:hAnsi="Times New Roman" w:cs="Times New Roman"/>
          <w:sz w:val="24"/>
          <w:szCs w:val="24"/>
        </w:rPr>
        <w:t>. All reagents used in this investigation were analytically pure and used directly without further purification. Aqueous solutions were prepared by using ultrapure water (&gt;18 MΩ·cm).</w:t>
      </w:r>
    </w:p>
    <w:p w14:paraId="7C763CA6" w14:textId="77777777" w:rsidR="000A46C5" w:rsidRPr="000A46C5" w:rsidRDefault="000A46C5" w:rsidP="005712A1">
      <w:pPr>
        <w:widowControl/>
        <w:spacing w:line="360" w:lineRule="auto"/>
        <w:ind w:firstLineChars="200" w:firstLine="480"/>
        <w:rPr>
          <w:rFonts w:ascii="Times New Roman" w:hAnsi="Times New Roman" w:cs="Times New Roman"/>
          <w:bCs/>
        </w:rPr>
      </w:pPr>
      <w:r w:rsidRPr="000A46C5">
        <w:rPr>
          <w:rFonts w:ascii="Times New Roman" w:hAnsi="Times New Roman" w:cs="Times New Roman"/>
          <w:iCs/>
          <w:sz w:val="24"/>
          <w:szCs w:val="24"/>
        </w:rPr>
        <w:t>The scanning electron microscopy (SEM) images were conducted on a ZEISS Sigma 300 (Germany).</w:t>
      </w:r>
      <w:r w:rsidRPr="000A46C5">
        <w:rPr>
          <w:rFonts w:ascii="Times New Roman" w:hAnsi="Times New Roman" w:cs="Times New Roman"/>
          <w:sz w:val="24"/>
          <w:szCs w:val="24"/>
        </w:rPr>
        <w:t xml:space="preserve"> </w:t>
      </w:r>
      <w:r w:rsidRPr="000A46C5">
        <w:rPr>
          <w:rFonts w:ascii="Times New Roman" w:hAnsi="Times New Roman" w:cs="Times New Roman"/>
          <w:iCs/>
          <w:sz w:val="24"/>
          <w:szCs w:val="24"/>
        </w:rPr>
        <w:t>Transmission electron microscopy (TEM) images,</w:t>
      </w:r>
      <w:r w:rsidRPr="000A46C5">
        <w:rPr>
          <w:rFonts w:ascii="Times New Roman" w:hAnsi="Times New Roman" w:cs="Times New Roman"/>
          <w:sz w:val="24"/>
          <w:szCs w:val="24"/>
        </w:rPr>
        <w:t xml:space="preserve"> </w:t>
      </w:r>
      <w:r w:rsidRPr="000A46C5">
        <w:rPr>
          <w:rFonts w:ascii="Times New Roman" w:hAnsi="Times New Roman" w:cs="Times New Roman"/>
          <w:iCs/>
          <w:sz w:val="24"/>
          <w:szCs w:val="24"/>
        </w:rPr>
        <w:t>high-resolution TEM (HRTEM) images and elemental mapping were performed on a JEM-F200 instrument (Japan). The fourier transform infrared (FT-IR) spectra and the X-ray diffraction (XRD) patterns were provided by a Thermo Nicolet IS5 instrument (USA) and a Bruker D8 Advance X-ray diffractometer (Germany), respectively. A Thermo Scientific K-Alpha X-ray photoelectron spectrometer (USA) was adopted to offer the X-ray photoelectron spectroscopy (XPS) spectra. Moreover, Brunauer</w:t>
      </w:r>
      <w:r w:rsidRPr="000A46C5">
        <w:rPr>
          <w:rFonts w:ascii="Times New Roman" w:hAnsi="Times New Roman" w:cs="Times New Roman" w:hint="eastAsia"/>
          <w:iCs/>
          <w:sz w:val="24"/>
          <w:szCs w:val="24"/>
        </w:rPr>
        <w:t>-</w:t>
      </w:r>
      <w:r w:rsidRPr="000A46C5">
        <w:rPr>
          <w:rFonts w:ascii="Times New Roman" w:hAnsi="Times New Roman" w:cs="Times New Roman"/>
          <w:iCs/>
          <w:sz w:val="24"/>
          <w:szCs w:val="24"/>
        </w:rPr>
        <w:t>Emmett</w:t>
      </w:r>
      <w:r w:rsidRPr="000A46C5">
        <w:rPr>
          <w:rFonts w:ascii="Times New Roman" w:hAnsi="Times New Roman" w:cs="Times New Roman" w:hint="eastAsia"/>
          <w:iCs/>
          <w:sz w:val="24"/>
          <w:szCs w:val="24"/>
        </w:rPr>
        <w:t>-</w:t>
      </w:r>
      <w:r w:rsidRPr="000A46C5">
        <w:rPr>
          <w:rFonts w:ascii="Times New Roman" w:hAnsi="Times New Roman" w:cs="Times New Roman"/>
          <w:iCs/>
          <w:sz w:val="24"/>
          <w:szCs w:val="24"/>
        </w:rPr>
        <w:t>Teller (BET)</w:t>
      </w:r>
      <w:r w:rsidRPr="000A46C5">
        <w:rPr>
          <w:rFonts w:ascii="Times New Roman" w:hAnsi="Times New Roman" w:cs="Times New Roman"/>
          <w:sz w:val="24"/>
          <w:szCs w:val="24"/>
        </w:rPr>
        <w:t xml:space="preserve"> </w:t>
      </w:r>
      <w:r w:rsidRPr="000A46C5">
        <w:rPr>
          <w:rFonts w:ascii="Times New Roman" w:hAnsi="Times New Roman" w:cs="Times New Roman"/>
          <w:iCs/>
          <w:sz w:val="24"/>
          <w:szCs w:val="24"/>
        </w:rPr>
        <w:t>specific surface areas</w:t>
      </w:r>
      <w:r w:rsidRPr="000A46C5">
        <w:rPr>
          <w:rFonts w:ascii="Times New Roman" w:hAnsi="Times New Roman" w:cs="Times New Roman"/>
          <w:sz w:val="24"/>
          <w:szCs w:val="24"/>
        </w:rPr>
        <w:t xml:space="preserve"> of materials were obtained using a </w:t>
      </w:r>
      <w:r w:rsidRPr="000A46C5">
        <w:rPr>
          <w:rFonts w:ascii="Times New Roman" w:hAnsi="Times New Roman" w:cs="Times New Roman"/>
          <w:iCs/>
          <w:sz w:val="24"/>
          <w:szCs w:val="24"/>
        </w:rPr>
        <w:t>Micromeritics ASAP 2460 instrument (USA)</w:t>
      </w:r>
      <w:r w:rsidRPr="000A46C5">
        <w:rPr>
          <w:rFonts w:ascii="Times New Roman" w:hAnsi="Times New Roman" w:cs="Times New Roman"/>
          <w:sz w:val="24"/>
          <w:szCs w:val="24"/>
        </w:rPr>
        <w:t>.</w:t>
      </w:r>
      <w:r w:rsidRPr="000A46C5">
        <w:rPr>
          <w:rFonts w:ascii="Times New Roman" w:hAnsi="Times New Roman" w:cs="Times New Roman"/>
          <w:iCs/>
          <w:sz w:val="24"/>
          <w:szCs w:val="24"/>
        </w:rPr>
        <w:t xml:space="preserve"> The ultraviolet-visible (UV-Vis) absorption spectra were </w:t>
      </w:r>
      <w:r w:rsidRPr="000A46C5">
        <w:rPr>
          <w:rFonts w:ascii="Times New Roman" w:hAnsi="Times New Roman" w:cs="Times New Roman"/>
          <w:iCs/>
          <w:sz w:val="24"/>
          <w:szCs w:val="24"/>
        </w:rPr>
        <w:lastRenderedPageBreak/>
        <w:t xml:space="preserve">gained by a Shimadzu UV-2550A </w:t>
      </w:r>
      <w:r w:rsidRPr="000A46C5">
        <w:rPr>
          <w:rFonts w:ascii="Times New Roman" w:hAnsi="Times New Roman" w:cs="Times New Roman"/>
          <w:sz w:val="24"/>
          <w:szCs w:val="24"/>
        </w:rPr>
        <w:t>UV-visible</w:t>
      </w:r>
      <w:r w:rsidRPr="000A46C5">
        <w:rPr>
          <w:rFonts w:ascii="Times New Roman" w:hAnsi="Times New Roman" w:cs="Times New Roman"/>
          <w:iCs/>
          <w:sz w:val="24"/>
          <w:szCs w:val="24"/>
        </w:rPr>
        <w:t xml:space="preserve"> spectrophotometer (Shanghai, China).</w:t>
      </w:r>
      <w:r w:rsidRPr="000A46C5">
        <w:rPr>
          <w:rFonts w:ascii="Times New Roman" w:hAnsi="Times New Roman" w:cs="Times New Roman"/>
          <w:sz w:val="24"/>
          <w:szCs w:val="24"/>
        </w:rPr>
        <w:t xml:space="preserve"> Electron paramagnetic resonance (EPR) experiments were measured on a Bruker A300 spectrometer (Germany). The differential pulse voltammetry (DPV) and cyclic voltammetry (CV) were operated on a CHI852C electrochemical workstation from Shanghai Chen Hua Instrument (Shanghai, China). Furthermore, electrochemical impedance spectroscopy (EIS) was executed on a CS350H electrochemical workstation of Wuhan KST Instruments (Wuhan, China). The pH measurement was done using an S2-Field Kit pH meter (Mettler-Toledo, Switzerland).</w:t>
      </w:r>
      <w:r w:rsidRPr="000A46C5">
        <w:rPr>
          <w:rFonts w:ascii="Times New Roman" w:hAnsi="Times New Roman" w:cs="Times New Roman"/>
          <w:bCs/>
        </w:rPr>
        <w:br w:type="page"/>
      </w:r>
    </w:p>
    <w:p w14:paraId="5F01A204" w14:textId="77777777" w:rsidR="000A46C5" w:rsidRPr="000A46C5" w:rsidRDefault="000A46C5" w:rsidP="005712A1">
      <w:pPr>
        <w:spacing w:line="360" w:lineRule="auto"/>
        <w:jc w:val="center"/>
        <w:rPr>
          <w:rFonts w:ascii="Times New Roman" w:hAnsi="Times New Roman" w:cs="Times New Roman"/>
          <w:bCs/>
        </w:rPr>
      </w:pPr>
      <w:r w:rsidRPr="000A46C5">
        <w:rPr>
          <w:rFonts w:ascii="Times New Roman" w:hAnsi="Times New Roman" w:cs="Times New Roman"/>
          <w:bCs/>
          <w:noProof/>
        </w:rPr>
        <w:lastRenderedPageBreak/>
        <w:drawing>
          <wp:inline distT="0" distB="0" distL="0" distR="0" wp14:anchorId="04755091" wp14:editId="23A07BFB">
            <wp:extent cx="4549243" cy="4140000"/>
            <wp:effectExtent l="0" t="0" r="3810" b="0"/>
            <wp:docPr id="5552321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32192" name="图片 555232192"/>
                    <pic:cNvPicPr/>
                  </pic:nvPicPr>
                  <pic:blipFill rotWithShape="1">
                    <a:blip r:embed="rId5" cstate="print">
                      <a:extLst>
                        <a:ext uri="{28A0092B-C50C-407E-A947-70E740481C1C}">
                          <a14:useLocalDpi xmlns:a14="http://schemas.microsoft.com/office/drawing/2010/main" val="0"/>
                        </a:ext>
                      </a:extLst>
                    </a:blip>
                    <a:srcRect l="17273" r="21368"/>
                    <a:stretch/>
                  </pic:blipFill>
                  <pic:spPr bwMode="auto">
                    <a:xfrm>
                      <a:off x="0" y="0"/>
                      <a:ext cx="4549243" cy="4140000"/>
                    </a:xfrm>
                    <a:prstGeom prst="rect">
                      <a:avLst/>
                    </a:prstGeom>
                    <a:ln>
                      <a:noFill/>
                    </a:ln>
                    <a:extLst>
                      <a:ext uri="{53640926-AAD7-44D8-BBD7-CCE9431645EC}">
                        <a14:shadowObscured xmlns:a14="http://schemas.microsoft.com/office/drawing/2010/main"/>
                      </a:ext>
                    </a:extLst>
                  </pic:spPr>
                </pic:pic>
              </a:graphicData>
            </a:graphic>
          </wp:inline>
        </w:drawing>
      </w:r>
    </w:p>
    <w:p w14:paraId="5CB15B14" w14:textId="77777777" w:rsidR="000A46C5" w:rsidRPr="000A46C5" w:rsidRDefault="000A46C5" w:rsidP="005712A1">
      <w:pPr>
        <w:widowControl/>
        <w:spacing w:line="360" w:lineRule="auto"/>
        <w:rPr>
          <w:rFonts w:ascii="Times New Roman" w:hAnsi="Times New Roman" w:cs="Times New Roman"/>
        </w:rPr>
      </w:pPr>
      <w:r w:rsidRPr="000A46C5">
        <w:rPr>
          <w:rFonts w:ascii="Times New Roman" w:hAnsi="Times New Roman" w:cs="Times New Roman"/>
          <w:b/>
        </w:rPr>
        <w:t>Figure S</w:t>
      </w:r>
      <w:r w:rsidRPr="000A46C5">
        <w:rPr>
          <w:rFonts w:ascii="Times New Roman" w:hAnsi="Times New Roman" w:cs="Times New Roman" w:hint="eastAsia"/>
          <w:b/>
        </w:rPr>
        <w:t>1</w:t>
      </w:r>
      <w:r w:rsidRPr="000A46C5">
        <w:rPr>
          <w:rFonts w:ascii="Times New Roman" w:hAnsi="Times New Roman" w:cs="Times New Roman"/>
          <w:b/>
        </w:rPr>
        <w:t xml:space="preserve">. </w:t>
      </w:r>
      <w:r w:rsidRPr="000A46C5">
        <w:rPr>
          <w:rFonts w:ascii="Times New Roman" w:hAnsi="Times New Roman" w:cs="Times New Roman"/>
        </w:rPr>
        <w:t>(A) FT-IR spectra of TPB, DMTP and COF. (B) Narrow scan spectra of N 1s of AuNCs@COF, and (C) Au 4f of AuNCs and AuNCs@COF. (D) XPS spectra of AuNCs and AuNCs@COF.</w:t>
      </w:r>
    </w:p>
    <w:p w14:paraId="1AFFF020" w14:textId="77777777" w:rsidR="000A46C5" w:rsidRPr="000A46C5" w:rsidRDefault="000A46C5" w:rsidP="005712A1">
      <w:pPr>
        <w:widowControl/>
        <w:spacing w:line="360" w:lineRule="auto"/>
        <w:ind w:firstLineChars="200" w:firstLine="420"/>
        <w:jc w:val="left"/>
        <w:rPr>
          <w:rFonts w:ascii="Times New Roman" w:hAnsi="Times New Roman" w:cs="Times New Roman"/>
          <w:noProof/>
        </w:rPr>
      </w:pPr>
      <w:r w:rsidRPr="000A46C5">
        <w:rPr>
          <w:rFonts w:ascii="Times New Roman" w:hAnsi="Times New Roman" w:cs="Times New Roman"/>
          <w:noProof/>
        </w:rPr>
        <w:br w:type="page"/>
      </w:r>
    </w:p>
    <w:p w14:paraId="67ABB7A4" w14:textId="77777777" w:rsidR="000A46C5" w:rsidRPr="000A46C5" w:rsidRDefault="000A46C5" w:rsidP="005712A1">
      <w:pPr>
        <w:spacing w:line="360" w:lineRule="auto"/>
        <w:jc w:val="center"/>
        <w:rPr>
          <w:rFonts w:ascii="Times New Roman" w:hAnsi="Times New Roman" w:cs="Times New Roman"/>
          <w:sz w:val="24"/>
          <w:szCs w:val="24"/>
        </w:rPr>
      </w:pPr>
      <w:r w:rsidRPr="000A46C5">
        <w:rPr>
          <w:rFonts w:ascii="Times New Roman" w:hAnsi="Times New Roman" w:cs="Times New Roman"/>
          <w:noProof/>
          <w:sz w:val="24"/>
          <w:szCs w:val="24"/>
        </w:rPr>
        <w:lastRenderedPageBreak/>
        <w:drawing>
          <wp:inline distT="0" distB="0" distL="0" distR="0" wp14:anchorId="5EC11397" wp14:editId="301965AB">
            <wp:extent cx="5201825" cy="1548000"/>
            <wp:effectExtent l="0" t="0" r="0" b="0"/>
            <wp:docPr id="4993940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94056" name="图片 15"/>
                    <pic:cNvPicPr>
                      <a:picLocks noChangeAspect="1"/>
                    </pic:cNvPicPr>
                  </pic:nvPicPr>
                  <pic:blipFill rotWithShape="1">
                    <a:blip r:embed="rId6" cstate="print">
                      <a:extLst>
                        <a:ext uri="{28A0092B-C50C-407E-A947-70E740481C1C}">
                          <a14:useLocalDpi xmlns:a14="http://schemas.microsoft.com/office/drawing/2010/main" val="0"/>
                        </a:ext>
                      </a:extLst>
                    </a:blip>
                    <a:srcRect l="1877" r="2078"/>
                    <a:stretch/>
                  </pic:blipFill>
                  <pic:spPr bwMode="auto">
                    <a:xfrm>
                      <a:off x="0" y="0"/>
                      <a:ext cx="5201825" cy="1548000"/>
                    </a:xfrm>
                    <a:prstGeom prst="rect">
                      <a:avLst/>
                    </a:prstGeom>
                    <a:ln>
                      <a:noFill/>
                    </a:ln>
                    <a:extLst>
                      <a:ext uri="{53640926-AAD7-44D8-BBD7-CCE9431645EC}">
                        <a14:shadowObscured xmlns:a14="http://schemas.microsoft.com/office/drawing/2010/main"/>
                      </a:ext>
                    </a:extLst>
                  </pic:spPr>
                </pic:pic>
              </a:graphicData>
            </a:graphic>
          </wp:inline>
        </w:drawing>
      </w:r>
    </w:p>
    <w:p w14:paraId="41B0FB60" w14:textId="77777777" w:rsidR="000A46C5" w:rsidRPr="000A46C5" w:rsidRDefault="000A46C5" w:rsidP="005712A1">
      <w:pPr>
        <w:spacing w:line="360" w:lineRule="auto"/>
        <w:rPr>
          <w:rFonts w:ascii="Times New Roman" w:hAnsi="Times New Roman" w:cs="Times New Roman"/>
          <w:szCs w:val="21"/>
        </w:rPr>
      </w:pPr>
      <w:r w:rsidRPr="000A46C5">
        <w:rPr>
          <w:rFonts w:ascii="Times New Roman" w:hAnsi="Times New Roman" w:cs="Times New Roman"/>
          <w:b/>
        </w:rPr>
        <w:t>Figure S</w:t>
      </w:r>
      <w:r w:rsidRPr="000A46C5">
        <w:rPr>
          <w:rFonts w:ascii="Times New Roman" w:hAnsi="Times New Roman" w:cs="Times New Roman" w:hint="eastAsia"/>
          <w:b/>
        </w:rPr>
        <w:t>2</w:t>
      </w:r>
      <w:r w:rsidRPr="000A46C5">
        <w:rPr>
          <w:rFonts w:ascii="Times New Roman" w:hAnsi="Times New Roman" w:cs="Times New Roman"/>
          <w:b/>
          <w:bCs/>
          <w:szCs w:val="21"/>
        </w:rPr>
        <w:t>.</w:t>
      </w:r>
      <w:r w:rsidRPr="000A46C5">
        <w:rPr>
          <w:rFonts w:ascii="Times New Roman" w:hAnsi="Times New Roman" w:cs="Times New Roman"/>
          <w:szCs w:val="21"/>
        </w:rPr>
        <w:t xml:space="preserve"> (A) UV vis absorption spectra of COF, AuNCs and AuNCs@COF in TMB, H</w:t>
      </w:r>
      <w:r w:rsidRPr="000A46C5">
        <w:rPr>
          <w:rFonts w:ascii="Times New Roman" w:hAnsi="Times New Roman" w:cs="Times New Roman"/>
          <w:szCs w:val="21"/>
          <w:vertAlign w:val="subscript"/>
        </w:rPr>
        <w:t>2</w:t>
      </w:r>
      <w:r w:rsidRPr="000A46C5">
        <w:rPr>
          <w:rFonts w:ascii="Times New Roman" w:hAnsi="Times New Roman" w:cs="Times New Roman"/>
          <w:szCs w:val="21"/>
        </w:rPr>
        <w:t>O</w:t>
      </w:r>
      <w:r w:rsidRPr="000A46C5">
        <w:rPr>
          <w:rFonts w:ascii="Times New Roman" w:hAnsi="Times New Roman" w:cs="Times New Roman"/>
          <w:szCs w:val="21"/>
          <w:vertAlign w:val="subscript"/>
        </w:rPr>
        <w:t>2</w:t>
      </w:r>
      <w:r w:rsidRPr="000A46C5">
        <w:rPr>
          <w:rFonts w:ascii="Times New Roman" w:hAnsi="Times New Roman" w:cs="Times New Roman"/>
          <w:szCs w:val="21"/>
        </w:rPr>
        <w:t xml:space="preserve"> and NaAc-Hac (pH=4.0) system. (B) Radical scavengers on the catalytic activity of AuNCs@COF. (C) EPR signals of </w:t>
      </w:r>
      <w:r w:rsidRPr="000A46C5">
        <w:rPr>
          <w:rFonts w:ascii="Times New Roman" w:hAnsi="Times New Roman" w:cs="Times New Roman"/>
          <w:szCs w:val="21"/>
          <w:vertAlign w:val="superscript"/>
        </w:rPr>
        <w:t>1</w:t>
      </w:r>
      <w:r w:rsidRPr="000A46C5">
        <w:rPr>
          <w:rFonts w:ascii="Times New Roman" w:hAnsi="Times New Roman" w:cs="Times New Roman"/>
          <w:szCs w:val="21"/>
        </w:rPr>
        <w:t>O</w:t>
      </w:r>
      <w:r w:rsidRPr="000A46C5">
        <w:rPr>
          <w:rFonts w:ascii="Times New Roman" w:hAnsi="Times New Roman" w:cs="Times New Roman"/>
          <w:szCs w:val="21"/>
          <w:vertAlign w:val="subscript"/>
        </w:rPr>
        <w:t>2</w:t>
      </w:r>
      <w:r w:rsidRPr="000A46C5">
        <w:rPr>
          <w:rFonts w:ascii="Times New Roman" w:hAnsi="Times New Roman" w:cs="Times New Roman"/>
          <w:szCs w:val="21"/>
        </w:rPr>
        <w:t>, •O</w:t>
      </w:r>
      <w:r w:rsidRPr="000A46C5">
        <w:rPr>
          <w:rFonts w:ascii="Times New Roman" w:hAnsi="Times New Roman" w:cs="Times New Roman"/>
          <w:szCs w:val="21"/>
          <w:vertAlign w:val="subscript"/>
        </w:rPr>
        <w:t>2</w:t>
      </w:r>
      <w:r w:rsidRPr="000A46C5">
        <w:rPr>
          <w:rFonts w:ascii="Times New Roman" w:hAnsi="Times New Roman" w:cs="Times New Roman"/>
          <w:szCs w:val="21"/>
          <w:vertAlign w:val="superscript"/>
        </w:rPr>
        <w:t>-</w:t>
      </w:r>
      <w:r w:rsidRPr="000A46C5">
        <w:rPr>
          <w:rFonts w:ascii="Times New Roman" w:hAnsi="Times New Roman" w:cs="Times New Roman"/>
          <w:szCs w:val="21"/>
        </w:rPr>
        <w:t xml:space="preserve"> and •OH in the presence of AuNCs@COF.</w:t>
      </w:r>
    </w:p>
    <w:p w14:paraId="3DA861D3" w14:textId="77777777" w:rsidR="000A46C5" w:rsidRPr="000A46C5" w:rsidRDefault="000A46C5" w:rsidP="005712A1">
      <w:pPr>
        <w:widowControl/>
        <w:spacing w:line="360" w:lineRule="auto"/>
        <w:jc w:val="left"/>
        <w:rPr>
          <w:rFonts w:ascii="Times New Roman" w:hAnsi="Times New Roman" w:cs="Times New Roman"/>
        </w:rPr>
      </w:pPr>
      <w:r w:rsidRPr="000A46C5">
        <w:rPr>
          <w:rFonts w:ascii="Times New Roman" w:hAnsi="Times New Roman" w:cs="Times New Roman"/>
        </w:rPr>
        <w:br w:type="page"/>
      </w:r>
    </w:p>
    <w:p w14:paraId="7FBDAE38" w14:textId="77777777" w:rsidR="000A46C5" w:rsidRPr="000A46C5" w:rsidRDefault="000A46C5" w:rsidP="005712A1">
      <w:pPr>
        <w:spacing w:line="360" w:lineRule="auto"/>
        <w:jc w:val="center"/>
        <w:rPr>
          <w:rFonts w:ascii="Times New Roman" w:hAnsi="Times New Roman" w:cs="Times New Roman"/>
        </w:rPr>
      </w:pPr>
      <w:r w:rsidRPr="000A46C5">
        <w:rPr>
          <w:rFonts w:ascii="Times New Roman" w:hAnsi="Times New Roman" w:cs="Times New Roman"/>
          <w:noProof/>
        </w:rPr>
        <w:lastRenderedPageBreak/>
        <w:drawing>
          <wp:inline distT="0" distB="0" distL="0" distR="0" wp14:anchorId="595E147B" wp14:editId="094497D7">
            <wp:extent cx="5123668" cy="4320000"/>
            <wp:effectExtent l="0" t="0" r="1270" b="4445"/>
            <wp:docPr id="2466869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86954" name="图片 6"/>
                    <pic:cNvPicPr/>
                  </pic:nvPicPr>
                  <pic:blipFill rotWithShape="1">
                    <a:blip r:embed="rId7" cstate="print">
                      <a:extLst>
                        <a:ext uri="{28A0092B-C50C-407E-A947-70E740481C1C}">
                          <a14:useLocalDpi xmlns:a14="http://schemas.microsoft.com/office/drawing/2010/main" val="0"/>
                        </a:ext>
                      </a:extLst>
                    </a:blip>
                    <a:srcRect l="15210" r="15307"/>
                    <a:stretch/>
                  </pic:blipFill>
                  <pic:spPr bwMode="auto">
                    <a:xfrm>
                      <a:off x="0" y="0"/>
                      <a:ext cx="5123668" cy="4320000"/>
                    </a:xfrm>
                    <a:prstGeom prst="rect">
                      <a:avLst/>
                    </a:prstGeom>
                    <a:ln>
                      <a:noFill/>
                    </a:ln>
                    <a:extLst>
                      <a:ext uri="{53640926-AAD7-44D8-BBD7-CCE9431645EC}">
                        <a14:shadowObscured xmlns:a14="http://schemas.microsoft.com/office/drawing/2010/main"/>
                      </a:ext>
                    </a:extLst>
                  </pic:spPr>
                </pic:pic>
              </a:graphicData>
            </a:graphic>
          </wp:inline>
        </w:drawing>
      </w:r>
    </w:p>
    <w:p w14:paraId="2AD1A0FE" w14:textId="77777777" w:rsidR="000A46C5" w:rsidRPr="000A46C5" w:rsidRDefault="000A46C5" w:rsidP="005712A1">
      <w:pPr>
        <w:spacing w:line="360" w:lineRule="auto"/>
        <w:rPr>
          <w:rFonts w:ascii="Times New Roman" w:hAnsi="Times New Roman" w:cs="Times New Roman"/>
          <w:noProof/>
        </w:rPr>
      </w:pPr>
      <w:r w:rsidRPr="000A46C5">
        <w:rPr>
          <w:rFonts w:ascii="Times New Roman" w:hAnsi="Times New Roman" w:cs="Times New Roman"/>
          <w:b/>
        </w:rPr>
        <w:t>Figure S</w:t>
      </w:r>
      <w:r w:rsidRPr="000A46C5">
        <w:rPr>
          <w:rFonts w:ascii="Times New Roman" w:hAnsi="Times New Roman" w:cs="Times New Roman" w:hint="eastAsia"/>
          <w:b/>
        </w:rPr>
        <w:t>3</w:t>
      </w:r>
      <w:r w:rsidRPr="000A46C5">
        <w:rPr>
          <w:rFonts w:ascii="Times New Roman" w:hAnsi="Times New Roman" w:cs="Times New Roman"/>
          <w:b/>
        </w:rPr>
        <w:t xml:space="preserve">. </w:t>
      </w:r>
      <w:r w:rsidRPr="000A46C5">
        <w:rPr>
          <w:rFonts w:ascii="Times New Roman" w:hAnsi="Times New Roman" w:cs="Times New Roman"/>
        </w:rPr>
        <w:t>The results of Michaelis-Menten equation nonlinear fitting on the experimental data from (</w:t>
      </w:r>
      <w:r w:rsidRPr="000A46C5">
        <w:rPr>
          <w:rFonts w:ascii="Times New Roman" w:hAnsi="Times New Roman" w:cs="Times New Roman" w:hint="eastAsia"/>
        </w:rPr>
        <w:t>A</w:t>
      </w:r>
      <w:r w:rsidRPr="000A46C5">
        <w:rPr>
          <w:rFonts w:ascii="Times New Roman" w:hAnsi="Times New Roman" w:cs="Times New Roman"/>
        </w:rPr>
        <w:t>) TMB and (</w:t>
      </w:r>
      <w:r w:rsidRPr="000A46C5">
        <w:rPr>
          <w:rFonts w:ascii="Times New Roman" w:hAnsi="Times New Roman" w:cs="Times New Roman" w:hint="eastAsia"/>
        </w:rPr>
        <w:t>B</w:t>
      </w:r>
      <w:r w:rsidRPr="000A46C5">
        <w:rPr>
          <w:rFonts w:ascii="Times New Roman" w:hAnsi="Times New Roman" w:cs="Times New Roman"/>
        </w:rPr>
        <w:t xml:space="preserve">) </w:t>
      </w:r>
      <w:bookmarkStart w:id="13" w:name="_Hlk172213717"/>
      <w:r w:rsidRPr="000A46C5">
        <w:rPr>
          <w:rFonts w:ascii="Times New Roman" w:hAnsi="Times New Roman" w:cs="Times New Roman"/>
        </w:rPr>
        <w:t>H</w:t>
      </w:r>
      <w:r w:rsidRPr="000A46C5">
        <w:rPr>
          <w:rFonts w:ascii="Times New Roman" w:hAnsi="Times New Roman" w:cs="Times New Roman"/>
          <w:vertAlign w:val="subscript"/>
        </w:rPr>
        <w:t>2</w:t>
      </w:r>
      <w:r w:rsidRPr="000A46C5">
        <w:rPr>
          <w:rFonts w:ascii="Times New Roman" w:hAnsi="Times New Roman" w:cs="Times New Roman"/>
        </w:rPr>
        <w:t>O</w:t>
      </w:r>
      <w:r w:rsidRPr="000A46C5">
        <w:rPr>
          <w:rFonts w:ascii="Times New Roman" w:hAnsi="Times New Roman" w:cs="Times New Roman"/>
          <w:vertAlign w:val="subscript"/>
        </w:rPr>
        <w:t>2</w:t>
      </w:r>
      <w:bookmarkEnd w:id="13"/>
      <w:r w:rsidRPr="000A46C5">
        <w:rPr>
          <w:rFonts w:ascii="Times New Roman" w:hAnsi="Times New Roman" w:cs="Times New Roman"/>
        </w:rPr>
        <w:t>. The typical Lineweaver-Burk double reciprocal plots of (</w:t>
      </w:r>
      <w:r w:rsidRPr="000A46C5">
        <w:rPr>
          <w:rFonts w:ascii="Times New Roman" w:hAnsi="Times New Roman" w:cs="Times New Roman" w:hint="eastAsia"/>
        </w:rPr>
        <w:t>C</w:t>
      </w:r>
      <w:r w:rsidRPr="000A46C5">
        <w:rPr>
          <w:rFonts w:ascii="Times New Roman" w:hAnsi="Times New Roman" w:cs="Times New Roman"/>
        </w:rPr>
        <w:t>) TMB and (</w:t>
      </w:r>
      <w:r w:rsidRPr="000A46C5">
        <w:rPr>
          <w:rFonts w:ascii="Times New Roman" w:hAnsi="Times New Roman" w:cs="Times New Roman" w:hint="eastAsia"/>
        </w:rPr>
        <w:t>D</w:t>
      </w:r>
      <w:r w:rsidRPr="000A46C5">
        <w:rPr>
          <w:rFonts w:ascii="Times New Roman" w:hAnsi="Times New Roman" w:cs="Times New Roman"/>
        </w:rPr>
        <w:t>) H</w:t>
      </w:r>
      <w:r w:rsidRPr="000A46C5">
        <w:rPr>
          <w:rFonts w:ascii="Times New Roman" w:hAnsi="Times New Roman" w:cs="Times New Roman"/>
          <w:vertAlign w:val="subscript"/>
        </w:rPr>
        <w:t>2</w:t>
      </w:r>
      <w:r w:rsidRPr="000A46C5">
        <w:rPr>
          <w:rFonts w:ascii="Times New Roman" w:hAnsi="Times New Roman" w:cs="Times New Roman"/>
        </w:rPr>
        <w:t>O</w:t>
      </w:r>
      <w:r w:rsidRPr="000A46C5">
        <w:rPr>
          <w:rFonts w:ascii="Times New Roman" w:hAnsi="Times New Roman" w:cs="Times New Roman"/>
          <w:vertAlign w:val="subscript"/>
        </w:rPr>
        <w:t>2</w:t>
      </w:r>
      <w:r w:rsidRPr="000A46C5">
        <w:rPr>
          <w:rFonts w:ascii="Times New Roman" w:hAnsi="Times New Roman" w:cs="Times New Roman"/>
        </w:rPr>
        <w:t>.</w:t>
      </w:r>
    </w:p>
    <w:p w14:paraId="4719F37C" w14:textId="77777777" w:rsidR="000A46C5" w:rsidRPr="000A46C5" w:rsidRDefault="000A46C5" w:rsidP="005712A1">
      <w:pPr>
        <w:widowControl/>
        <w:spacing w:line="360" w:lineRule="auto"/>
        <w:ind w:firstLineChars="200" w:firstLine="420"/>
        <w:jc w:val="left"/>
        <w:rPr>
          <w:rFonts w:ascii="Times New Roman" w:hAnsi="Times New Roman" w:cs="Times New Roman"/>
          <w:noProof/>
        </w:rPr>
      </w:pPr>
      <w:r w:rsidRPr="000A46C5">
        <w:rPr>
          <w:rFonts w:ascii="Times New Roman" w:hAnsi="Times New Roman" w:cs="Times New Roman"/>
          <w:noProof/>
        </w:rPr>
        <w:br w:type="page"/>
      </w:r>
    </w:p>
    <w:p w14:paraId="499EB343" w14:textId="77777777" w:rsidR="000A46C5" w:rsidRPr="000A46C5" w:rsidRDefault="000A46C5" w:rsidP="005712A1">
      <w:pPr>
        <w:spacing w:beforeLines="50" w:before="156" w:line="360" w:lineRule="auto"/>
        <w:rPr>
          <w:rFonts w:ascii="Times New Roman" w:hAnsi="Times New Roman" w:cs="Times New Roman"/>
          <w:b/>
          <w:sz w:val="28"/>
          <w:szCs w:val="32"/>
        </w:rPr>
      </w:pPr>
      <w:r w:rsidRPr="000A46C5">
        <w:rPr>
          <w:rFonts w:ascii="Times New Roman" w:hAnsi="Times New Roman" w:cs="Times New Roman"/>
          <w:b/>
          <w:sz w:val="28"/>
          <w:szCs w:val="32"/>
        </w:rPr>
        <w:lastRenderedPageBreak/>
        <w:t>Optimization of experimental conditions</w:t>
      </w:r>
    </w:p>
    <w:p w14:paraId="684FFBA9" w14:textId="77777777" w:rsidR="000A46C5" w:rsidRPr="000A46C5" w:rsidRDefault="000A46C5" w:rsidP="005712A1">
      <w:pPr>
        <w:spacing w:line="360" w:lineRule="auto"/>
        <w:ind w:firstLineChars="200" w:firstLine="480"/>
        <w:rPr>
          <w:rFonts w:ascii="Times New Roman" w:hAnsi="Times New Roman" w:cs="Times New Roman"/>
          <w:sz w:val="24"/>
          <w:szCs w:val="28"/>
        </w:rPr>
      </w:pPr>
      <w:r w:rsidRPr="000A46C5">
        <w:rPr>
          <w:rFonts w:ascii="Times New Roman" w:hAnsi="Times New Roman" w:cs="Times New Roman"/>
          <w:sz w:val="24"/>
          <w:szCs w:val="28"/>
        </w:rPr>
        <w:t xml:space="preserve">To acquire the better analytical performance, the influence of the main testing parameters including the concentration of aptamer, the incubation time of aptamer, the binding time of </w:t>
      </w:r>
      <w:r w:rsidRPr="000A46C5">
        <w:rPr>
          <w:rFonts w:ascii="Times New Roman" w:eastAsia="宋体" w:hAnsi="Times New Roman" w:cs="Times New Roman"/>
          <w:sz w:val="24"/>
          <w:szCs w:val="28"/>
        </w:rPr>
        <w:t>UO</w:t>
      </w:r>
      <w:r w:rsidRPr="000A46C5">
        <w:rPr>
          <w:rFonts w:ascii="Times New Roman" w:eastAsia="宋体" w:hAnsi="Times New Roman" w:cs="Times New Roman"/>
          <w:sz w:val="24"/>
          <w:szCs w:val="28"/>
          <w:vertAlign w:val="subscript"/>
        </w:rPr>
        <w:t>2</w:t>
      </w:r>
      <w:r w:rsidRPr="000A46C5">
        <w:rPr>
          <w:rFonts w:ascii="Times New Roman" w:eastAsia="宋体" w:hAnsi="Times New Roman" w:cs="Times New Roman"/>
          <w:sz w:val="24"/>
          <w:szCs w:val="28"/>
          <w:vertAlign w:val="superscript"/>
        </w:rPr>
        <w:t>2+</w:t>
      </w:r>
      <w:r w:rsidRPr="000A46C5">
        <w:rPr>
          <w:rFonts w:ascii="Times New Roman" w:eastAsia="宋体" w:hAnsi="Times New Roman" w:cs="Times New Roman"/>
          <w:sz w:val="24"/>
          <w:szCs w:val="28"/>
        </w:rPr>
        <w:t>, the pH value of detection solution and TMB reaction time</w:t>
      </w:r>
      <w:r w:rsidRPr="000A46C5">
        <w:rPr>
          <w:rFonts w:ascii="Times New Roman" w:hAnsi="Times New Roman" w:cs="Times New Roman"/>
          <w:sz w:val="24"/>
          <w:szCs w:val="28"/>
        </w:rPr>
        <w:t xml:space="preserve"> were successively optimized.</w:t>
      </w:r>
    </w:p>
    <w:p w14:paraId="5F7678EE" w14:textId="77777777" w:rsidR="000A46C5" w:rsidRPr="000A46C5" w:rsidRDefault="000A46C5" w:rsidP="005712A1">
      <w:pPr>
        <w:spacing w:line="360" w:lineRule="auto"/>
        <w:ind w:firstLineChars="200" w:firstLine="480"/>
        <w:rPr>
          <w:rFonts w:ascii="Times New Roman" w:hAnsi="Times New Roman" w:cs="Times New Roman"/>
        </w:rPr>
      </w:pPr>
      <w:r w:rsidRPr="000A46C5">
        <w:rPr>
          <w:rFonts w:ascii="Times New Roman" w:hAnsi="Times New Roman" w:cs="Times New Roman"/>
          <w:sz w:val="24"/>
          <w:szCs w:val="28"/>
        </w:rPr>
        <w:t>The concentration of aptamer was first observed. As shown in Fig. S4A, the absorbance increased significantly as the aptamer concentration rose from 1 μmol/L to 5 μmol/L, plateauing beyond 5 μmol/L. This saturation effect was attributed to the near-complete binding of the aptamer to AuNCs@COF. Similarly, in the electrochemical mode (Fig. S5A), the electrochemical signal response gradually weakened with increasing aptamer concentration from 2 μmol/L to 5 μmol/L, after which it remained nearly constant. Therefore, 5 μmol/L was selected as the optimal concentration for dual-mode detection.</w:t>
      </w:r>
    </w:p>
    <w:p w14:paraId="5F0A29EF" w14:textId="77777777" w:rsidR="000A46C5" w:rsidRPr="000A46C5" w:rsidRDefault="000A46C5" w:rsidP="005712A1">
      <w:pPr>
        <w:spacing w:line="360" w:lineRule="auto"/>
        <w:ind w:firstLineChars="200" w:firstLine="480"/>
        <w:rPr>
          <w:rFonts w:ascii="Times New Roman" w:hAnsi="Times New Roman" w:cs="Times New Roman"/>
          <w:sz w:val="24"/>
          <w:szCs w:val="28"/>
        </w:rPr>
      </w:pPr>
      <w:r w:rsidRPr="000A46C5">
        <w:rPr>
          <w:rFonts w:ascii="Times New Roman" w:hAnsi="Times New Roman" w:cs="Times New Roman"/>
          <w:sz w:val="24"/>
          <w:szCs w:val="28"/>
        </w:rPr>
        <w:t>As shown in Fig. S4B, the absorbance increased with longer incubation times of the aptamer with the materials, eventually stabilizing. Therefore, 60 minutes was selected as the optimal incubation time for aptamer-AuNCs@COF in the colorimetric mode. Similarly, in the electrochemical mode, the DPV current decreased as the incubation time of Apt with the electrode increased but remained stable beyond 20 minutes. Accordingly, 20 minutes was determined to be the optimal incubation time for aptamer-AuNCs@COF/SPCE in the electrochemical mode (Fig. S5B).</w:t>
      </w:r>
    </w:p>
    <w:p w14:paraId="23F7B01C" w14:textId="77777777" w:rsidR="000A46C5" w:rsidRPr="000A46C5" w:rsidRDefault="000A46C5" w:rsidP="005712A1">
      <w:pPr>
        <w:spacing w:line="360" w:lineRule="auto"/>
        <w:ind w:firstLineChars="200" w:firstLine="480"/>
        <w:rPr>
          <w:rFonts w:ascii="Times New Roman" w:hAnsi="Times New Roman" w:cs="Times New Roman"/>
          <w:sz w:val="24"/>
          <w:szCs w:val="28"/>
        </w:rPr>
      </w:pPr>
      <w:r w:rsidRPr="000A46C5">
        <w:rPr>
          <w:rFonts w:ascii="Times New Roman" w:hAnsi="Times New Roman" w:cs="Times New Roman"/>
          <w:sz w:val="24"/>
          <w:szCs w:val="28"/>
        </w:rPr>
        <w:t>As presented in Fig. S4C and S5C, the binding time of UO</w:t>
      </w:r>
      <w:r w:rsidRPr="000A46C5">
        <w:rPr>
          <w:rFonts w:ascii="Times New Roman" w:hAnsi="Times New Roman" w:cs="Times New Roman"/>
          <w:sz w:val="24"/>
          <w:szCs w:val="28"/>
          <w:vertAlign w:val="subscript"/>
        </w:rPr>
        <w:t>2</w:t>
      </w:r>
      <w:r w:rsidRPr="000A46C5">
        <w:rPr>
          <w:rFonts w:ascii="Times New Roman" w:hAnsi="Times New Roman" w:cs="Times New Roman"/>
          <w:sz w:val="24"/>
          <w:szCs w:val="28"/>
          <w:vertAlign w:val="superscript"/>
        </w:rPr>
        <w:t>2+</w:t>
      </w:r>
      <w:r w:rsidRPr="000A46C5">
        <w:rPr>
          <w:rFonts w:ascii="Times New Roman" w:hAnsi="Times New Roman" w:cs="Times New Roman"/>
          <w:sz w:val="24"/>
          <w:szCs w:val="28"/>
        </w:rPr>
        <w:t xml:space="preserve"> with the aptamer significantly influenced the dual-mode detection. In the colorimetric assay, the absorbance decreased as the binding time increased from 10 minutes to 60 minutes, with little change observed beyond 60 minutes. Similarly, in electrochemical detection, the current value gradually increased as the binding time extended, stabilizing after 60 minutes. This trend was attributed to the higher degree of aptamer separation from the material or electrode with longer binding times. Consequently, 60 minutes was selected as the optimal binding time for both detection modes.</w:t>
      </w:r>
    </w:p>
    <w:p w14:paraId="702BE66E" w14:textId="77777777" w:rsidR="000A46C5" w:rsidRPr="000A46C5" w:rsidRDefault="000A46C5" w:rsidP="005712A1">
      <w:pPr>
        <w:spacing w:line="360" w:lineRule="auto"/>
        <w:ind w:firstLineChars="200" w:firstLine="480"/>
        <w:rPr>
          <w:rFonts w:ascii="Times New Roman" w:hAnsi="Times New Roman" w:cs="Times New Roman"/>
          <w:sz w:val="24"/>
          <w:szCs w:val="28"/>
        </w:rPr>
      </w:pPr>
      <w:r w:rsidRPr="000A46C5">
        <w:rPr>
          <w:rFonts w:ascii="Times New Roman" w:hAnsi="Times New Roman" w:cs="Times New Roman"/>
          <w:sz w:val="24"/>
          <w:szCs w:val="28"/>
        </w:rPr>
        <w:t xml:space="preserve">As shown in Fig. S4D, the absorbance increased with rising pH of detection </w:t>
      </w:r>
      <w:r w:rsidRPr="000A46C5">
        <w:rPr>
          <w:rFonts w:ascii="Times New Roman" w:hAnsi="Times New Roman" w:cs="Times New Roman"/>
          <w:sz w:val="24"/>
          <w:szCs w:val="28"/>
        </w:rPr>
        <w:lastRenderedPageBreak/>
        <w:t>solution within the range of 3.0 to 4.0 and gradually declined at pH levels exceeding 4.0. Thus, pH 4.0 was determined to be the optimal condition for the colorimetric assay. Similarly, as illustrated in Fig. S5D, the trend of the current difference with and without UO</w:t>
      </w:r>
      <w:r w:rsidRPr="000A46C5">
        <w:rPr>
          <w:rFonts w:ascii="Times New Roman" w:hAnsi="Times New Roman" w:cs="Times New Roman"/>
          <w:sz w:val="24"/>
          <w:szCs w:val="28"/>
          <w:vertAlign w:val="subscript"/>
        </w:rPr>
        <w:t>2</w:t>
      </w:r>
      <w:r w:rsidRPr="000A46C5">
        <w:rPr>
          <w:rFonts w:ascii="Times New Roman" w:hAnsi="Times New Roman" w:cs="Times New Roman"/>
          <w:sz w:val="24"/>
          <w:szCs w:val="28"/>
          <w:vertAlign w:val="superscript"/>
        </w:rPr>
        <w:t>2+</w:t>
      </w:r>
      <w:r w:rsidRPr="000A46C5">
        <w:rPr>
          <w:rFonts w:ascii="Times New Roman" w:hAnsi="Times New Roman" w:cs="Times New Roman"/>
          <w:sz w:val="24"/>
          <w:szCs w:val="28"/>
        </w:rPr>
        <w:t xml:space="preserve"> in the electrochemical detection mode exhibited a similar pattern, also indicating pH 4.0 as the optimal condition.</w:t>
      </w:r>
    </w:p>
    <w:p w14:paraId="5F33F602" w14:textId="77777777" w:rsidR="000A46C5" w:rsidRPr="000A46C5" w:rsidRDefault="000A46C5" w:rsidP="005712A1">
      <w:pPr>
        <w:spacing w:line="360" w:lineRule="auto"/>
        <w:ind w:firstLineChars="200" w:firstLine="480"/>
        <w:rPr>
          <w:rFonts w:ascii="Times New Roman" w:hAnsi="Times New Roman" w:cs="Times New Roman"/>
          <w:sz w:val="24"/>
          <w:szCs w:val="28"/>
        </w:rPr>
      </w:pPr>
      <w:r w:rsidRPr="000A46C5">
        <w:rPr>
          <w:rFonts w:ascii="Times New Roman" w:hAnsi="Times New Roman" w:cs="Times New Roman"/>
          <w:sz w:val="24"/>
          <w:szCs w:val="28"/>
        </w:rPr>
        <w:t>Additionally, as shown in Fig. S4E, the absorbance initially increased with the TMB reaction time and then declined, reaching its peak at 20 minutes. This finding suggested that 20 minutes was the optimal color development time for the colorimetric sensor.</w:t>
      </w:r>
    </w:p>
    <w:p w14:paraId="677181DE" w14:textId="77777777" w:rsidR="000A46C5" w:rsidRPr="000A46C5" w:rsidRDefault="000A46C5" w:rsidP="005712A1">
      <w:pPr>
        <w:widowControl/>
        <w:spacing w:line="360" w:lineRule="auto"/>
        <w:ind w:firstLineChars="200" w:firstLine="480"/>
        <w:jc w:val="left"/>
        <w:rPr>
          <w:rFonts w:ascii="Times New Roman" w:hAnsi="Times New Roman" w:cs="Times New Roman"/>
          <w:sz w:val="24"/>
          <w:szCs w:val="28"/>
        </w:rPr>
      </w:pPr>
      <w:r w:rsidRPr="000A46C5">
        <w:rPr>
          <w:rFonts w:ascii="Times New Roman" w:hAnsi="Times New Roman" w:cs="Times New Roman"/>
          <w:sz w:val="24"/>
          <w:szCs w:val="28"/>
        </w:rPr>
        <w:br w:type="page"/>
      </w:r>
    </w:p>
    <w:p w14:paraId="08900502" w14:textId="77777777" w:rsidR="000A46C5" w:rsidRPr="000A46C5" w:rsidRDefault="000A46C5" w:rsidP="005712A1">
      <w:pPr>
        <w:spacing w:line="360" w:lineRule="auto"/>
        <w:jc w:val="center"/>
        <w:rPr>
          <w:rFonts w:ascii="Times New Roman" w:hAnsi="Times New Roman" w:cs="Times New Roman"/>
        </w:rPr>
      </w:pPr>
      <w:r w:rsidRPr="000A46C5">
        <w:rPr>
          <w:rFonts w:ascii="Times New Roman" w:hAnsi="Times New Roman" w:cs="Times New Roman"/>
          <w:noProof/>
        </w:rPr>
        <w:lastRenderedPageBreak/>
        <w:drawing>
          <wp:inline distT="0" distB="0" distL="0" distR="0" wp14:anchorId="2781CED3" wp14:editId="39E84593">
            <wp:extent cx="4955042" cy="6076800"/>
            <wp:effectExtent l="0" t="0" r="0" b="635"/>
            <wp:docPr id="12481817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81793" name="图片 7"/>
                    <pic:cNvPicPr/>
                  </pic:nvPicPr>
                  <pic:blipFill rotWithShape="1">
                    <a:blip r:embed="rId8" cstate="print">
                      <a:extLst>
                        <a:ext uri="{28A0092B-C50C-407E-A947-70E740481C1C}">
                          <a14:useLocalDpi xmlns:a14="http://schemas.microsoft.com/office/drawing/2010/main" val="0"/>
                        </a:ext>
                      </a:extLst>
                    </a:blip>
                    <a:srcRect l="15661" r="17632"/>
                    <a:stretch/>
                  </pic:blipFill>
                  <pic:spPr bwMode="auto">
                    <a:xfrm>
                      <a:off x="0" y="0"/>
                      <a:ext cx="4955042" cy="6076800"/>
                    </a:xfrm>
                    <a:prstGeom prst="rect">
                      <a:avLst/>
                    </a:prstGeom>
                    <a:ln>
                      <a:noFill/>
                    </a:ln>
                    <a:extLst>
                      <a:ext uri="{53640926-AAD7-44D8-BBD7-CCE9431645EC}">
                        <a14:shadowObscured xmlns:a14="http://schemas.microsoft.com/office/drawing/2010/main"/>
                      </a:ext>
                    </a:extLst>
                  </pic:spPr>
                </pic:pic>
              </a:graphicData>
            </a:graphic>
          </wp:inline>
        </w:drawing>
      </w:r>
    </w:p>
    <w:p w14:paraId="181CCBA9" w14:textId="77777777" w:rsidR="000A46C5" w:rsidRPr="000A46C5" w:rsidRDefault="000A46C5" w:rsidP="005712A1">
      <w:pPr>
        <w:spacing w:line="360" w:lineRule="auto"/>
        <w:rPr>
          <w:rFonts w:ascii="Times New Roman" w:hAnsi="Times New Roman" w:cs="Times New Roman"/>
        </w:rPr>
      </w:pPr>
      <w:r w:rsidRPr="000A46C5">
        <w:rPr>
          <w:rFonts w:ascii="Times New Roman" w:hAnsi="Times New Roman" w:cs="Times New Roman"/>
          <w:b/>
        </w:rPr>
        <w:t>Figure S</w:t>
      </w:r>
      <w:r w:rsidRPr="000A46C5">
        <w:rPr>
          <w:rFonts w:ascii="Times New Roman" w:hAnsi="Times New Roman" w:cs="Times New Roman" w:hint="eastAsia"/>
          <w:b/>
        </w:rPr>
        <w:t>4</w:t>
      </w:r>
      <w:r w:rsidRPr="000A46C5">
        <w:rPr>
          <w:rFonts w:ascii="Times New Roman" w:hAnsi="Times New Roman" w:cs="Times New Roman"/>
          <w:b/>
        </w:rPr>
        <w:t xml:space="preserve">. </w:t>
      </w:r>
      <w:r w:rsidRPr="000A46C5">
        <w:rPr>
          <w:rFonts w:ascii="Times New Roman" w:hAnsi="Times New Roman" w:cs="Times New Roman"/>
        </w:rPr>
        <w:t xml:space="preserve">Optimization of the colorimetric experimental conditions. (A) Effect of the concentration of </w:t>
      </w:r>
      <w:r w:rsidRPr="000A46C5">
        <w:rPr>
          <w:rFonts w:ascii="Times New Roman" w:hAnsi="Times New Roman" w:cs="Times New Roman"/>
          <w:sz w:val="24"/>
          <w:szCs w:val="28"/>
        </w:rPr>
        <w:t>aptamer</w:t>
      </w:r>
      <w:r w:rsidRPr="000A46C5">
        <w:rPr>
          <w:rFonts w:ascii="Times New Roman" w:hAnsi="Times New Roman" w:cs="Times New Roman" w:hint="eastAsia"/>
        </w:rPr>
        <w:t>;</w:t>
      </w:r>
      <w:r w:rsidRPr="000A46C5">
        <w:rPr>
          <w:rFonts w:ascii="Times New Roman" w:hAnsi="Times New Roman" w:cs="Times New Roman"/>
        </w:rPr>
        <w:t xml:space="preserve"> (B) the incubation time of Apt/AuNCs@COF biological probe</w:t>
      </w:r>
      <w:r w:rsidRPr="000A46C5">
        <w:rPr>
          <w:rFonts w:ascii="Times New Roman" w:hAnsi="Times New Roman" w:cs="Times New Roman" w:hint="eastAsia"/>
        </w:rPr>
        <w:t>;</w:t>
      </w:r>
      <w:r w:rsidRPr="000A46C5">
        <w:rPr>
          <w:rFonts w:ascii="Times New Roman" w:hAnsi="Times New Roman" w:cs="Times New Roman"/>
        </w:rPr>
        <w:t xml:space="preserve"> (C) the binding time of UO</w:t>
      </w:r>
      <w:r w:rsidRPr="000A46C5">
        <w:rPr>
          <w:rFonts w:ascii="Times New Roman" w:hAnsi="Times New Roman" w:cs="Times New Roman"/>
          <w:vertAlign w:val="subscript"/>
        </w:rPr>
        <w:t>2</w:t>
      </w:r>
      <w:r w:rsidRPr="000A46C5">
        <w:rPr>
          <w:rFonts w:ascii="Times New Roman" w:hAnsi="Times New Roman" w:cs="Times New Roman"/>
          <w:vertAlign w:val="superscript"/>
        </w:rPr>
        <w:t>2+</w:t>
      </w:r>
      <w:r w:rsidRPr="000A46C5">
        <w:rPr>
          <w:rFonts w:ascii="Times New Roman" w:hAnsi="Times New Roman" w:cs="Times New Roman"/>
        </w:rPr>
        <w:t xml:space="preserve"> with </w:t>
      </w:r>
      <w:r w:rsidRPr="000A46C5">
        <w:rPr>
          <w:rFonts w:ascii="Times New Roman" w:hAnsi="Times New Roman" w:cs="Times New Roman"/>
          <w:sz w:val="24"/>
          <w:szCs w:val="28"/>
        </w:rPr>
        <w:t>aptamer</w:t>
      </w:r>
      <w:r w:rsidRPr="000A46C5">
        <w:rPr>
          <w:rFonts w:ascii="Times New Roman" w:hAnsi="Times New Roman" w:cs="Times New Roman" w:hint="eastAsia"/>
        </w:rPr>
        <w:t>;</w:t>
      </w:r>
      <w:r w:rsidRPr="000A46C5">
        <w:rPr>
          <w:rFonts w:ascii="Times New Roman" w:hAnsi="Times New Roman" w:cs="Times New Roman"/>
        </w:rPr>
        <w:t xml:space="preserve"> (D) the pH value of detection solution</w:t>
      </w:r>
      <w:r w:rsidRPr="000A46C5">
        <w:rPr>
          <w:rFonts w:ascii="Times New Roman" w:hAnsi="Times New Roman" w:cs="Times New Roman" w:hint="eastAsia"/>
        </w:rPr>
        <w:t>;</w:t>
      </w:r>
      <w:r w:rsidRPr="000A46C5">
        <w:rPr>
          <w:rFonts w:ascii="Times New Roman" w:hAnsi="Times New Roman" w:cs="Times New Roman"/>
        </w:rPr>
        <w:t xml:space="preserve"> (E) the TMB reaction time.</w:t>
      </w:r>
    </w:p>
    <w:p w14:paraId="23BDD322" w14:textId="77777777" w:rsidR="000A46C5" w:rsidRPr="000A46C5" w:rsidRDefault="000A46C5" w:rsidP="005712A1">
      <w:pPr>
        <w:widowControl/>
        <w:spacing w:line="360" w:lineRule="auto"/>
        <w:ind w:firstLineChars="200" w:firstLine="420"/>
        <w:jc w:val="left"/>
        <w:rPr>
          <w:rFonts w:ascii="Times New Roman" w:hAnsi="Times New Roman" w:cs="Times New Roman"/>
        </w:rPr>
      </w:pPr>
      <w:r w:rsidRPr="000A46C5">
        <w:rPr>
          <w:rFonts w:ascii="Times New Roman" w:hAnsi="Times New Roman" w:cs="Times New Roman"/>
        </w:rPr>
        <w:br w:type="page"/>
      </w:r>
    </w:p>
    <w:p w14:paraId="445996CB" w14:textId="77777777" w:rsidR="000A46C5" w:rsidRPr="000A46C5" w:rsidRDefault="000A46C5" w:rsidP="005712A1">
      <w:pPr>
        <w:spacing w:line="360" w:lineRule="auto"/>
        <w:jc w:val="center"/>
        <w:rPr>
          <w:rFonts w:ascii="Times New Roman" w:hAnsi="Times New Roman" w:cs="Times New Roman"/>
        </w:rPr>
      </w:pPr>
      <w:r w:rsidRPr="000A46C5">
        <w:rPr>
          <w:rFonts w:ascii="Times New Roman" w:hAnsi="Times New Roman" w:cs="Times New Roman"/>
          <w:noProof/>
        </w:rPr>
        <w:lastRenderedPageBreak/>
        <w:drawing>
          <wp:inline distT="0" distB="0" distL="0" distR="0" wp14:anchorId="1EC1F8D6" wp14:editId="1273FAD1">
            <wp:extent cx="4911337" cy="4114800"/>
            <wp:effectExtent l="0" t="0" r="3810" b="0"/>
            <wp:docPr id="10574089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0897" name="图片 105740897"/>
                    <pic:cNvPicPr/>
                  </pic:nvPicPr>
                  <pic:blipFill rotWithShape="1">
                    <a:blip r:embed="rId9" cstate="print">
                      <a:extLst>
                        <a:ext uri="{28A0092B-C50C-407E-A947-70E740481C1C}">
                          <a14:useLocalDpi xmlns:a14="http://schemas.microsoft.com/office/drawing/2010/main" val="0"/>
                        </a:ext>
                      </a:extLst>
                    </a:blip>
                    <a:srcRect l="14630" r="18721"/>
                    <a:stretch/>
                  </pic:blipFill>
                  <pic:spPr bwMode="auto">
                    <a:xfrm>
                      <a:off x="0" y="0"/>
                      <a:ext cx="4911337" cy="4114800"/>
                    </a:xfrm>
                    <a:prstGeom prst="rect">
                      <a:avLst/>
                    </a:prstGeom>
                    <a:ln>
                      <a:noFill/>
                    </a:ln>
                    <a:extLst>
                      <a:ext uri="{53640926-AAD7-44D8-BBD7-CCE9431645EC}">
                        <a14:shadowObscured xmlns:a14="http://schemas.microsoft.com/office/drawing/2010/main"/>
                      </a:ext>
                    </a:extLst>
                  </pic:spPr>
                </pic:pic>
              </a:graphicData>
            </a:graphic>
          </wp:inline>
        </w:drawing>
      </w:r>
    </w:p>
    <w:p w14:paraId="3BFAC29D" w14:textId="77777777" w:rsidR="000A46C5" w:rsidRPr="000A46C5" w:rsidRDefault="000A46C5" w:rsidP="005712A1">
      <w:pPr>
        <w:spacing w:line="360" w:lineRule="auto"/>
        <w:rPr>
          <w:rFonts w:ascii="Times New Roman" w:hAnsi="Times New Roman" w:cs="Times New Roman"/>
          <w:noProof/>
        </w:rPr>
      </w:pPr>
      <w:bookmarkStart w:id="14" w:name="_Hlk180886164"/>
      <w:r w:rsidRPr="000A46C5">
        <w:rPr>
          <w:rFonts w:ascii="Times New Roman" w:hAnsi="Times New Roman" w:cs="Times New Roman"/>
          <w:b/>
        </w:rPr>
        <w:t>Figure S</w:t>
      </w:r>
      <w:r w:rsidRPr="000A46C5">
        <w:rPr>
          <w:rFonts w:ascii="Times New Roman" w:hAnsi="Times New Roman" w:cs="Times New Roman" w:hint="eastAsia"/>
          <w:b/>
        </w:rPr>
        <w:t>5</w:t>
      </w:r>
      <w:r w:rsidRPr="000A46C5">
        <w:rPr>
          <w:rFonts w:ascii="Times New Roman" w:hAnsi="Times New Roman" w:cs="Times New Roman"/>
          <w:b/>
        </w:rPr>
        <w:t>.</w:t>
      </w:r>
      <w:bookmarkEnd w:id="14"/>
      <w:r w:rsidRPr="000A46C5">
        <w:rPr>
          <w:rFonts w:ascii="Times New Roman" w:hAnsi="Times New Roman" w:cs="Times New Roman"/>
          <w:b/>
        </w:rPr>
        <w:t xml:space="preserve"> </w:t>
      </w:r>
      <w:r w:rsidRPr="000A46C5">
        <w:rPr>
          <w:rFonts w:ascii="Times New Roman" w:hAnsi="Times New Roman" w:cs="Times New Roman"/>
        </w:rPr>
        <w:t xml:space="preserve">Optimization of the electrochemical experimental conditions. (A) Effect of the concentration of </w:t>
      </w:r>
      <w:r w:rsidRPr="000A46C5">
        <w:rPr>
          <w:rFonts w:ascii="Times New Roman" w:hAnsi="Times New Roman" w:cs="Times New Roman"/>
          <w:sz w:val="24"/>
          <w:szCs w:val="28"/>
        </w:rPr>
        <w:t>aptamer</w:t>
      </w:r>
      <w:r w:rsidRPr="000A46C5">
        <w:rPr>
          <w:rFonts w:ascii="Times New Roman" w:hAnsi="Times New Roman" w:cs="Times New Roman"/>
        </w:rPr>
        <w:t>; (B) the incubation time of Apt/AuNCs@COF biological probe; (C) the binding time of UO</w:t>
      </w:r>
      <w:r w:rsidRPr="000A46C5">
        <w:rPr>
          <w:rFonts w:ascii="Times New Roman" w:hAnsi="Times New Roman" w:cs="Times New Roman"/>
          <w:vertAlign w:val="subscript"/>
        </w:rPr>
        <w:t>2</w:t>
      </w:r>
      <w:r w:rsidRPr="000A46C5">
        <w:rPr>
          <w:rFonts w:ascii="Times New Roman" w:hAnsi="Times New Roman" w:cs="Times New Roman"/>
          <w:vertAlign w:val="superscript"/>
        </w:rPr>
        <w:t>2+</w:t>
      </w:r>
      <w:r w:rsidRPr="000A46C5">
        <w:rPr>
          <w:rFonts w:ascii="Times New Roman" w:hAnsi="Times New Roman" w:cs="Times New Roman"/>
        </w:rPr>
        <w:t xml:space="preserve"> with </w:t>
      </w:r>
      <w:r w:rsidRPr="000A46C5">
        <w:rPr>
          <w:rFonts w:ascii="Times New Roman" w:hAnsi="Times New Roman" w:cs="Times New Roman"/>
          <w:sz w:val="24"/>
          <w:szCs w:val="28"/>
        </w:rPr>
        <w:t>aptamer</w:t>
      </w:r>
      <w:r w:rsidRPr="000A46C5">
        <w:rPr>
          <w:rFonts w:ascii="Times New Roman" w:hAnsi="Times New Roman" w:cs="Times New Roman"/>
        </w:rPr>
        <w:t>; (D) the pH value of detection solution.</w:t>
      </w:r>
    </w:p>
    <w:p w14:paraId="1E08C4D9" w14:textId="77777777" w:rsidR="000A46C5" w:rsidRPr="000A46C5" w:rsidRDefault="000A46C5" w:rsidP="005712A1">
      <w:pPr>
        <w:widowControl/>
        <w:spacing w:line="360" w:lineRule="auto"/>
        <w:ind w:firstLineChars="200" w:firstLine="420"/>
        <w:jc w:val="left"/>
        <w:rPr>
          <w:rFonts w:ascii="Times New Roman" w:hAnsi="Times New Roman" w:cs="Times New Roman"/>
          <w:noProof/>
        </w:rPr>
      </w:pPr>
      <w:r w:rsidRPr="000A46C5">
        <w:rPr>
          <w:rFonts w:ascii="Times New Roman" w:hAnsi="Times New Roman" w:cs="Times New Roman"/>
          <w:noProof/>
        </w:rPr>
        <w:br w:type="page"/>
      </w:r>
    </w:p>
    <w:p w14:paraId="51747B11" w14:textId="77777777" w:rsidR="000A46C5" w:rsidRPr="000A46C5" w:rsidRDefault="000A46C5" w:rsidP="005712A1">
      <w:pPr>
        <w:spacing w:beforeLines="50" w:before="156" w:line="360" w:lineRule="auto"/>
        <w:rPr>
          <w:rFonts w:ascii="Times New Roman" w:hAnsi="Times New Roman" w:cs="Times New Roman"/>
        </w:rPr>
      </w:pPr>
      <w:r w:rsidRPr="000A46C5">
        <w:rPr>
          <w:rFonts w:ascii="Times New Roman" w:hAnsi="Times New Roman" w:cs="Times New Roman"/>
          <w:b/>
        </w:rPr>
        <w:lastRenderedPageBreak/>
        <w:t>Table S</w:t>
      </w:r>
      <w:r w:rsidRPr="000A46C5">
        <w:rPr>
          <w:rFonts w:ascii="Times New Roman" w:hAnsi="Times New Roman" w:cs="Times New Roman" w:hint="eastAsia"/>
          <w:b/>
        </w:rPr>
        <w:t>1</w:t>
      </w:r>
      <w:r w:rsidRPr="000A46C5">
        <w:rPr>
          <w:rFonts w:ascii="Times New Roman" w:hAnsi="Times New Roman" w:cs="Times New Roman"/>
          <w:b/>
        </w:rPr>
        <w:t xml:space="preserve"> </w:t>
      </w:r>
      <w:r w:rsidRPr="000A46C5">
        <w:rPr>
          <w:rFonts w:ascii="Times New Roman" w:hAnsi="Times New Roman" w:cs="Times New Roman"/>
        </w:rPr>
        <w:t>Comparison of the kinetic parameters of AuNCs@COF and other reported nanozymes.</w:t>
      </w:r>
    </w:p>
    <w:tbl>
      <w:tblPr>
        <w:tblW w:w="5202" w:type="pct"/>
        <w:jc w:val="center"/>
        <w:tblBorders>
          <w:top w:val="single" w:sz="12" w:space="0" w:color="auto"/>
          <w:bottom w:val="single" w:sz="12" w:space="0" w:color="auto"/>
        </w:tblBorders>
        <w:tblLook w:val="04A0" w:firstRow="1" w:lastRow="0" w:firstColumn="1" w:lastColumn="0" w:noHBand="0" w:noVBand="1"/>
      </w:tblPr>
      <w:tblGrid>
        <w:gridCol w:w="2445"/>
        <w:gridCol w:w="1040"/>
        <w:gridCol w:w="987"/>
        <w:gridCol w:w="1277"/>
        <w:gridCol w:w="1201"/>
        <w:gridCol w:w="1692"/>
      </w:tblGrid>
      <w:tr w:rsidR="000A46C5" w:rsidRPr="000A46C5" w14:paraId="05A16E5E" w14:textId="77777777">
        <w:trPr>
          <w:trHeight w:val="413"/>
          <w:jc w:val="center"/>
        </w:trPr>
        <w:tc>
          <w:tcPr>
            <w:tcW w:w="1414" w:type="pct"/>
            <w:vMerge w:val="restart"/>
            <w:tcBorders>
              <w:top w:val="single" w:sz="12" w:space="0" w:color="auto"/>
              <w:left w:val="nil"/>
              <w:bottom w:val="nil"/>
              <w:right w:val="nil"/>
            </w:tcBorders>
            <w:vAlign w:val="center"/>
            <w:hideMark/>
          </w:tcPr>
          <w:p w14:paraId="7CA22AE4" w14:textId="77777777" w:rsidR="000A46C5" w:rsidRPr="000A46C5" w:rsidRDefault="000A46C5" w:rsidP="005712A1">
            <w:pPr>
              <w:spacing w:line="360" w:lineRule="auto"/>
              <w:jc w:val="center"/>
              <w:rPr>
                <w:rFonts w:ascii="Times New Roman" w:eastAsia="宋体" w:hAnsi="Times New Roman" w:cs="Times New Roman"/>
                <w:b/>
                <w:szCs w:val="21"/>
              </w:rPr>
            </w:pPr>
            <w:r w:rsidRPr="000A46C5">
              <w:rPr>
                <w:rFonts w:ascii="Times New Roman" w:eastAsia="宋体" w:hAnsi="Times New Roman" w:cs="Times New Roman"/>
                <w:b/>
                <w:szCs w:val="21"/>
              </w:rPr>
              <w:t>Catalysts</w:t>
            </w:r>
          </w:p>
        </w:tc>
        <w:tc>
          <w:tcPr>
            <w:tcW w:w="1172" w:type="pct"/>
            <w:gridSpan w:val="2"/>
            <w:tcBorders>
              <w:top w:val="single" w:sz="12" w:space="0" w:color="auto"/>
              <w:left w:val="nil"/>
              <w:bottom w:val="single" w:sz="12" w:space="0" w:color="auto"/>
              <w:right w:val="nil"/>
            </w:tcBorders>
            <w:vAlign w:val="center"/>
            <w:hideMark/>
          </w:tcPr>
          <w:p w14:paraId="7454665C" w14:textId="77777777" w:rsidR="000A46C5" w:rsidRPr="000A46C5" w:rsidRDefault="000A46C5" w:rsidP="005712A1">
            <w:pPr>
              <w:spacing w:line="360" w:lineRule="auto"/>
              <w:ind w:leftChars="100" w:left="210"/>
              <w:jc w:val="center"/>
              <w:rPr>
                <w:rFonts w:ascii="Times New Roman" w:eastAsia="宋体" w:hAnsi="Times New Roman" w:cs="Times New Roman"/>
                <w:b/>
                <w:szCs w:val="21"/>
              </w:rPr>
            </w:pPr>
            <w:r w:rsidRPr="000A46C5">
              <w:rPr>
                <w:rFonts w:ascii="Times New Roman" w:eastAsia="宋体" w:hAnsi="Times New Roman" w:cs="Times New Roman"/>
                <w:b/>
                <w:i/>
                <w:iCs/>
                <w:szCs w:val="21"/>
              </w:rPr>
              <w:t>K</w:t>
            </w:r>
            <w:r w:rsidRPr="000A46C5">
              <w:rPr>
                <w:rFonts w:ascii="Times New Roman" w:eastAsia="宋体" w:hAnsi="Times New Roman" w:cs="Times New Roman"/>
                <w:b/>
                <w:i/>
                <w:iCs/>
                <w:szCs w:val="21"/>
                <w:vertAlign w:val="subscript"/>
              </w:rPr>
              <w:t>m</w:t>
            </w:r>
            <w:r w:rsidRPr="000A46C5">
              <w:rPr>
                <w:rFonts w:ascii="Times New Roman" w:eastAsia="宋体" w:hAnsi="Times New Roman" w:cs="Times New Roman"/>
                <w:b/>
                <w:szCs w:val="21"/>
                <w:vertAlign w:val="subscript"/>
              </w:rPr>
              <w:t xml:space="preserve"> </w:t>
            </w:r>
            <w:r w:rsidRPr="000A46C5">
              <w:rPr>
                <w:rFonts w:ascii="Times New Roman" w:eastAsia="宋体" w:hAnsi="Times New Roman" w:cs="Times New Roman"/>
                <w:b/>
                <w:szCs w:val="21"/>
              </w:rPr>
              <w:t>(mmol L</w:t>
            </w:r>
            <w:r w:rsidRPr="000A46C5">
              <w:rPr>
                <w:rFonts w:ascii="Times New Roman" w:eastAsia="宋体" w:hAnsi="Times New Roman" w:cs="Times New Roman"/>
                <w:b/>
                <w:szCs w:val="21"/>
                <w:vertAlign w:val="superscript"/>
              </w:rPr>
              <w:t>-1</w:t>
            </w:r>
            <w:r w:rsidRPr="000A46C5">
              <w:rPr>
                <w:rFonts w:ascii="Times New Roman" w:eastAsia="宋体" w:hAnsi="Times New Roman" w:cs="Times New Roman"/>
                <w:b/>
                <w:szCs w:val="21"/>
              </w:rPr>
              <w:t>)</w:t>
            </w:r>
          </w:p>
        </w:tc>
        <w:tc>
          <w:tcPr>
            <w:tcW w:w="1434" w:type="pct"/>
            <w:gridSpan w:val="2"/>
            <w:tcBorders>
              <w:top w:val="single" w:sz="12" w:space="0" w:color="auto"/>
              <w:left w:val="nil"/>
              <w:bottom w:val="single" w:sz="12" w:space="0" w:color="auto"/>
              <w:right w:val="nil"/>
            </w:tcBorders>
            <w:vAlign w:val="center"/>
            <w:hideMark/>
          </w:tcPr>
          <w:p w14:paraId="64E7C93C" w14:textId="77777777" w:rsidR="000A46C5" w:rsidRPr="000A46C5" w:rsidRDefault="000A46C5" w:rsidP="005712A1">
            <w:pPr>
              <w:spacing w:line="360" w:lineRule="auto"/>
              <w:jc w:val="center"/>
              <w:rPr>
                <w:rFonts w:ascii="Times New Roman" w:eastAsia="宋体" w:hAnsi="Times New Roman" w:cs="Times New Roman"/>
                <w:b/>
                <w:szCs w:val="21"/>
              </w:rPr>
            </w:pPr>
            <w:r w:rsidRPr="000A46C5">
              <w:rPr>
                <w:rFonts w:ascii="Times New Roman" w:eastAsia="宋体" w:hAnsi="Times New Roman" w:cs="Times New Roman"/>
                <w:b/>
                <w:i/>
                <w:iCs/>
                <w:szCs w:val="21"/>
              </w:rPr>
              <w:t>V</w:t>
            </w:r>
            <w:r w:rsidRPr="000A46C5">
              <w:rPr>
                <w:rFonts w:ascii="Times New Roman" w:eastAsia="宋体" w:hAnsi="Times New Roman" w:cs="Times New Roman"/>
                <w:b/>
                <w:i/>
                <w:iCs/>
                <w:szCs w:val="21"/>
                <w:vertAlign w:val="subscript"/>
              </w:rPr>
              <w:t>max</w:t>
            </w:r>
            <w:r w:rsidRPr="000A46C5">
              <w:rPr>
                <w:rFonts w:ascii="Times New Roman" w:eastAsia="宋体" w:hAnsi="Times New Roman" w:cs="Times New Roman"/>
                <w:b/>
                <w:szCs w:val="21"/>
                <w:vertAlign w:val="subscript"/>
              </w:rPr>
              <w:t xml:space="preserve"> </w:t>
            </w:r>
            <w:r w:rsidRPr="000A46C5">
              <w:rPr>
                <w:rFonts w:ascii="Times New Roman" w:eastAsia="宋体" w:hAnsi="Times New Roman" w:cs="Times New Roman"/>
                <w:b/>
                <w:szCs w:val="21"/>
              </w:rPr>
              <w:t>(mmol L</w:t>
            </w:r>
            <w:r w:rsidRPr="000A46C5">
              <w:rPr>
                <w:rFonts w:ascii="Times New Roman" w:eastAsia="宋体" w:hAnsi="Times New Roman" w:cs="Times New Roman"/>
                <w:b/>
                <w:szCs w:val="21"/>
                <w:vertAlign w:val="superscript"/>
              </w:rPr>
              <w:t>-1</w:t>
            </w:r>
            <w:r w:rsidRPr="000A46C5">
              <w:rPr>
                <w:rFonts w:ascii="Times New Roman" w:eastAsia="宋体" w:hAnsi="Times New Roman" w:cs="Times New Roman"/>
                <w:b/>
                <w:szCs w:val="21"/>
              </w:rPr>
              <w:t xml:space="preserve"> s</w:t>
            </w:r>
            <w:r w:rsidRPr="000A46C5">
              <w:rPr>
                <w:rFonts w:ascii="Times New Roman" w:eastAsia="宋体" w:hAnsi="Times New Roman" w:cs="Times New Roman"/>
                <w:b/>
                <w:szCs w:val="21"/>
                <w:vertAlign w:val="superscript"/>
              </w:rPr>
              <w:t>-1</w:t>
            </w:r>
            <w:r w:rsidRPr="000A46C5">
              <w:rPr>
                <w:rFonts w:ascii="Times New Roman" w:eastAsia="宋体" w:hAnsi="Times New Roman" w:cs="Times New Roman"/>
                <w:b/>
                <w:szCs w:val="21"/>
              </w:rPr>
              <w:t>)</w:t>
            </w:r>
          </w:p>
        </w:tc>
        <w:tc>
          <w:tcPr>
            <w:tcW w:w="980" w:type="pct"/>
            <w:vMerge w:val="restart"/>
            <w:tcBorders>
              <w:top w:val="single" w:sz="12" w:space="0" w:color="auto"/>
              <w:left w:val="nil"/>
              <w:bottom w:val="nil"/>
              <w:right w:val="nil"/>
            </w:tcBorders>
            <w:vAlign w:val="center"/>
            <w:hideMark/>
          </w:tcPr>
          <w:p w14:paraId="2B1FFFB4" w14:textId="77777777" w:rsidR="000A46C5" w:rsidRPr="000A46C5" w:rsidRDefault="000A46C5" w:rsidP="005712A1">
            <w:pPr>
              <w:spacing w:line="360" w:lineRule="auto"/>
              <w:jc w:val="center"/>
              <w:rPr>
                <w:rFonts w:ascii="Times New Roman" w:eastAsia="宋体" w:hAnsi="Times New Roman" w:cs="Times New Roman"/>
                <w:b/>
                <w:szCs w:val="21"/>
              </w:rPr>
            </w:pPr>
            <w:r w:rsidRPr="000A46C5">
              <w:rPr>
                <w:rFonts w:ascii="Times New Roman" w:hAnsi="Times New Roman" w:cs="Times New Roman"/>
                <w:b/>
                <w:szCs w:val="21"/>
              </w:rPr>
              <w:t>Reference</w:t>
            </w:r>
          </w:p>
        </w:tc>
      </w:tr>
      <w:tr w:rsidR="000A46C5" w:rsidRPr="000A46C5" w14:paraId="4749FC1A" w14:textId="77777777">
        <w:trPr>
          <w:trHeight w:val="445"/>
          <w:jc w:val="center"/>
        </w:trPr>
        <w:tc>
          <w:tcPr>
            <w:tcW w:w="0" w:type="auto"/>
            <w:vMerge/>
            <w:tcBorders>
              <w:top w:val="single" w:sz="12" w:space="0" w:color="auto"/>
              <w:left w:val="nil"/>
              <w:bottom w:val="nil"/>
              <w:right w:val="nil"/>
            </w:tcBorders>
            <w:vAlign w:val="center"/>
            <w:hideMark/>
          </w:tcPr>
          <w:p w14:paraId="1D13B4B0" w14:textId="77777777" w:rsidR="000A46C5" w:rsidRPr="000A46C5" w:rsidRDefault="000A46C5" w:rsidP="005712A1">
            <w:pPr>
              <w:widowControl/>
              <w:spacing w:line="360" w:lineRule="auto"/>
              <w:ind w:firstLineChars="200" w:firstLine="420"/>
              <w:jc w:val="center"/>
              <w:rPr>
                <w:rFonts w:ascii="Times New Roman" w:eastAsia="宋体" w:hAnsi="Times New Roman" w:cs="Times New Roman"/>
                <w:szCs w:val="21"/>
              </w:rPr>
            </w:pPr>
          </w:p>
        </w:tc>
        <w:tc>
          <w:tcPr>
            <w:tcW w:w="602" w:type="pct"/>
            <w:tcBorders>
              <w:top w:val="single" w:sz="12" w:space="0" w:color="auto"/>
              <w:left w:val="nil"/>
              <w:bottom w:val="single" w:sz="12" w:space="0" w:color="auto"/>
              <w:right w:val="nil"/>
            </w:tcBorders>
            <w:vAlign w:val="center"/>
            <w:hideMark/>
          </w:tcPr>
          <w:p w14:paraId="180781AE" w14:textId="77777777" w:rsidR="000A46C5" w:rsidRPr="000A46C5" w:rsidRDefault="000A46C5" w:rsidP="005712A1">
            <w:pPr>
              <w:spacing w:line="360" w:lineRule="auto"/>
              <w:jc w:val="center"/>
              <w:rPr>
                <w:rFonts w:ascii="Times New Roman" w:eastAsia="宋体" w:hAnsi="Times New Roman" w:cs="Times New Roman"/>
                <w:b/>
                <w:szCs w:val="21"/>
              </w:rPr>
            </w:pPr>
            <w:r w:rsidRPr="000A46C5">
              <w:rPr>
                <w:rFonts w:ascii="Times New Roman" w:eastAsia="宋体" w:hAnsi="Times New Roman" w:cs="Times New Roman"/>
                <w:b/>
                <w:szCs w:val="21"/>
              </w:rPr>
              <w:t>TMB</w:t>
            </w:r>
          </w:p>
        </w:tc>
        <w:tc>
          <w:tcPr>
            <w:tcW w:w="571" w:type="pct"/>
            <w:tcBorders>
              <w:top w:val="single" w:sz="12" w:space="0" w:color="auto"/>
              <w:left w:val="nil"/>
              <w:bottom w:val="single" w:sz="12" w:space="0" w:color="auto"/>
              <w:right w:val="nil"/>
            </w:tcBorders>
            <w:vAlign w:val="center"/>
            <w:hideMark/>
          </w:tcPr>
          <w:p w14:paraId="7306BD76" w14:textId="77777777" w:rsidR="000A46C5" w:rsidRPr="000A46C5" w:rsidRDefault="000A46C5" w:rsidP="005712A1">
            <w:pPr>
              <w:spacing w:line="360" w:lineRule="auto"/>
              <w:jc w:val="center"/>
              <w:rPr>
                <w:rFonts w:ascii="Times New Roman" w:eastAsia="宋体" w:hAnsi="Times New Roman" w:cs="Times New Roman"/>
                <w:b/>
                <w:szCs w:val="21"/>
              </w:rPr>
            </w:pPr>
            <w:r w:rsidRPr="000A46C5">
              <w:rPr>
                <w:rFonts w:ascii="Times New Roman" w:eastAsia="宋体" w:hAnsi="Times New Roman" w:cs="Times New Roman"/>
                <w:b/>
                <w:szCs w:val="21"/>
              </w:rPr>
              <w:t>H</w:t>
            </w:r>
            <w:r w:rsidRPr="000A46C5">
              <w:rPr>
                <w:rFonts w:ascii="Times New Roman" w:eastAsia="宋体" w:hAnsi="Times New Roman" w:cs="Times New Roman"/>
                <w:b/>
                <w:szCs w:val="21"/>
                <w:vertAlign w:val="subscript"/>
              </w:rPr>
              <w:t>2</w:t>
            </w:r>
            <w:r w:rsidRPr="000A46C5">
              <w:rPr>
                <w:rFonts w:ascii="Times New Roman" w:eastAsia="宋体" w:hAnsi="Times New Roman" w:cs="Times New Roman"/>
                <w:b/>
                <w:szCs w:val="21"/>
              </w:rPr>
              <w:t>O</w:t>
            </w:r>
            <w:r w:rsidRPr="000A46C5">
              <w:rPr>
                <w:rFonts w:ascii="Times New Roman" w:eastAsia="宋体" w:hAnsi="Times New Roman" w:cs="Times New Roman"/>
                <w:b/>
                <w:szCs w:val="21"/>
                <w:vertAlign w:val="subscript"/>
              </w:rPr>
              <w:t>2</w:t>
            </w:r>
          </w:p>
        </w:tc>
        <w:tc>
          <w:tcPr>
            <w:tcW w:w="739" w:type="pct"/>
            <w:tcBorders>
              <w:top w:val="single" w:sz="12" w:space="0" w:color="auto"/>
              <w:left w:val="nil"/>
              <w:bottom w:val="single" w:sz="12" w:space="0" w:color="auto"/>
              <w:right w:val="nil"/>
            </w:tcBorders>
            <w:vAlign w:val="center"/>
            <w:hideMark/>
          </w:tcPr>
          <w:p w14:paraId="649F3C1F" w14:textId="77777777" w:rsidR="000A46C5" w:rsidRPr="000A46C5" w:rsidRDefault="000A46C5" w:rsidP="005712A1">
            <w:pPr>
              <w:spacing w:line="360" w:lineRule="auto"/>
              <w:jc w:val="center"/>
              <w:rPr>
                <w:rFonts w:ascii="Times New Roman" w:eastAsia="宋体" w:hAnsi="Times New Roman" w:cs="Times New Roman"/>
                <w:b/>
                <w:szCs w:val="21"/>
              </w:rPr>
            </w:pPr>
            <w:r w:rsidRPr="000A46C5">
              <w:rPr>
                <w:rFonts w:ascii="Times New Roman" w:eastAsia="宋体" w:hAnsi="Times New Roman" w:cs="Times New Roman"/>
                <w:b/>
                <w:szCs w:val="21"/>
              </w:rPr>
              <w:t>TMB</w:t>
            </w:r>
          </w:p>
        </w:tc>
        <w:tc>
          <w:tcPr>
            <w:tcW w:w="695" w:type="pct"/>
            <w:tcBorders>
              <w:top w:val="single" w:sz="12" w:space="0" w:color="auto"/>
              <w:left w:val="nil"/>
              <w:bottom w:val="single" w:sz="12" w:space="0" w:color="auto"/>
              <w:right w:val="nil"/>
            </w:tcBorders>
            <w:vAlign w:val="center"/>
            <w:hideMark/>
          </w:tcPr>
          <w:p w14:paraId="4BD24C99" w14:textId="77777777" w:rsidR="000A46C5" w:rsidRPr="000A46C5" w:rsidRDefault="000A46C5" w:rsidP="005712A1">
            <w:pPr>
              <w:spacing w:line="360" w:lineRule="auto"/>
              <w:jc w:val="center"/>
              <w:rPr>
                <w:rFonts w:ascii="Times New Roman" w:eastAsia="宋体" w:hAnsi="Times New Roman" w:cs="Times New Roman"/>
                <w:b/>
                <w:szCs w:val="21"/>
              </w:rPr>
            </w:pPr>
            <w:r w:rsidRPr="000A46C5">
              <w:rPr>
                <w:rFonts w:ascii="Times New Roman" w:eastAsia="宋体" w:hAnsi="Times New Roman" w:cs="Times New Roman"/>
                <w:b/>
                <w:szCs w:val="21"/>
              </w:rPr>
              <w:t>H</w:t>
            </w:r>
            <w:r w:rsidRPr="000A46C5">
              <w:rPr>
                <w:rFonts w:ascii="Times New Roman" w:eastAsia="宋体" w:hAnsi="Times New Roman" w:cs="Times New Roman"/>
                <w:b/>
                <w:szCs w:val="21"/>
                <w:vertAlign w:val="subscript"/>
              </w:rPr>
              <w:t>2</w:t>
            </w:r>
            <w:r w:rsidRPr="000A46C5">
              <w:rPr>
                <w:rFonts w:ascii="Times New Roman" w:eastAsia="宋体" w:hAnsi="Times New Roman" w:cs="Times New Roman"/>
                <w:b/>
                <w:szCs w:val="21"/>
              </w:rPr>
              <w:t>O</w:t>
            </w:r>
            <w:r w:rsidRPr="000A46C5">
              <w:rPr>
                <w:rFonts w:ascii="Times New Roman" w:eastAsia="宋体" w:hAnsi="Times New Roman" w:cs="Times New Roman"/>
                <w:b/>
                <w:szCs w:val="21"/>
                <w:vertAlign w:val="subscript"/>
              </w:rPr>
              <w:t>2</w:t>
            </w:r>
          </w:p>
        </w:tc>
        <w:tc>
          <w:tcPr>
            <w:tcW w:w="980" w:type="pct"/>
            <w:vMerge/>
            <w:tcBorders>
              <w:top w:val="single" w:sz="12" w:space="0" w:color="auto"/>
              <w:left w:val="nil"/>
              <w:bottom w:val="nil"/>
              <w:right w:val="nil"/>
            </w:tcBorders>
            <w:vAlign w:val="center"/>
            <w:hideMark/>
          </w:tcPr>
          <w:p w14:paraId="5DD17387" w14:textId="77777777" w:rsidR="000A46C5" w:rsidRPr="000A46C5" w:rsidRDefault="000A46C5" w:rsidP="005712A1">
            <w:pPr>
              <w:widowControl/>
              <w:spacing w:line="360" w:lineRule="auto"/>
              <w:ind w:firstLineChars="200" w:firstLine="420"/>
              <w:jc w:val="center"/>
              <w:rPr>
                <w:rFonts w:ascii="Times New Roman" w:eastAsia="宋体" w:hAnsi="Times New Roman" w:cs="Times New Roman"/>
                <w:szCs w:val="21"/>
              </w:rPr>
            </w:pPr>
          </w:p>
        </w:tc>
      </w:tr>
      <w:tr w:rsidR="000A46C5" w:rsidRPr="000A46C5" w14:paraId="3BCF4140" w14:textId="77777777">
        <w:trPr>
          <w:trHeight w:val="624"/>
          <w:jc w:val="center"/>
        </w:trPr>
        <w:tc>
          <w:tcPr>
            <w:tcW w:w="1414" w:type="pct"/>
            <w:tcBorders>
              <w:top w:val="single" w:sz="12" w:space="0" w:color="auto"/>
              <w:left w:val="nil"/>
              <w:bottom w:val="nil"/>
              <w:right w:val="nil"/>
            </w:tcBorders>
            <w:vAlign w:val="center"/>
          </w:tcPr>
          <w:p w14:paraId="7C594729" w14:textId="77777777" w:rsidR="000A46C5" w:rsidRPr="000A46C5" w:rsidRDefault="000A46C5" w:rsidP="005712A1">
            <w:pPr>
              <w:spacing w:line="360" w:lineRule="auto"/>
              <w:jc w:val="center"/>
              <w:rPr>
                <w:rFonts w:ascii="Times New Roman" w:hAnsi="Times New Roman" w:cs="Times New Roman"/>
                <w:szCs w:val="21"/>
              </w:rPr>
            </w:pPr>
            <w:r w:rsidRPr="000A46C5">
              <w:rPr>
                <w:rFonts w:ascii="Times New Roman" w:hAnsi="Times New Roman" w:cs="Times New Roman"/>
                <w:szCs w:val="21"/>
              </w:rPr>
              <w:t>1-Me-D-Trp@AuNCs</w:t>
            </w:r>
          </w:p>
        </w:tc>
        <w:tc>
          <w:tcPr>
            <w:tcW w:w="602" w:type="pct"/>
            <w:tcBorders>
              <w:top w:val="single" w:sz="12" w:space="0" w:color="auto"/>
              <w:left w:val="nil"/>
              <w:bottom w:val="nil"/>
              <w:right w:val="nil"/>
            </w:tcBorders>
            <w:vAlign w:val="center"/>
          </w:tcPr>
          <w:p w14:paraId="080BE84F"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1.51</w:t>
            </w:r>
          </w:p>
        </w:tc>
        <w:tc>
          <w:tcPr>
            <w:tcW w:w="571" w:type="pct"/>
            <w:tcBorders>
              <w:top w:val="single" w:sz="12" w:space="0" w:color="auto"/>
              <w:left w:val="nil"/>
              <w:bottom w:val="nil"/>
              <w:right w:val="nil"/>
            </w:tcBorders>
            <w:vAlign w:val="center"/>
          </w:tcPr>
          <w:p w14:paraId="4BDBCE47"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6.3×10</w:t>
            </w:r>
            <w:r w:rsidRPr="000A46C5">
              <w:rPr>
                <w:rFonts w:ascii="Times New Roman" w:eastAsia="宋体" w:hAnsi="Times New Roman" w:cs="Times New Roman"/>
                <w:szCs w:val="21"/>
                <w:vertAlign w:val="superscript"/>
              </w:rPr>
              <w:t>-3</w:t>
            </w:r>
          </w:p>
        </w:tc>
        <w:tc>
          <w:tcPr>
            <w:tcW w:w="739" w:type="pct"/>
            <w:tcBorders>
              <w:top w:val="single" w:sz="12" w:space="0" w:color="auto"/>
              <w:left w:val="nil"/>
              <w:bottom w:val="nil"/>
              <w:right w:val="nil"/>
            </w:tcBorders>
            <w:vAlign w:val="center"/>
          </w:tcPr>
          <w:p w14:paraId="4A8560BE"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1.91×10</w:t>
            </w:r>
            <w:r w:rsidRPr="000A46C5">
              <w:rPr>
                <w:rFonts w:ascii="Times New Roman" w:eastAsia="宋体" w:hAnsi="Times New Roman" w:cs="Times New Roman"/>
                <w:szCs w:val="21"/>
                <w:vertAlign w:val="superscript"/>
              </w:rPr>
              <w:t>-8</w:t>
            </w:r>
          </w:p>
        </w:tc>
        <w:tc>
          <w:tcPr>
            <w:tcW w:w="695" w:type="pct"/>
            <w:tcBorders>
              <w:top w:val="single" w:sz="12" w:space="0" w:color="auto"/>
              <w:left w:val="nil"/>
              <w:bottom w:val="nil"/>
              <w:right w:val="nil"/>
            </w:tcBorders>
            <w:vAlign w:val="center"/>
          </w:tcPr>
          <w:p w14:paraId="79DD48E3"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0.46×10</w:t>
            </w:r>
            <w:r w:rsidRPr="000A46C5">
              <w:rPr>
                <w:rFonts w:ascii="Times New Roman" w:eastAsia="宋体" w:hAnsi="Times New Roman" w:cs="Times New Roman"/>
                <w:szCs w:val="21"/>
                <w:vertAlign w:val="superscript"/>
              </w:rPr>
              <w:t>-8</w:t>
            </w:r>
          </w:p>
        </w:tc>
        <w:tc>
          <w:tcPr>
            <w:tcW w:w="980" w:type="pct"/>
            <w:tcBorders>
              <w:top w:val="single" w:sz="12" w:space="0" w:color="auto"/>
              <w:left w:val="nil"/>
              <w:bottom w:val="nil"/>
              <w:right w:val="nil"/>
            </w:tcBorders>
            <w:vAlign w:val="center"/>
          </w:tcPr>
          <w:p w14:paraId="394233F0"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noProof/>
                <w:szCs w:val="21"/>
              </w:rPr>
              <w:t>[2]</w:t>
            </w:r>
          </w:p>
        </w:tc>
      </w:tr>
      <w:tr w:rsidR="000A46C5" w:rsidRPr="000A46C5" w14:paraId="2C45A040" w14:textId="77777777">
        <w:trPr>
          <w:trHeight w:val="624"/>
          <w:jc w:val="center"/>
        </w:trPr>
        <w:tc>
          <w:tcPr>
            <w:tcW w:w="1414" w:type="pct"/>
            <w:tcBorders>
              <w:top w:val="nil"/>
              <w:left w:val="nil"/>
              <w:bottom w:val="nil"/>
              <w:right w:val="nil"/>
            </w:tcBorders>
            <w:vAlign w:val="center"/>
          </w:tcPr>
          <w:p w14:paraId="1906FD88"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CaF</w:t>
            </w:r>
            <w:r w:rsidRPr="000A46C5">
              <w:rPr>
                <w:rFonts w:ascii="Times New Roman" w:eastAsia="宋体" w:hAnsi="Times New Roman" w:cs="Times New Roman"/>
                <w:szCs w:val="21"/>
                <w:vertAlign w:val="subscript"/>
              </w:rPr>
              <w:t>2</w:t>
            </w:r>
          </w:p>
        </w:tc>
        <w:tc>
          <w:tcPr>
            <w:tcW w:w="602" w:type="pct"/>
            <w:tcBorders>
              <w:top w:val="nil"/>
              <w:left w:val="nil"/>
              <w:bottom w:val="nil"/>
              <w:right w:val="nil"/>
            </w:tcBorders>
            <w:vAlign w:val="center"/>
          </w:tcPr>
          <w:p w14:paraId="3C39169C"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1.01</w:t>
            </w:r>
          </w:p>
        </w:tc>
        <w:tc>
          <w:tcPr>
            <w:tcW w:w="571" w:type="pct"/>
            <w:tcBorders>
              <w:top w:val="nil"/>
              <w:left w:val="nil"/>
              <w:bottom w:val="nil"/>
              <w:right w:val="nil"/>
            </w:tcBorders>
            <w:vAlign w:val="center"/>
          </w:tcPr>
          <w:p w14:paraId="75252E18"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323</w:t>
            </w:r>
          </w:p>
        </w:tc>
        <w:tc>
          <w:tcPr>
            <w:tcW w:w="739" w:type="pct"/>
            <w:tcBorders>
              <w:top w:val="nil"/>
              <w:left w:val="nil"/>
              <w:bottom w:val="nil"/>
              <w:right w:val="nil"/>
            </w:tcBorders>
            <w:vAlign w:val="center"/>
          </w:tcPr>
          <w:p w14:paraId="2E663D3D"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2.70×10</w:t>
            </w:r>
            <w:r w:rsidRPr="000A46C5">
              <w:rPr>
                <w:rFonts w:ascii="Times New Roman" w:eastAsia="宋体" w:hAnsi="Times New Roman" w:cs="Times New Roman"/>
                <w:szCs w:val="21"/>
                <w:vertAlign w:val="superscript"/>
              </w:rPr>
              <w:t>-4</w:t>
            </w:r>
          </w:p>
        </w:tc>
        <w:tc>
          <w:tcPr>
            <w:tcW w:w="695" w:type="pct"/>
            <w:tcBorders>
              <w:top w:val="nil"/>
              <w:left w:val="nil"/>
              <w:bottom w:val="nil"/>
              <w:right w:val="nil"/>
            </w:tcBorders>
            <w:vAlign w:val="center"/>
          </w:tcPr>
          <w:p w14:paraId="23482401"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2.30×10</w:t>
            </w:r>
            <w:r w:rsidRPr="000A46C5">
              <w:rPr>
                <w:rFonts w:ascii="Times New Roman" w:eastAsia="宋体" w:hAnsi="Times New Roman" w:cs="Times New Roman"/>
                <w:szCs w:val="21"/>
                <w:vertAlign w:val="superscript"/>
              </w:rPr>
              <w:t>-4</w:t>
            </w:r>
          </w:p>
        </w:tc>
        <w:tc>
          <w:tcPr>
            <w:tcW w:w="980" w:type="pct"/>
            <w:tcBorders>
              <w:top w:val="nil"/>
              <w:left w:val="nil"/>
              <w:bottom w:val="nil"/>
              <w:right w:val="nil"/>
            </w:tcBorders>
            <w:vAlign w:val="center"/>
          </w:tcPr>
          <w:p w14:paraId="219A01D9"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noProof/>
                <w:szCs w:val="21"/>
              </w:rPr>
              <w:t>[3]</w:t>
            </w:r>
          </w:p>
        </w:tc>
      </w:tr>
      <w:tr w:rsidR="000A46C5" w:rsidRPr="000A46C5" w14:paraId="12296CAA" w14:textId="77777777">
        <w:trPr>
          <w:trHeight w:val="624"/>
          <w:jc w:val="center"/>
        </w:trPr>
        <w:tc>
          <w:tcPr>
            <w:tcW w:w="1414" w:type="pct"/>
            <w:tcBorders>
              <w:top w:val="nil"/>
              <w:left w:val="nil"/>
              <w:bottom w:val="nil"/>
              <w:right w:val="nil"/>
            </w:tcBorders>
            <w:vAlign w:val="center"/>
          </w:tcPr>
          <w:p w14:paraId="0621767E"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hAnsi="Times New Roman" w:cs="Times New Roman"/>
                <w:kern w:val="0"/>
                <w:szCs w:val="21"/>
              </w:rPr>
              <w:t>Fe-MOF-</w:t>
            </w:r>
            <w:proofErr w:type="spellStart"/>
            <w:r w:rsidRPr="000A46C5">
              <w:rPr>
                <w:rFonts w:ascii="Times New Roman" w:hAnsi="Times New Roman" w:cs="Times New Roman"/>
                <w:kern w:val="0"/>
                <w:szCs w:val="21"/>
              </w:rPr>
              <w:t>GOx</w:t>
            </w:r>
            <w:proofErr w:type="spellEnd"/>
          </w:p>
        </w:tc>
        <w:tc>
          <w:tcPr>
            <w:tcW w:w="602" w:type="pct"/>
            <w:tcBorders>
              <w:top w:val="nil"/>
              <w:left w:val="nil"/>
              <w:bottom w:val="nil"/>
              <w:right w:val="nil"/>
            </w:tcBorders>
            <w:vAlign w:val="center"/>
          </w:tcPr>
          <w:p w14:paraId="4CCB7EF0"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2.60</w:t>
            </w:r>
          </w:p>
        </w:tc>
        <w:tc>
          <w:tcPr>
            <w:tcW w:w="571" w:type="pct"/>
            <w:tcBorders>
              <w:top w:val="nil"/>
              <w:left w:val="nil"/>
              <w:bottom w:val="nil"/>
              <w:right w:val="nil"/>
            </w:tcBorders>
            <w:vAlign w:val="center"/>
          </w:tcPr>
          <w:p w14:paraId="35D19BBF"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1.30</w:t>
            </w:r>
          </w:p>
        </w:tc>
        <w:tc>
          <w:tcPr>
            <w:tcW w:w="739" w:type="pct"/>
            <w:tcBorders>
              <w:top w:val="nil"/>
              <w:left w:val="nil"/>
              <w:bottom w:val="nil"/>
              <w:right w:val="nil"/>
            </w:tcBorders>
            <w:vAlign w:val="center"/>
          </w:tcPr>
          <w:p w14:paraId="4550D111"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hAnsi="Times New Roman" w:cs="Times New Roman"/>
                <w:szCs w:val="21"/>
              </w:rPr>
              <w:t>5.60×10</w:t>
            </w:r>
            <w:r w:rsidRPr="000A46C5">
              <w:rPr>
                <w:rFonts w:ascii="Times New Roman" w:hAnsi="Times New Roman" w:cs="Times New Roman"/>
                <w:szCs w:val="21"/>
                <w:vertAlign w:val="superscript"/>
              </w:rPr>
              <w:t>-5</w:t>
            </w:r>
          </w:p>
        </w:tc>
        <w:tc>
          <w:tcPr>
            <w:tcW w:w="695" w:type="pct"/>
            <w:tcBorders>
              <w:top w:val="nil"/>
              <w:left w:val="nil"/>
              <w:bottom w:val="nil"/>
              <w:right w:val="nil"/>
            </w:tcBorders>
            <w:vAlign w:val="center"/>
          </w:tcPr>
          <w:p w14:paraId="48715B7B"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2.50×10</w:t>
            </w:r>
            <w:r w:rsidRPr="000A46C5">
              <w:rPr>
                <w:rFonts w:ascii="Times New Roman" w:eastAsia="宋体" w:hAnsi="Times New Roman" w:cs="Times New Roman"/>
                <w:szCs w:val="21"/>
                <w:vertAlign w:val="superscript"/>
              </w:rPr>
              <w:t>-5</w:t>
            </w:r>
          </w:p>
        </w:tc>
        <w:tc>
          <w:tcPr>
            <w:tcW w:w="980" w:type="pct"/>
            <w:tcBorders>
              <w:top w:val="nil"/>
              <w:left w:val="nil"/>
              <w:bottom w:val="nil"/>
              <w:right w:val="nil"/>
            </w:tcBorders>
            <w:vAlign w:val="center"/>
          </w:tcPr>
          <w:p w14:paraId="3FCF6383"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noProof/>
                <w:szCs w:val="21"/>
              </w:rPr>
              <w:t>[4]</w:t>
            </w:r>
          </w:p>
        </w:tc>
      </w:tr>
      <w:tr w:rsidR="000A46C5" w:rsidRPr="000A46C5" w14:paraId="62F25F38" w14:textId="77777777">
        <w:trPr>
          <w:trHeight w:val="624"/>
          <w:jc w:val="center"/>
        </w:trPr>
        <w:tc>
          <w:tcPr>
            <w:tcW w:w="1414" w:type="pct"/>
            <w:tcBorders>
              <w:top w:val="nil"/>
              <w:left w:val="nil"/>
              <w:bottom w:val="nil"/>
              <w:right w:val="nil"/>
            </w:tcBorders>
            <w:vAlign w:val="center"/>
          </w:tcPr>
          <w:p w14:paraId="5A3A6197"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Fe-COF-H3</w:t>
            </w:r>
          </w:p>
        </w:tc>
        <w:tc>
          <w:tcPr>
            <w:tcW w:w="602" w:type="pct"/>
            <w:tcBorders>
              <w:top w:val="nil"/>
              <w:left w:val="nil"/>
              <w:bottom w:val="nil"/>
              <w:right w:val="nil"/>
            </w:tcBorders>
            <w:vAlign w:val="center"/>
          </w:tcPr>
          <w:p w14:paraId="0CBEC1AA"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w:t>
            </w:r>
          </w:p>
        </w:tc>
        <w:tc>
          <w:tcPr>
            <w:tcW w:w="571" w:type="pct"/>
            <w:tcBorders>
              <w:top w:val="nil"/>
              <w:left w:val="nil"/>
              <w:bottom w:val="nil"/>
              <w:right w:val="nil"/>
            </w:tcBorders>
            <w:vAlign w:val="center"/>
          </w:tcPr>
          <w:p w14:paraId="0D184824"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1.11</w:t>
            </w:r>
          </w:p>
        </w:tc>
        <w:tc>
          <w:tcPr>
            <w:tcW w:w="739" w:type="pct"/>
            <w:tcBorders>
              <w:top w:val="nil"/>
              <w:left w:val="nil"/>
              <w:bottom w:val="nil"/>
              <w:right w:val="nil"/>
            </w:tcBorders>
            <w:vAlign w:val="center"/>
          </w:tcPr>
          <w:p w14:paraId="77943516"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w:t>
            </w:r>
          </w:p>
        </w:tc>
        <w:tc>
          <w:tcPr>
            <w:tcW w:w="695" w:type="pct"/>
            <w:tcBorders>
              <w:top w:val="nil"/>
              <w:left w:val="nil"/>
              <w:bottom w:val="nil"/>
              <w:right w:val="nil"/>
            </w:tcBorders>
            <w:vAlign w:val="center"/>
          </w:tcPr>
          <w:p w14:paraId="0BC58D0C"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4.53×10</w:t>
            </w:r>
            <w:r w:rsidRPr="000A46C5">
              <w:rPr>
                <w:rFonts w:ascii="Times New Roman" w:eastAsia="宋体" w:hAnsi="Times New Roman" w:cs="Times New Roman"/>
                <w:szCs w:val="21"/>
                <w:vertAlign w:val="superscript"/>
              </w:rPr>
              <w:t>-5</w:t>
            </w:r>
          </w:p>
        </w:tc>
        <w:tc>
          <w:tcPr>
            <w:tcW w:w="980" w:type="pct"/>
            <w:tcBorders>
              <w:top w:val="nil"/>
              <w:left w:val="nil"/>
              <w:bottom w:val="nil"/>
              <w:right w:val="nil"/>
            </w:tcBorders>
            <w:vAlign w:val="center"/>
          </w:tcPr>
          <w:p w14:paraId="34C0C92C"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noProof/>
                <w:szCs w:val="21"/>
              </w:rPr>
              <w:t>[5]</w:t>
            </w:r>
          </w:p>
        </w:tc>
      </w:tr>
      <w:tr w:rsidR="000A46C5" w:rsidRPr="000A46C5" w14:paraId="22B542F0" w14:textId="77777777">
        <w:trPr>
          <w:trHeight w:val="624"/>
          <w:jc w:val="center"/>
        </w:trPr>
        <w:tc>
          <w:tcPr>
            <w:tcW w:w="1414" w:type="pct"/>
            <w:tcBorders>
              <w:top w:val="nil"/>
              <w:left w:val="nil"/>
              <w:bottom w:val="nil"/>
              <w:right w:val="nil"/>
            </w:tcBorders>
            <w:vAlign w:val="center"/>
          </w:tcPr>
          <w:p w14:paraId="073BD711"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HRP</w:t>
            </w:r>
          </w:p>
        </w:tc>
        <w:tc>
          <w:tcPr>
            <w:tcW w:w="602" w:type="pct"/>
            <w:tcBorders>
              <w:top w:val="nil"/>
              <w:left w:val="nil"/>
              <w:bottom w:val="nil"/>
              <w:right w:val="nil"/>
            </w:tcBorders>
            <w:vAlign w:val="center"/>
          </w:tcPr>
          <w:p w14:paraId="1DB653FC"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0.415</w:t>
            </w:r>
          </w:p>
        </w:tc>
        <w:tc>
          <w:tcPr>
            <w:tcW w:w="571" w:type="pct"/>
            <w:tcBorders>
              <w:top w:val="nil"/>
              <w:left w:val="nil"/>
              <w:bottom w:val="nil"/>
              <w:right w:val="nil"/>
            </w:tcBorders>
            <w:vAlign w:val="center"/>
          </w:tcPr>
          <w:p w14:paraId="76C0B5D9"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5.2</w:t>
            </w:r>
          </w:p>
        </w:tc>
        <w:tc>
          <w:tcPr>
            <w:tcW w:w="739" w:type="pct"/>
            <w:tcBorders>
              <w:top w:val="nil"/>
              <w:left w:val="nil"/>
              <w:bottom w:val="nil"/>
              <w:right w:val="nil"/>
            </w:tcBorders>
            <w:vAlign w:val="center"/>
          </w:tcPr>
          <w:p w14:paraId="5A0D34BA"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3.25</w:t>
            </w:r>
            <w:r w:rsidRPr="000A46C5">
              <w:rPr>
                <w:rFonts w:ascii="Times New Roman" w:hAnsi="Times New Roman" w:cs="Times New Roman"/>
                <w:szCs w:val="21"/>
              </w:rPr>
              <w:t>×</w:t>
            </w:r>
            <w:r w:rsidRPr="000A46C5">
              <w:rPr>
                <w:rFonts w:ascii="Times New Roman" w:eastAsia="宋体" w:hAnsi="Times New Roman" w:cs="Times New Roman"/>
                <w:szCs w:val="21"/>
              </w:rPr>
              <w:t>10</w:t>
            </w:r>
            <w:r w:rsidRPr="000A46C5">
              <w:rPr>
                <w:rFonts w:ascii="Times New Roman" w:eastAsia="宋体" w:hAnsi="Times New Roman" w:cs="Times New Roman"/>
                <w:szCs w:val="21"/>
                <w:vertAlign w:val="superscript"/>
              </w:rPr>
              <w:t>-6</w:t>
            </w:r>
          </w:p>
        </w:tc>
        <w:tc>
          <w:tcPr>
            <w:tcW w:w="695" w:type="pct"/>
            <w:tcBorders>
              <w:top w:val="nil"/>
              <w:left w:val="nil"/>
              <w:bottom w:val="nil"/>
              <w:right w:val="nil"/>
            </w:tcBorders>
            <w:vAlign w:val="center"/>
          </w:tcPr>
          <w:p w14:paraId="47AC96D1"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8.03×10</w:t>
            </w:r>
            <w:r w:rsidRPr="000A46C5">
              <w:rPr>
                <w:rFonts w:ascii="Times New Roman" w:eastAsia="宋体" w:hAnsi="Times New Roman" w:cs="Times New Roman"/>
                <w:szCs w:val="21"/>
                <w:vertAlign w:val="superscript"/>
              </w:rPr>
              <w:t>-6</w:t>
            </w:r>
          </w:p>
        </w:tc>
        <w:tc>
          <w:tcPr>
            <w:tcW w:w="980" w:type="pct"/>
            <w:tcBorders>
              <w:top w:val="nil"/>
              <w:left w:val="nil"/>
              <w:bottom w:val="nil"/>
              <w:right w:val="nil"/>
            </w:tcBorders>
            <w:vAlign w:val="center"/>
          </w:tcPr>
          <w:p w14:paraId="4322A232"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noProof/>
                <w:szCs w:val="21"/>
              </w:rPr>
              <w:t>[6]</w:t>
            </w:r>
          </w:p>
        </w:tc>
      </w:tr>
      <w:tr w:rsidR="000A46C5" w:rsidRPr="000A46C5" w14:paraId="0A923F1D" w14:textId="77777777">
        <w:trPr>
          <w:trHeight w:val="624"/>
          <w:jc w:val="center"/>
        </w:trPr>
        <w:tc>
          <w:tcPr>
            <w:tcW w:w="1414" w:type="pct"/>
            <w:tcBorders>
              <w:top w:val="nil"/>
              <w:left w:val="nil"/>
              <w:bottom w:val="single" w:sz="12" w:space="0" w:color="auto"/>
              <w:right w:val="nil"/>
            </w:tcBorders>
            <w:vAlign w:val="center"/>
            <w:hideMark/>
          </w:tcPr>
          <w:p w14:paraId="1ED5C4CF" w14:textId="77777777" w:rsidR="000A46C5" w:rsidRPr="000A46C5" w:rsidRDefault="000A46C5" w:rsidP="005712A1">
            <w:pPr>
              <w:spacing w:line="360" w:lineRule="auto"/>
              <w:jc w:val="center"/>
              <w:rPr>
                <w:rFonts w:ascii="Times New Roman" w:eastAsia="宋体" w:hAnsi="Times New Roman" w:cs="Times New Roman"/>
                <w:szCs w:val="21"/>
              </w:rPr>
            </w:pPr>
            <w:proofErr w:type="spellStart"/>
            <w:r w:rsidRPr="000A46C5">
              <w:rPr>
                <w:rFonts w:ascii="Times New Roman" w:hAnsi="Times New Roman" w:cs="Times New Roman"/>
                <w:szCs w:val="21"/>
              </w:rPr>
              <w:t>AuNCs@COF</w:t>
            </w:r>
            <w:proofErr w:type="spellEnd"/>
          </w:p>
        </w:tc>
        <w:tc>
          <w:tcPr>
            <w:tcW w:w="602" w:type="pct"/>
            <w:tcBorders>
              <w:top w:val="nil"/>
              <w:left w:val="nil"/>
              <w:bottom w:val="single" w:sz="12" w:space="0" w:color="auto"/>
              <w:right w:val="nil"/>
            </w:tcBorders>
            <w:vAlign w:val="center"/>
            <w:hideMark/>
          </w:tcPr>
          <w:p w14:paraId="09EC07F4"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1.18</w:t>
            </w:r>
          </w:p>
        </w:tc>
        <w:tc>
          <w:tcPr>
            <w:tcW w:w="571" w:type="pct"/>
            <w:tcBorders>
              <w:top w:val="nil"/>
              <w:left w:val="nil"/>
              <w:bottom w:val="single" w:sz="12" w:space="0" w:color="auto"/>
              <w:right w:val="nil"/>
            </w:tcBorders>
            <w:vAlign w:val="center"/>
            <w:hideMark/>
          </w:tcPr>
          <w:p w14:paraId="3EF9CB72"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0.0821</w:t>
            </w:r>
          </w:p>
        </w:tc>
        <w:tc>
          <w:tcPr>
            <w:tcW w:w="739" w:type="pct"/>
            <w:tcBorders>
              <w:top w:val="nil"/>
              <w:left w:val="nil"/>
              <w:bottom w:val="single" w:sz="12" w:space="0" w:color="auto"/>
              <w:right w:val="nil"/>
            </w:tcBorders>
            <w:vAlign w:val="center"/>
          </w:tcPr>
          <w:p w14:paraId="0FFEA9E9"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30.4×10</w:t>
            </w:r>
            <w:r w:rsidRPr="000A46C5">
              <w:rPr>
                <w:rFonts w:ascii="Times New Roman" w:eastAsia="宋体" w:hAnsi="Times New Roman" w:cs="Times New Roman"/>
                <w:szCs w:val="21"/>
                <w:vertAlign w:val="superscript"/>
              </w:rPr>
              <w:t>-5</w:t>
            </w:r>
          </w:p>
        </w:tc>
        <w:tc>
          <w:tcPr>
            <w:tcW w:w="695" w:type="pct"/>
            <w:tcBorders>
              <w:top w:val="nil"/>
              <w:left w:val="nil"/>
              <w:bottom w:val="single" w:sz="12" w:space="0" w:color="auto"/>
              <w:right w:val="nil"/>
            </w:tcBorders>
            <w:vAlign w:val="center"/>
            <w:hideMark/>
          </w:tcPr>
          <w:p w14:paraId="37C90CC9"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0.988×10</w:t>
            </w:r>
            <w:r w:rsidRPr="000A46C5">
              <w:rPr>
                <w:rFonts w:ascii="Times New Roman" w:eastAsia="宋体" w:hAnsi="Times New Roman" w:cs="Times New Roman"/>
                <w:szCs w:val="21"/>
                <w:vertAlign w:val="superscript"/>
              </w:rPr>
              <w:t>-5</w:t>
            </w:r>
          </w:p>
        </w:tc>
        <w:tc>
          <w:tcPr>
            <w:tcW w:w="980" w:type="pct"/>
            <w:tcBorders>
              <w:top w:val="nil"/>
              <w:left w:val="nil"/>
              <w:bottom w:val="single" w:sz="12" w:space="0" w:color="auto"/>
              <w:right w:val="nil"/>
            </w:tcBorders>
            <w:vAlign w:val="center"/>
            <w:hideMark/>
          </w:tcPr>
          <w:p w14:paraId="36FC5D40" w14:textId="77777777" w:rsidR="000A46C5" w:rsidRPr="000A46C5" w:rsidRDefault="000A46C5" w:rsidP="005712A1">
            <w:pPr>
              <w:spacing w:line="360" w:lineRule="auto"/>
              <w:jc w:val="center"/>
              <w:rPr>
                <w:rFonts w:ascii="Times New Roman" w:eastAsia="宋体" w:hAnsi="Times New Roman" w:cs="Times New Roman"/>
                <w:szCs w:val="21"/>
              </w:rPr>
            </w:pPr>
            <w:r w:rsidRPr="000A46C5">
              <w:rPr>
                <w:rFonts w:ascii="Times New Roman" w:eastAsia="宋体" w:hAnsi="Times New Roman" w:cs="Times New Roman"/>
                <w:szCs w:val="21"/>
              </w:rPr>
              <w:t>This work</w:t>
            </w:r>
          </w:p>
        </w:tc>
      </w:tr>
    </w:tbl>
    <w:p w14:paraId="278BED5D" w14:textId="77777777" w:rsidR="000A46C5" w:rsidRPr="000A46C5" w:rsidRDefault="000A46C5" w:rsidP="005712A1">
      <w:pPr>
        <w:widowControl/>
        <w:spacing w:line="360" w:lineRule="auto"/>
        <w:ind w:firstLineChars="200" w:firstLine="420"/>
        <w:jc w:val="left"/>
        <w:rPr>
          <w:rFonts w:ascii="Times New Roman" w:hAnsi="Times New Roman" w:cs="Times New Roman"/>
        </w:rPr>
      </w:pPr>
      <w:r w:rsidRPr="000A46C5">
        <w:rPr>
          <w:rFonts w:ascii="Times New Roman" w:hAnsi="Times New Roman" w:cs="Times New Roman"/>
        </w:rPr>
        <w:br w:type="page"/>
      </w:r>
    </w:p>
    <w:p w14:paraId="3E1DDA9B" w14:textId="77777777" w:rsidR="000A46C5" w:rsidRPr="000A46C5" w:rsidRDefault="000A46C5" w:rsidP="005712A1">
      <w:pPr>
        <w:spacing w:line="360" w:lineRule="auto"/>
        <w:jc w:val="center"/>
        <w:rPr>
          <w:rFonts w:ascii="Times New Roman" w:hAnsi="Times New Roman" w:cs="Times New Roman"/>
          <w:b/>
          <w:bCs/>
          <w:sz w:val="24"/>
          <w:szCs w:val="24"/>
        </w:rPr>
      </w:pPr>
      <w:r w:rsidRPr="000A46C5">
        <w:rPr>
          <w:rFonts w:ascii="Times New Roman" w:hAnsi="Times New Roman" w:cs="Times New Roman"/>
          <w:b/>
          <w:bCs/>
          <w:noProof/>
          <w:sz w:val="24"/>
          <w:szCs w:val="24"/>
        </w:rPr>
        <w:lastRenderedPageBreak/>
        <w:drawing>
          <wp:inline distT="0" distB="0" distL="0" distR="0" wp14:anchorId="0669EBF0" wp14:editId="288CF8A8">
            <wp:extent cx="5288699" cy="2232000"/>
            <wp:effectExtent l="0" t="0" r="7620" b="0"/>
            <wp:docPr id="1942305757" name="图片 3"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05757" name="图片 3" descr="图示&#10;&#10;低可信度描述已自动生成"/>
                    <pic:cNvPicPr>
                      <a:picLocks noChangeAspect="1"/>
                    </pic:cNvPicPr>
                  </pic:nvPicPr>
                  <pic:blipFill>
                    <a:blip r:embed="rId10"/>
                    <a:srcRect l="16553" t="3580" r="18594" b="5280"/>
                    <a:stretch>
                      <a:fillRect/>
                    </a:stretch>
                  </pic:blipFill>
                  <pic:spPr>
                    <a:xfrm>
                      <a:off x="0" y="0"/>
                      <a:ext cx="5288699" cy="2232000"/>
                    </a:xfrm>
                    <a:prstGeom prst="rect">
                      <a:avLst/>
                    </a:prstGeom>
                    <a:ln>
                      <a:noFill/>
                    </a:ln>
                  </pic:spPr>
                </pic:pic>
              </a:graphicData>
            </a:graphic>
          </wp:inline>
        </w:drawing>
      </w:r>
    </w:p>
    <w:p w14:paraId="1A5853A3" w14:textId="77777777" w:rsidR="000A46C5" w:rsidRPr="000A46C5" w:rsidRDefault="000A46C5" w:rsidP="005712A1">
      <w:pPr>
        <w:spacing w:line="360" w:lineRule="auto"/>
        <w:rPr>
          <w:rFonts w:ascii="Times New Roman" w:hAnsi="Times New Roman" w:cs="Times New Roman"/>
          <w:szCs w:val="21"/>
        </w:rPr>
      </w:pPr>
      <w:bookmarkStart w:id="15" w:name="_Hlk180886146"/>
      <w:r w:rsidRPr="000A46C5">
        <w:rPr>
          <w:rFonts w:ascii="Times New Roman" w:hAnsi="Times New Roman" w:cs="Times New Roman"/>
          <w:b/>
        </w:rPr>
        <w:t>Figure S</w:t>
      </w:r>
      <w:r w:rsidRPr="000A46C5">
        <w:rPr>
          <w:rFonts w:ascii="Times New Roman" w:hAnsi="Times New Roman" w:cs="Times New Roman" w:hint="eastAsia"/>
          <w:b/>
        </w:rPr>
        <w:t>6</w:t>
      </w:r>
      <w:r w:rsidRPr="000A46C5">
        <w:rPr>
          <w:rFonts w:ascii="Times New Roman" w:hAnsi="Times New Roman" w:cs="Times New Roman"/>
          <w:b/>
          <w:bCs/>
          <w:szCs w:val="21"/>
        </w:rPr>
        <w:t>.</w:t>
      </w:r>
      <w:r w:rsidRPr="000A46C5">
        <w:rPr>
          <w:rFonts w:ascii="Times New Roman" w:hAnsi="Times New Roman" w:cs="Times New Roman"/>
          <w:szCs w:val="21"/>
        </w:rPr>
        <w:t xml:space="preserve"> Selectivity of (A) the colorimetric biosensor and (B) the electrochemical biosensor.</w:t>
      </w:r>
    </w:p>
    <w:bookmarkEnd w:id="15"/>
    <w:p w14:paraId="498D5A33" w14:textId="77777777" w:rsidR="000A46C5" w:rsidRPr="000A46C5" w:rsidRDefault="000A46C5" w:rsidP="005712A1">
      <w:pPr>
        <w:widowControl/>
        <w:spacing w:line="360" w:lineRule="auto"/>
        <w:jc w:val="left"/>
        <w:rPr>
          <w:rFonts w:ascii="Times New Roman" w:hAnsi="Times New Roman" w:cs="Times New Roman"/>
        </w:rPr>
      </w:pPr>
      <w:r w:rsidRPr="000A46C5">
        <w:rPr>
          <w:rFonts w:ascii="Times New Roman" w:hAnsi="Times New Roman" w:cs="Times New Roman"/>
        </w:rPr>
        <w:br w:type="page"/>
      </w:r>
    </w:p>
    <w:p w14:paraId="4ECA2307" w14:textId="77777777" w:rsidR="000A46C5" w:rsidRPr="000A46C5" w:rsidRDefault="000A46C5" w:rsidP="005712A1">
      <w:pPr>
        <w:spacing w:line="360" w:lineRule="auto"/>
        <w:rPr>
          <w:rFonts w:ascii="Times New Roman" w:hAnsi="Times New Roman" w:cs="Times New Roman"/>
        </w:rPr>
      </w:pPr>
      <w:r w:rsidRPr="000A46C5">
        <w:rPr>
          <w:rFonts w:ascii="Times New Roman" w:hAnsi="Times New Roman" w:cs="Times New Roman"/>
          <w:b/>
          <w:noProof/>
        </w:rPr>
        <w:lastRenderedPageBreak/>
        <w:drawing>
          <wp:inline distT="0" distB="0" distL="0" distR="0" wp14:anchorId="432C0DC9" wp14:editId="700E4698">
            <wp:extent cx="5303675" cy="1476000"/>
            <wp:effectExtent l="0" t="0" r="0" b="0"/>
            <wp:docPr id="967688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88408" name="图片 967688408"/>
                    <pic:cNvPicPr/>
                  </pic:nvPicPr>
                  <pic:blipFill rotWithShape="1">
                    <a:blip r:embed="rId11" cstate="print">
                      <a:extLst>
                        <a:ext uri="{28A0092B-C50C-407E-A947-70E740481C1C}">
                          <a14:useLocalDpi xmlns:a14="http://schemas.microsoft.com/office/drawing/2010/main" val="0"/>
                        </a:ext>
                      </a:extLst>
                    </a:blip>
                    <a:srcRect t="3813" r="4880" b="4610"/>
                    <a:stretch/>
                  </pic:blipFill>
                  <pic:spPr bwMode="auto">
                    <a:xfrm>
                      <a:off x="0" y="0"/>
                      <a:ext cx="5303675" cy="1476000"/>
                    </a:xfrm>
                    <a:prstGeom prst="rect">
                      <a:avLst/>
                    </a:prstGeom>
                    <a:ln>
                      <a:noFill/>
                    </a:ln>
                    <a:extLst>
                      <a:ext uri="{53640926-AAD7-44D8-BBD7-CCE9431645EC}">
                        <a14:shadowObscured xmlns:a14="http://schemas.microsoft.com/office/drawing/2010/main"/>
                      </a:ext>
                    </a:extLst>
                  </pic:spPr>
                </pic:pic>
              </a:graphicData>
            </a:graphic>
          </wp:inline>
        </w:drawing>
      </w:r>
      <w:r w:rsidRPr="000A46C5">
        <w:rPr>
          <w:rFonts w:ascii="Times New Roman" w:hAnsi="Times New Roman" w:cs="Times New Roman"/>
          <w:b/>
        </w:rPr>
        <w:t>Figure S</w:t>
      </w:r>
      <w:r w:rsidRPr="000A46C5">
        <w:rPr>
          <w:rFonts w:ascii="Times New Roman" w:hAnsi="Times New Roman" w:cs="Times New Roman" w:hint="eastAsia"/>
          <w:b/>
        </w:rPr>
        <w:t>7</w:t>
      </w:r>
      <w:r w:rsidRPr="000A46C5">
        <w:rPr>
          <w:rFonts w:ascii="Times New Roman" w:hAnsi="Times New Roman" w:cs="Times New Roman"/>
          <w:b/>
        </w:rPr>
        <w:t xml:space="preserve">. </w:t>
      </w:r>
      <w:r w:rsidRPr="000A46C5">
        <w:rPr>
          <w:rFonts w:ascii="Times New Roman" w:hAnsi="Times New Roman" w:cs="Times New Roman"/>
        </w:rPr>
        <w:t>(A) reproducibility of the colorimetric biosensor. (B) reproducibility and (C) stability of the electrochemical biosensor.</w:t>
      </w:r>
    </w:p>
    <w:p w14:paraId="3BAEAED7" w14:textId="77777777" w:rsidR="000A46C5" w:rsidRPr="000A46C5" w:rsidRDefault="000A46C5" w:rsidP="005712A1">
      <w:pPr>
        <w:widowControl/>
        <w:spacing w:line="360" w:lineRule="auto"/>
        <w:ind w:firstLineChars="200" w:firstLine="420"/>
        <w:jc w:val="left"/>
        <w:rPr>
          <w:rFonts w:ascii="Times New Roman" w:hAnsi="Times New Roman" w:cs="Times New Roman"/>
        </w:rPr>
      </w:pPr>
      <w:r w:rsidRPr="000A46C5">
        <w:rPr>
          <w:rFonts w:ascii="Times New Roman" w:hAnsi="Times New Roman" w:cs="Times New Roman"/>
        </w:rPr>
        <w:br w:type="page"/>
      </w:r>
    </w:p>
    <w:p w14:paraId="37764C24" w14:textId="77777777" w:rsidR="000A46C5" w:rsidRPr="000A46C5" w:rsidRDefault="000A46C5" w:rsidP="005712A1">
      <w:pPr>
        <w:widowControl/>
        <w:spacing w:line="360" w:lineRule="auto"/>
        <w:rPr>
          <w:rFonts w:ascii="Times New Roman" w:hAnsi="Times New Roman" w:cs="Times New Roman"/>
        </w:rPr>
      </w:pPr>
      <w:r w:rsidRPr="000A46C5">
        <w:rPr>
          <w:rFonts w:ascii="Times New Roman" w:hAnsi="Times New Roman" w:cs="Times New Roman"/>
          <w:b/>
        </w:rPr>
        <w:lastRenderedPageBreak/>
        <w:t>Table S</w:t>
      </w:r>
      <w:r w:rsidRPr="000A46C5">
        <w:rPr>
          <w:rFonts w:ascii="Times New Roman" w:hAnsi="Times New Roman" w:cs="Times New Roman" w:hint="eastAsia"/>
          <w:b/>
        </w:rPr>
        <w:t>2</w:t>
      </w:r>
      <w:r w:rsidRPr="000A46C5">
        <w:rPr>
          <w:rFonts w:ascii="Times New Roman" w:hAnsi="Times New Roman" w:cs="Times New Roman"/>
          <w:bCs/>
        </w:rPr>
        <w:t xml:space="preserve"> </w:t>
      </w:r>
      <w:r w:rsidRPr="000A46C5">
        <w:rPr>
          <w:rFonts w:ascii="Times New Roman" w:hAnsi="Times New Roman" w:cs="Times New Roman"/>
        </w:rPr>
        <w:t>Comparison of the proposed sensor with other UO</w:t>
      </w:r>
      <w:r w:rsidRPr="000A46C5">
        <w:rPr>
          <w:rFonts w:ascii="Times New Roman" w:hAnsi="Times New Roman" w:cs="Times New Roman"/>
          <w:vertAlign w:val="subscript"/>
        </w:rPr>
        <w:t>2</w:t>
      </w:r>
      <w:r w:rsidRPr="000A46C5">
        <w:rPr>
          <w:rFonts w:ascii="Times New Roman" w:hAnsi="Times New Roman" w:cs="Times New Roman"/>
          <w:vertAlign w:val="superscript"/>
        </w:rPr>
        <w:t>2+</w:t>
      </w:r>
      <w:r w:rsidRPr="000A46C5">
        <w:rPr>
          <w:rFonts w:ascii="Times New Roman" w:hAnsi="Times New Roman" w:cs="Times New Roman"/>
        </w:rPr>
        <w:t xml:space="preserve"> detection methods</w:t>
      </w:r>
      <w:r w:rsidRPr="000A46C5">
        <w:rPr>
          <w:rFonts w:ascii="Times New Roman" w:hAnsi="Times New Roman" w:cs="Times New Roman" w:hint="eastAsia"/>
        </w:rPr>
        <w:t>.</w:t>
      </w:r>
    </w:p>
    <w:tbl>
      <w:tblPr>
        <w:tblStyle w:val="af2"/>
        <w:tblW w:w="84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2032"/>
        <w:gridCol w:w="1340"/>
        <w:gridCol w:w="1982"/>
        <w:gridCol w:w="1207"/>
      </w:tblGrid>
      <w:tr w:rsidR="000A46C5" w:rsidRPr="000A46C5" w14:paraId="0D4595F4" w14:textId="77777777">
        <w:trPr>
          <w:trHeight w:val="850"/>
        </w:trPr>
        <w:tc>
          <w:tcPr>
            <w:tcW w:w="1877" w:type="dxa"/>
            <w:tcBorders>
              <w:top w:val="single" w:sz="12" w:space="0" w:color="auto"/>
              <w:bottom w:val="single" w:sz="4" w:space="0" w:color="auto"/>
            </w:tcBorders>
            <w:vAlign w:val="center"/>
          </w:tcPr>
          <w:p w14:paraId="5053D958" w14:textId="77777777" w:rsidR="000A46C5" w:rsidRPr="000A46C5" w:rsidRDefault="000A46C5" w:rsidP="005712A1">
            <w:pPr>
              <w:widowControl/>
              <w:spacing w:line="360" w:lineRule="auto"/>
              <w:jc w:val="center"/>
              <w:rPr>
                <w:rFonts w:ascii="Times New Roman" w:hAnsi="Times New Roman" w:cs="Times New Roman"/>
                <w:b/>
              </w:rPr>
            </w:pPr>
            <w:r w:rsidRPr="000A46C5">
              <w:rPr>
                <w:rFonts w:ascii="Times New Roman" w:hAnsi="Times New Roman" w:cs="Times New Roman"/>
                <w:b/>
              </w:rPr>
              <w:t>Signal probe</w:t>
            </w:r>
          </w:p>
        </w:tc>
        <w:tc>
          <w:tcPr>
            <w:tcW w:w="2032" w:type="dxa"/>
            <w:tcBorders>
              <w:top w:val="single" w:sz="12" w:space="0" w:color="auto"/>
              <w:bottom w:val="single" w:sz="4" w:space="0" w:color="auto"/>
            </w:tcBorders>
            <w:vAlign w:val="center"/>
          </w:tcPr>
          <w:p w14:paraId="3BC5DDC2" w14:textId="77777777" w:rsidR="000A46C5" w:rsidRPr="000A46C5" w:rsidRDefault="000A46C5" w:rsidP="005712A1">
            <w:pPr>
              <w:widowControl/>
              <w:spacing w:line="360" w:lineRule="auto"/>
              <w:jc w:val="center"/>
              <w:rPr>
                <w:rFonts w:ascii="Times New Roman" w:hAnsi="Times New Roman" w:cs="Times New Roman"/>
                <w:b/>
              </w:rPr>
            </w:pPr>
            <w:r w:rsidRPr="000A46C5">
              <w:rPr>
                <w:rFonts w:ascii="Times New Roman" w:hAnsi="Times New Roman" w:cs="Times New Roman"/>
                <w:b/>
              </w:rPr>
              <w:t>Method</w:t>
            </w:r>
          </w:p>
        </w:tc>
        <w:tc>
          <w:tcPr>
            <w:tcW w:w="1340" w:type="dxa"/>
            <w:tcBorders>
              <w:top w:val="single" w:sz="12" w:space="0" w:color="auto"/>
              <w:bottom w:val="single" w:sz="4" w:space="0" w:color="auto"/>
            </w:tcBorders>
            <w:vAlign w:val="center"/>
          </w:tcPr>
          <w:p w14:paraId="30D93EAF" w14:textId="77777777" w:rsidR="000A46C5" w:rsidRPr="000A46C5" w:rsidRDefault="000A46C5" w:rsidP="001C5EEC">
            <w:pPr>
              <w:widowControl/>
              <w:jc w:val="center"/>
              <w:rPr>
                <w:rFonts w:ascii="Times New Roman" w:hAnsi="Times New Roman" w:cs="Times New Roman"/>
                <w:b/>
              </w:rPr>
            </w:pPr>
            <w:r w:rsidRPr="000A46C5">
              <w:rPr>
                <w:rFonts w:ascii="Times New Roman" w:hAnsi="Times New Roman" w:cs="Times New Roman"/>
                <w:b/>
              </w:rPr>
              <w:t>LOD</w:t>
            </w:r>
          </w:p>
          <w:p w14:paraId="194685EF" w14:textId="77777777" w:rsidR="000A46C5" w:rsidRPr="000A46C5" w:rsidRDefault="000A46C5" w:rsidP="001C5EEC">
            <w:pPr>
              <w:widowControl/>
              <w:jc w:val="center"/>
              <w:rPr>
                <w:rFonts w:ascii="Times New Roman" w:hAnsi="Times New Roman" w:cs="Times New Roman"/>
                <w:b/>
              </w:rPr>
            </w:pPr>
            <w:r w:rsidRPr="000A46C5">
              <w:rPr>
                <w:rFonts w:ascii="Times New Roman" w:hAnsi="Times New Roman" w:cs="Times New Roman"/>
                <w:b/>
              </w:rPr>
              <w:t>(M)</w:t>
            </w:r>
          </w:p>
        </w:tc>
        <w:tc>
          <w:tcPr>
            <w:tcW w:w="1982" w:type="dxa"/>
            <w:tcBorders>
              <w:top w:val="single" w:sz="12" w:space="0" w:color="auto"/>
              <w:bottom w:val="single" w:sz="4" w:space="0" w:color="auto"/>
            </w:tcBorders>
            <w:vAlign w:val="center"/>
          </w:tcPr>
          <w:p w14:paraId="418CEACE" w14:textId="77777777" w:rsidR="000A46C5" w:rsidRPr="000A46C5" w:rsidRDefault="000A46C5" w:rsidP="005712A1">
            <w:pPr>
              <w:widowControl/>
              <w:spacing w:line="360" w:lineRule="auto"/>
              <w:jc w:val="center"/>
              <w:rPr>
                <w:rFonts w:ascii="Times New Roman" w:hAnsi="Times New Roman" w:cs="Times New Roman"/>
                <w:b/>
              </w:rPr>
            </w:pPr>
            <w:r w:rsidRPr="000A46C5">
              <w:rPr>
                <w:rFonts w:ascii="Times New Roman" w:hAnsi="Times New Roman" w:cs="Times New Roman"/>
                <w:b/>
              </w:rPr>
              <w:t>Linear range (</w:t>
            </w:r>
            <w:bookmarkStart w:id="16" w:name="_Hlk171802474"/>
            <w:r w:rsidRPr="000A46C5">
              <w:rPr>
                <w:rFonts w:ascii="Times New Roman" w:hAnsi="Times New Roman" w:cs="Times New Roman"/>
                <w:b/>
              </w:rPr>
              <w:t>M</w:t>
            </w:r>
            <w:bookmarkEnd w:id="16"/>
            <w:r w:rsidRPr="000A46C5">
              <w:rPr>
                <w:rFonts w:ascii="Times New Roman" w:hAnsi="Times New Roman" w:cs="Times New Roman"/>
                <w:b/>
              </w:rPr>
              <w:t>)</w:t>
            </w:r>
          </w:p>
        </w:tc>
        <w:tc>
          <w:tcPr>
            <w:tcW w:w="1207" w:type="dxa"/>
            <w:tcBorders>
              <w:top w:val="single" w:sz="12" w:space="0" w:color="auto"/>
              <w:bottom w:val="single" w:sz="4" w:space="0" w:color="auto"/>
            </w:tcBorders>
            <w:vAlign w:val="center"/>
          </w:tcPr>
          <w:p w14:paraId="5618B787" w14:textId="77777777" w:rsidR="000A46C5" w:rsidRPr="000A46C5" w:rsidRDefault="000A46C5" w:rsidP="005712A1">
            <w:pPr>
              <w:widowControl/>
              <w:spacing w:line="360" w:lineRule="auto"/>
              <w:jc w:val="center"/>
              <w:rPr>
                <w:rFonts w:ascii="Times New Roman" w:hAnsi="Times New Roman" w:cs="Times New Roman"/>
                <w:b/>
              </w:rPr>
            </w:pPr>
            <w:r w:rsidRPr="000A46C5">
              <w:rPr>
                <w:rFonts w:ascii="Times New Roman" w:hAnsi="Times New Roman" w:cs="Times New Roman"/>
                <w:b/>
              </w:rPr>
              <w:t>Reference</w:t>
            </w:r>
          </w:p>
        </w:tc>
      </w:tr>
      <w:tr w:rsidR="000A46C5" w:rsidRPr="000A46C5" w14:paraId="468081D4" w14:textId="77777777">
        <w:trPr>
          <w:trHeight w:val="624"/>
        </w:trPr>
        <w:tc>
          <w:tcPr>
            <w:tcW w:w="1877" w:type="dxa"/>
            <w:tcBorders>
              <w:top w:val="single" w:sz="4" w:space="0" w:color="auto"/>
            </w:tcBorders>
            <w:vAlign w:val="center"/>
          </w:tcPr>
          <w:p w14:paraId="4196784C"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Eu</w:t>
            </w:r>
            <w:r w:rsidRPr="000A46C5">
              <w:rPr>
                <w:rFonts w:ascii="Times New Roman" w:hAnsi="Times New Roman" w:cs="Times New Roman"/>
                <w:vertAlign w:val="superscript"/>
              </w:rPr>
              <w:t>3+</w:t>
            </w:r>
            <w:r w:rsidRPr="000A46C5">
              <w:rPr>
                <w:rFonts w:ascii="Times New Roman" w:hAnsi="Times New Roman" w:cs="Times New Roman"/>
              </w:rPr>
              <w:t>@TFPB-</w:t>
            </w:r>
            <w:proofErr w:type="spellStart"/>
            <w:r w:rsidRPr="000A46C5">
              <w:rPr>
                <w:rFonts w:ascii="Times New Roman" w:hAnsi="Times New Roman" w:cs="Times New Roman"/>
              </w:rPr>
              <w:t>Bpy</w:t>
            </w:r>
            <w:proofErr w:type="spellEnd"/>
          </w:p>
        </w:tc>
        <w:tc>
          <w:tcPr>
            <w:tcW w:w="2032" w:type="dxa"/>
            <w:tcBorders>
              <w:top w:val="single" w:sz="4" w:space="0" w:color="auto"/>
            </w:tcBorders>
            <w:vAlign w:val="center"/>
          </w:tcPr>
          <w:p w14:paraId="4491E077"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Fluorimetry</w:t>
            </w:r>
          </w:p>
        </w:tc>
        <w:tc>
          <w:tcPr>
            <w:tcW w:w="1340" w:type="dxa"/>
            <w:tcBorders>
              <w:top w:val="single" w:sz="4" w:space="0" w:color="auto"/>
            </w:tcBorders>
            <w:vAlign w:val="center"/>
          </w:tcPr>
          <w:p w14:paraId="2B5CFB71"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1.36×10</w:t>
            </w:r>
            <w:r w:rsidRPr="000A46C5">
              <w:rPr>
                <w:rFonts w:ascii="Times New Roman" w:hAnsi="Times New Roman" w:cs="Times New Roman"/>
                <w:vertAlign w:val="superscript"/>
              </w:rPr>
              <w:t>-9</w:t>
            </w:r>
          </w:p>
        </w:tc>
        <w:tc>
          <w:tcPr>
            <w:tcW w:w="1982" w:type="dxa"/>
            <w:tcBorders>
              <w:top w:val="single" w:sz="4" w:space="0" w:color="auto"/>
            </w:tcBorders>
            <w:vAlign w:val="center"/>
          </w:tcPr>
          <w:p w14:paraId="2926D919"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5.00×10</w:t>
            </w:r>
            <w:r w:rsidRPr="000A46C5">
              <w:rPr>
                <w:rFonts w:ascii="Times New Roman" w:hAnsi="Times New Roman" w:cs="Times New Roman"/>
                <w:vertAlign w:val="superscript"/>
              </w:rPr>
              <w:t>-9</w:t>
            </w:r>
            <w:r w:rsidRPr="000A46C5">
              <w:rPr>
                <w:rFonts w:ascii="Times New Roman" w:hAnsi="Times New Roman" w:cs="Times New Roman"/>
              </w:rPr>
              <w:t>-5.00×10</w:t>
            </w:r>
            <w:r w:rsidRPr="000A46C5">
              <w:rPr>
                <w:rFonts w:ascii="Times New Roman" w:hAnsi="Times New Roman" w:cs="Times New Roman"/>
                <w:vertAlign w:val="superscript"/>
              </w:rPr>
              <w:t>-6</w:t>
            </w:r>
          </w:p>
        </w:tc>
        <w:tc>
          <w:tcPr>
            <w:tcW w:w="1207" w:type="dxa"/>
            <w:tcBorders>
              <w:top w:val="single" w:sz="4" w:space="0" w:color="auto"/>
            </w:tcBorders>
            <w:vAlign w:val="center"/>
          </w:tcPr>
          <w:p w14:paraId="52634CA7"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noProof/>
              </w:rPr>
              <w:t>[7]</w:t>
            </w:r>
          </w:p>
        </w:tc>
      </w:tr>
      <w:tr w:rsidR="000A46C5" w:rsidRPr="000A46C5" w14:paraId="5DD41BE8" w14:textId="77777777">
        <w:trPr>
          <w:trHeight w:val="624"/>
        </w:trPr>
        <w:tc>
          <w:tcPr>
            <w:tcW w:w="1877" w:type="dxa"/>
            <w:vAlign w:val="center"/>
          </w:tcPr>
          <w:p w14:paraId="4B016FB7" w14:textId="77777777" w:rsidR="000A46C5" w:rsidRPr="000A46C5" w:rsidRDefault="000A46C5" w:rsidP="005712A1">
            <w:pPr>
              <w:widowControl/>
              <w:spacing w:line="360" w:lineRule="auto"/>
              <w:jc w:val="center"/>
              <w:rPr>
                <w:rFonts w:ascii="Times New Roman" w:hAnsi="Times New Roman" w:cs="Times New Roman"/>
              </w:rPr>
            </w:pPr>
            <w:proofErr w:type="spellStart"/>
            <w:r w:rsidRPr="000A46C5">
              <w:rPr>
                <w:rFonts w:ascii="Times New Roman" w:hAnsi="Times New Roman" w:cs="Times New Roman"/>
              </w:rPr>
              <w:t>PyTT-Tp</w:t>
            </w:r>
            <w:proofErr w:type="spellEnd"/>
          </w:p>
        </w:tc>
        <w:tc>
          <w:tcPr>
            <w:tcW w:w="2032" w:type="dxa"/>
            <w:vAlign w:val="center"/>
          </w:tcPr>
          <w:p w14:paraId="1127A72F"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Fluorimetry</w:t>
            </w:r>
          </w:p>
        </w:tc>
        <w:tc>
          <w:tcPr>
            <w:tcW w:w="1340" w:type="dxa"/>
            <w:vAlign w:val="center"/>
          </w:tcPr>
          <w:p w14:paraId="39457889"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4.92×10</w:t>
            </w:r>
            <w:r w:rsidRPr="000A46C5">
              <w:rPr>
                <w:rFonts w:ascii="Times New Roman" w:hAnsi="Times New Roman" w:cs="Times New Roman"/>
                <w:vertAlign w:val="superscript"/>
              </w:rPr>
              <w:t>-9</w:t>
            </w:r>
          </w:p>
        </w:tc>
        <w:tc>
          <w:tcPr>
            <w:tcW w:w="1982" w:type="dxa"/>
            <w:vAlign w:val="center"/>
          </w:tcPr>
          <w:p w14:paraId="392DFE08"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1.50×10</w:t>
            </w:r>
            <w:r w:rsidRPr="000A46C5">
              <w:rPr>
                <w:rFonts w:ascii="Times New Roman" w:hAnsi="Times New Roman" w:cs="Times New Roman"/>
                <w:vertAlign w:val="superscript"/>
              </w:rPr>
              <w:t>-8</w:t>
            </w:r>
            <w:r w:rsidRPr="000A46C5">
              <w:rPr>
                <w:rFonts w:ascii="Times New Roman" w:hAnsi="Times New Roman" w:cs="Times New Roman"/>
              </w:rPr>
              <w:t>-4.50×10</w:t>
            </w:r>
            <w:r w:rsidRPr="000A46C5">
              <w:rPr>
                <w:rFonts w:ascii="Times New Roman" w:hAnsi="Times New Roman" w:cs="Times New Roman"/>
                <w:vertAlign w:val="superscript"/>
              </w:rPr>
              <w:t>-6</w:t>
            </w:r>
          </w:p>
        </w:tc>
        <w:tc>
          <w:tcPr>
            <w:tcW w:w="1207" w:type="dxa"/>
            <w:vAlign w:val="center"/>
          </w:tcPr>
          <w:p w14:paraId="34773FB7"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noProof/>
              </w:rPr>
              <w:t>[8]</w:t>
            </w:r>
          </w:p>
        </w:tc>
      </w:tr>
      <w:tr w:rsidR="000A46C5" w:rsidRPr="000A46C5" w14:paraId="657BBF7F" w14:textId="77777777">
        <w:trPr>
          <w:trHeight w:val="624"/>
        </w:trPr>
        <w:tc>
          <w:tcPr>
            <w:tcW w:w="1877" w:type="dxa"/>
            <w:vAlign w:val="center"/>
          </w:tcPr>
          <w:p w14:paraId="2D3F779D"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PDA-</w:t>
            </w:r>
            <w:proofErr w:type="spellStart"/>
            <w:r w:rsidRPr="000A46C5">
              <w:rPr>
                <w:rFonts w:ascii="Times New Roman" w:hAnsi="Times New Roman" w:cs="Times New Roman"/>
              </w:rPr>
              <w:t>rGO</w:t>
            </w:r>
            <w:proofErr w:type="spellEnd"/>
          </w:p>
        </w:tc>
        <w:tc>
          <w:tcPr>
            <w:tcW w:w="2032" w:type="dxa"/>
            <w:vAlign w:val="center"/>
          </w:tcPr>
          <w:p w14:paraId="76DC7DD3"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Electrochemistry</w:t>
            </w:r>
          </w:p>
        </w:tc>
        <w:tc>
          <w:tcPr>
            <w:tcW w:w="1340" w:type="dxa"/>
            <w:vAlign w:val="center"/>
          </w:tcPr>
          <w:p w14:paraId="03D405E9"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5.00×10</w:t>
            </w:r>
            <w:r w:rsidRPr="000A46C5">
              <w:rPr>
                <w:rFonts w:ascii="Times New Roman" w:hAnsi="Times New Roman" w:cs="Times New Roman"/>
                <w:vertAlign w:val="superscript"/>
              </w:rPr>
              <w:t>-8</w:t>
            </w:r>
          </w:p>
        </w:tc>
        <w:tc>
          <w:tcPr>
            <w:tcW w:w="1982" w:type="dxa"/>
            <w:vAlign w:val="center"/>
          </w:tcPr>
          <w:p w14:paraId="77F371AA"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1.00×10</w:t>
            </w:r>
            <w:r w:rsidRPr="000A46C5">
              <w:rPr>
                <w:rFonts w:ascii="Times New Roman" w:hAnsi="Times New Roman" w:cs="Times New Roman"/>
                <w:vertAlign w:val="superscript"/>
              </w:rPr>
              <w:t>-7</w:t>
            </w:r>
            <w:r w:rsidRPr="000A46C5">
              <w:rPr>
                <w:rFonts w:ascii="Times New Roman" w:hAnsi="Times New Roman" w:cs="Times New Roman"/>
              </w:rPr>
              <w:t>-5.00×10</w:t>
            </w:r>
            <w:r w:rsidRPr="000A46C5">
              <w:rPr>
                <w:rFonts w:ascii="Times New Roman" w:hAnsi="Times New Roman" w:cs="Times New Roman"/>
                <w:vertAlign w:val="superscript"/>
              </w:rPr>
              <w:t>-5</w:t>
            </w:r>
          </w:p>
        </w:tc>
        <w:tc>
          <w:tcPr>
            <w:tcW w:w="1207" w:type="dxa"/>
            <w:vAlign w:val="center"/>
          </w:tcPr>
          <w:p w14:paraId="515C8589"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noProof/>
              </w:rPr>
              <w:t>[9]</w:t>
            </w:r>
          </w:p>
        </w:tc>
      </w:tr>
      <w:tr w:rsidR="000A46C5" w:rsidRPr="000A46C5" w14:paraId="63035432" w14:textId="77777777">
        <w:trPr>
          <w:trHeight w:val="624"/>
        </w:trPr>
        <w:tc>
          <w:tcPr>
            <w:tcW w:w="1877" w:type="dxa"/>
            <w:vAlign w:val="center"/>
          </w:tcPr>
          <w:p w14:paraId="576E4619" w14:textId="77777777" w:rsidR="000A46C5" w:rsidRPr="000A46C5" w:rsidRDefault="000A46C5" w:rsidP="005712A1">
            <w:pPr>
              <w:widowControl/>
              <w:spacing w:line="360" w:lineRule="auto"/>
              <w:jc w:val="center"/>
              <w:rPr>
                <w:rFonts w:ascii="Times New Roman" w:hAnsi="Times New Roman" w:cs="Times New Roman"/>
              </w:rPr>
            </w:pPr>
            <w:proofErr w:type="spellStart"/>
            <w:r w:rsidRPr="000A46C5">
              <w:rPr>
                <w:rFonts w:ascii="Times New Roman" w:hAnsi="Times New Roman" w:cs="Times New Roman"/>
              </w:rPr>
              <w:t>FePt</w:t>
            </w:r>
            <w:proofErr w:type="spellEnd"/>
            <w:r w:rsidRPr="000A46C5">
              <w:rPr>
                <w:rFonts w:ascii="Times New Roman" w:hAnsi="Times New Roman" w:cs="Times New Roman"/>
              </w:rPr>
              <w:t>/ZnIn</w:t>
            </w:r>
            <w:r w:rsidRPr="000A46C5">
              <w:rPr>
                <w:rFonts w:ascii="Times New Roman" w:hAnsi="Times New Roman" w:cs="Times New Roman"/>
                <w:vertAlign w:val="subscript"/>
              </w:rPr>
              <w:t>2</w:t>
            </w:r>
            <w:r w:rsidRPr="000A46C5">
              <w:rPr>
                <w:rFonts w:ascii="Times New Roman" w:hAnsi="Times New Roman" w:cs="Times New Roman"/>
              </w:rPr>
              <w:t>S</w:t>
            </w:r>
            <w:r w:rsidRPr="000A46C5">
              <w:rPr>
                <w:rFonts w:ascii="Times New Roman" w:hAnsi="Times New Roman" w:cs="Times New Roman"/>
                <w:vertAlign w:val="subscript"/>
              </w:rPr>
              <w:t>4</w:t>
            </w:r>
          </w:p>
        </w:tc>
        <w:tc>
          <w:tcPr>
            <w:tcW w:w="2032" w:type="dxa"/>
            <w:vAlign w:val="center"/>
          </w:tcPr>
          <w:p w14:paraId="3C841A8E"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Electrochemistry</w:t>
            </w:r>
          </w:p>
        </w:tc>
        <w:tc>
          <w:tcPr>
            <w:tcW w:w="1340" w:type="dxa"/>
            <w:vAlign w:val="center"/>
          </w:tcPr>
          <w:p w14:paraId="32FB7B86"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7.17×10</w:t>
            </w:r>
            <w:r w:rsidRPr="000A46C5">
              <w:rPr>
                <w:rFonts w:ascii="Times New Roman" w:hAnsi="Times New Roman" w:cs="Times New Roman"/>
                <w:vertAlign w:val="superscript"/>
              </w:rPr>
              <w:t>-8</w:t>
            </w:r>
          </w:p>
        </w:tc>
        <w:tc>
          <w:tcPr>
            <w:tcW w:w="1982" w:type="dxa"/>
            <w:vAlign w:val="center"/>
          </w:tcPr>
          <w:p w14:paraId="74BE9786"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5.00×10</w:t>
            </w:r>
            <w:r w:rsidRPr="000A46C5">
              <w:rPr>
                <w:rFonts w:ascii="Times New Roman" w:hAnsi="Times New Roman" w:cs="Times New Roman"/>
                <w:vertAlign w:val="superscript"/>
              </w:rPr>
              <w:t>-7</w:t>
            </w:r>
            <w:r w:rsidRPr="000A46C5">
              <w:rPr>
                <w:rFonts w:ascii="Times New Roman" w:hAnsi="Times New Roman" w:cs="Times New Roman"/>
              </w:rPr>
              <w:t>-1.00×10</w:t>
            </w:r>
            <w:r w:rsidRPr="000A46C5">
              <w:rPr>
                <w:rFonts w:ascii="Times New Roman" w:hAnsi="Times New Roman" w:cs="Times New Roman"/>
                <w:vertAlign w:val="superscript"/>
              </w:rPr>
              <w:t>-5</w:t>
            </w:r>
          </w:p>
        </w:tc>
        <w:tc>
          <w:tcPr>
            <w:tcW w:w="1207" w:type="dxa"/>
            <w:vAlign w:val="center"/>
          </w:tcPr>
          <w:p w14:paraId="4EC7D355"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noProof/>
              </w:rPr>
              <w:t>[10]</w:t>
            </w:r>
          </w:p>
        </w:tc>
      </w:tr>
      <w:tr w:rsidR="000A46C5" w:rsidRPr="000A46C5" w14:paraId="6632BD8D" w14:textId="77777777">
        <w:trPr>
          <w:trHeight w:val="624"/>
        </w:trPr>
        <w:tc>
          <w:tcPr>
            <w:tcW w:w="1877" w:type="dxa"/>
            <w:vAlign w:val="center"/>
          </w:tcPr>
          <w:p w14:paraId="11C1E6B9"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ZIF-L-hemin</w:t>
            </w:r>
          </w:p>
        </w:tc>
        <w:tc>
          <w:tcPr>
            <w:tcW w:w="2032" w:type="dxa"/>
            <w:vAlign w:val="center"/>
          </w:tcPr>
          <w:p w14:paraId="56BCF18A"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Colorimetry</w:t>
            </w:r>
          </w:p>
        </w:tc>
        <w:tc>
          <w:tcPr>
            <w:tcW w:w="1340" w:type="dxa"/>
            <w:vAlign w:val="center"/>
          </w:tcPr>
          <w:p w14:paraId="298B2D07"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7.90×10</w:t>
            </w:r>
            <w:r w:rsidRPr="000A46C5">
              <w:rPr>
                <w:rFonts w:ascii="Times New Roman" w:hAnsi="Times New Roman" w:cs="Times New Roman"/>
                <w:vertAlign w:val="superscript"/>
              </w:rPr>
              <w:t>-8</w:t>
            </w:r>
          </w:p>
        </w:tc>
        <w:tc>
          <w:tcPr>
            <w:tcW w:w="1982" w:type="dxa"/>
            <w:vAlign w:val="center"/>
          </w:tcPr>
          <w:p w14:paraId="5B4B1C9D"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2.50×10</w:t>
            </w:r>
            <w:r w:rsidRPr="000A46C5">
              <w:rPr>
                <w:rFonts w:ascii="Times New Roman" w:hAnsi="Times New Roman" w:cs="Times New Roman"/>
                <w:vertAlign w:val="superscript"/>
              </w:rPr>
              <w:t>-7</w:t>
            </w:r>
            <w:r w:rsidRPr="000A46C5">
              <w:rPr>
                <w:rFonts w:ascii="Times New Roman" w:hAnsi="Times New Roman" w:cs="Times New Roman"/>
              </w:rPr>
              <w:t>-4.00×10</w:t>
            </w:r>
            <w:r w:rsidRPr="000A46C5">
              <w:rPr>
                <w:rFonts w:ascii="Times New Roman" w:hAnsi="Times New Roman" w:cs="Times New Roman"/>
                <w:vertAlign w:val="superscript"/>
              </w:rPr>
              <w:t>-5</w:t>
            </w:r>
          </w:p>
        </w:tc>
        <w:tc>
          <w:tcPr>
            <w:tcW w:w="1207" w:type="dxa"/>
            <w:vAlign w:val="center"/>
          </w:tcPr>
          <w:p w14:paraId="6B95A047"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noProof/>
              </w:rPr>
              <w:t>[11]</w:t>
            </w:r>
          </w:p>
        </w:tc>
      </w:tr>
      <w:tr w:rsidR="000A46C5" w:rsidRPr="000A46C5" w14:paraId="5CF011C5" w14:textId="77777777">
        <w:trPr>
          <w:trHeight w:val="624"/>
        </w:trPr>
        <w:tc>
          <w:tcPr>
            <w:tcW w:w="1877" w:type="dxa"/>
            <w:vMerge w:val="restart"/>
            <w:vAlign w:val="center"/>
          </w:tcPr>
          <w:p w14:paraId="439EAA81"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Tph-BT</w:t>
            </w:r>
          </w:p>
        </w:tc>
        <w:tc>
          <w:tcPr>
            <w:tcW w:w="2032" w:type="dxa"/>
            <w:vAlign w:val="center"/>
          </w:tcPr>
          <w:p w14:paraId="3900005D"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Colorimetry (OXD)</w:t>
            </w:r>
          </w:p>
        </w:tc>
        <w:tc>
          <w:tcPr>
            <w:tcW w:w="1340" w:type="dxa"/>
            <w:vAlign w:val="center"/>
          </w:tcPr>
          <w:p w14:paraId="501AC008"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2.00×10</w:t>
            </w:r>
            <w:r w:rsidRPr="000A46C5">
              <w:rPr>
                <w:rFonts w:ascii="Times New Roman" w:hAnsi="Times New Roman" w:cs="Times New Roman"/>
                <w:vertAlign w:val="superscript"/>
              </w:rPr>
              <w:t>-8</w:t>
            </w:r>
          </w:p>
        </w:tc>
        <w:tc>
          <w:tcPr>
            <w:tcW w:w="1982" w:type="dxa"/>
            <w:vAlign w:val="center"/>
          </w:tcPr>
          <w:p w14:paraId="2D45E15A"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7.50×10</w:t>
            </w:r>
            <w:r w:rsidRPr="000A46C5">
              <w:rPr>
                <w:rFonts w:ascii="Times New Roman" w:hAnsi="Times New Roman" w:cs="Times New Roman"/>
                <w:vertAlign w:val="superscript"/>
              </w:rPr>
              <w:t>-8</w:t>
            </w:r>
            <w:r w:rsidRPr="000A46C5">
              <w:rPr>
                <w:rFonts w:ascii="Times New Roman" w:hAnsi="Times New Roman" w:cs="Times New Roman"/>
              </w:rPr>
              <w:t>-6.00×10</w:t>
            </w:r>
            <w:r w:rsidRPr="000A46C5">
              <w:rPr>
                <w:rFonts w:ascii="Times New Roman" w:hAnsi="Times New Roman" w:cs="Times New Roman"/>
                <w:vertAlign w:val="superscript"/>
              </w:rPr>
              <w:t>-5</w:t>
            </w:r>
          </w:p>
        </w:tc>
        <w:tc>
          <w:tcPr>
            <w:tcW w:w="1207" w:type="dxa"/>
            <w:vMerge w:val="restart"/>
            <w:vAlign w:val="center"/>
          </w:tcPr>
          <w:p w14:paraId="6CE3097E"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noProof/>
              </w:rPr>
              <w:t>[1]</w:t>
            </w:r>
          </w:p>
        </w:tc>
      </w:tr>
      <w:tr w:rsidR="000A46C5" w:rsidRPr="000A46C5" w14:paraId="661D7919" w14:textId="77777777">
        <w:trPr>
          <w:trHeight w:val="624"/>
        </w:trPr>
        <w:tc>
          <w:tcPr>
            <w:tcW w:w="1877" w:type="dxa"/>
            <w:vMerge/>
            <w:tcBorders>
              <w:bottom w:val="nil"/>
            </w:tcBorders>
            <w:vAlign w:val="center"/>
          </w:tcPr>
          <w:p w14:paraId="00E69B18" w14:textId="77777777" w:rsidR="000A46C5" w:rsidRPr="000A46C5" w:rsidRDefault="000A46C5" w:rsidP="005712A1">
            <w:pPr>
              <w:widowControl/>
              <w:spacing w:line="360" w:lineRule="auto"/>
              <w:ind w:firstLineChars="200" w:firstLine="420"/>
              <w:jc w:val="center"/>
              <w:rPr>
                <w:rFonts w:ascii="Times New Roman" w:hAnsi="Times New Roman" w:cs="Times New Roman"/>
              </w:rPr>
            </w:pPr>
          </w:p>
        </w:tc>
        <w:tc>
          <w:tcPr>
            <w:tcW w:w="2032" w:type="dxa"/>
            <w:vAlign w:val="center"/>
          </w:tcPr>
          <w:p w14:paraId="29D8AA1B"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Colorimetry (POD)</w:t>
            </w:r>
          </w:p>
        </w:tc>
        <w:tc>
          <w:tcPr>
            <w:tcW w:w="1340" w:type="dxa"/>
            <w:vAlign w:val="center"/>
          </w:tcPr>
          <w:p w14:paraId="7802A519"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1.00×10</w:t>
            </w:r>
            <w:r w:rsidRPr="000A46C5">
              <w:rPr>
                <w:rFonts w:ascii="Times New Roman" w:hAnsi="Times New Roman" w:cs="Times New Roman"/>
                <w:vertAlign w:val="superscript"/>
              </w:rPr>
              <w:t>-7</w:t>
            </w:r>
          </w:p>
        </w:tc>
        <w:tc>
          <w:tcPr>
            <w:tcW w:w="1982" w:type="dxa"/>
            <w:vAlign w:val="center"/>
          </w:tcPr>
          <w:p w14:paraId="1884ACE1"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3.75×10</w:t>
            </w:r>
            <w:r w:rsidRPr="000A46C5">
              <w:rPr>
                <w:rFonts w:ascii="Times New Roman" w:hAnsi="Times New Roman" w:cs="Times New Roman"/>
                <w:vertAlign w:val="superscript"/>
              </w:rPr>
              <w:t>-7</w:t>
            </w:r>
            <w:r w:rsidRPr="000A46C5">
              <w:rPr>
                <w:rFonts w:ascii="Times New Roman" w:hAnsi="Times New Roman" w:cs="Times New Roman"/>
              </w:rPr>
              <w:t>-1.50×10</w:t>
            </w:r>
            <w:r w:rsidRPr="000A46C5">
              <w:rPr>
                <w:rFonts w:ascii="Times New Roman" w:hAnsi="Times New Roman" w:cs="Times New Roman"/>
                <w:vertAlign w:val="superscript"/>
              </w:rPr>
              <w:t>-4</w:t>
            </w:r>
          </w:p>
        </w:tc>
        <w:tc>
          <w:tcPr>
            <w:tcW w:w="1207" w:type="dxa"/>
            <w:vMerge/>
            <w:vAlign w:val="center"/>
          </w:tcPr>
          <w:p w14:paraId="34E8E81D" w14:textId="77777777" w:rsidR="000A46C5" w:rsidRPr="000A46C5" w:rsidRDefault="000A46C5" w:rsidP="005712A1">
            <w:pPr>
              <w:widowControl/>
              <w:spacing w:line="360" w:lineRule="auto"/>
              <w:ind w:firstLineChars="200" w:firstLine="420"/>
              <w:jc w:val="center"/>
              <w:rPr>
                <w:rFonts w:ascii="Times New Roman" w:hAnsi="Times New Roman" w:cs="Times New Roman"/>
              </w:rPr>
            </w:pPr>
          </w:p>
        </w:tc>
      </w:tr>
      <w:tr w:rsidR="000A46C5" w:rsidRPr="000A46C5" w14:paraId="7FA14475" w14:textId="77777777">
        <w:trPr>
          <w:trHeight w:val="624"/>
        </w:trPr>
        <w:tc>
          <w:tcPr>
            <w:tcW w:w="1877" w:type="dxa"/>
            <w:vMerge w:val="restart"/>
            <w:tcBorders>
              <w:top w:val="nil"/>
              <w:bottom w:val="single" w:sz="12" w:space="0" w:color="auto"/>
            </w:tcBorders>
            <w:vAlign w:val="center"/>
          </w:tcPr>
          <w:p w14:paraId="13BBA8C0" w14:textId="77777777" w:rsidR="000A46C5" w:rsidRPr="000A46C5" w:rsidRDefault="000A46C5" w:rsidP="005712A1">
            <w:pPr>
              <w:widowControl/>
              <w:spacing w:line="360" w:lineRule="auto"/>
              <w:jc w:val="center"/>
              <w:rPr>
                <w:rFonts w:ascii="Times New Roman" w:hAnsi="Times New Roman" w:cs="Times New Roman"/>
              </w:rPr>
            </w:pPr>
            <w:proofErr w:type="spellStart"/>
            <w:r w:rsidRPr="000A46C5">
              <w:rPr>
                <w:rFonts w:ascii="Times New Roman" w:hAnsi="Times New Roman" w:cs="Times New Roman"/>
              </w:rPr>
              <w:t>AuNCs@COF</w:t>
            </w:r>
            <w:proofErr w:type="spellEnd"/>
          </w:p>
        </w:tc>
        <w:tc>
          <w:tcPr>
            <w:tcW w:w="2032" w:type="dxa"/>
            <w:vAlign w:val="center"/>
          </w:tcPr>
          <w:p w14:paraId="21457A1C"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Colorimetry</w:t>
            </w:r>
          </w:p>
        </w:tc>
        <w:tc>
          <w:tcPr>
            <w:tcW w:w="1340" w:type="dxa"/>
            <w:vAlign w:val="center"/>
          </w:tcPr>
          <w:p w14:paraId="016A4C08" w14:textId="77777777" w:rsidR="000A46C5" w:rsidRPr="000A46C5" w:rsidRDefault="000A46C5" w:rsidP="005712A1">
            <w:pPr>
              <w:widowControl/>
              <w:spacing w:line="360" w:lineRule="auto"/>
              <w:jc w:val="center"/>
              <w:rPr>
                <w:rFonts w:ascii="Times New Roman" w:hAnsi="Times New Roman" w:cs="Times New Roman"/>
              </w:rPr>
            </w:pPr>
            <w:bookmarkStart w:id="17" w:name="_Hlk171624577"/>
            <w:r w:rsidRPr="000A46C5">
              <w:rPr>
                <w:rFonts w:ascii="Times New Roman" w:hAnsi="Times New Roman" w:cs="Times New Roman"/>
              </w:rPr>
              <w:t>1.07×10</w:t>
            </w:r>
            <w:r w:rsidRPr="000A46C5">
              <w:rPr>
                <w:rFonts w:ascii="Times New Roman" w:hAnsi="Times New Roman" w:cs="Times New Roman"/>
                <w:vertAlign w:val="superscript"/>
              </w:rPr>
              <w:t>-10</w:t>
            </w:r>
            <w:bookmarkEnd w:id="17"/>
          </w:p>
        </w:tc>
        <w:tc>
          <w:tcPr>
            <w:tcW w:w="1982" w:type="dxa"/>
            <w:vAlign w:val="center"/>
          </w:tcPr>
          <w:p w14:paraId="65F389CC" w14:textId="77777777" w:rsidR="000A46C5" w:rsidRPr="000A46C5" w:rsidRDefault="000A46C5" w:rsidP="005712A1">
            <w:pPr>
              <w:widowControl/>
              <w:spacing w:line="360" w:lineRule="auto"/>
              <w:jc w:val="center"/>
              <w:rPr>
                <w:rFonts w:ascii="Times New Roman" w:hAnsi="Times New Roman" w:cs="Times New Roman"/>
              </w:rPr>
            </w:pPr>
            <w:bookmarkStart w:id="18" w:name="_Hlk171802455"/>
            <w:r w:rsidRPr="000A46C5">
              <w:rPr>
                <w:rFonts w:ascii="Times New Roman" w:hAnsi="Times New Roman" w:cs="Times New Roman"/>
              </w:rPr>
              <w:t>1.36×10</w:t>
            </w:r>
            <w:r w:rsidRPr="000A46C5">
              <w:rPr>
                <w:rFonts w:ascii="Times New Roman" w:hAnsi="Times New Roman" w:cs="Times New Roman"/>
                <w:vertAlign w:val="superscript"/>
              </w:rPr>
              <w:t>-10</w:t>
            </w:r>
            <w:r w:rsidRPr="000A46C5">
              <w:rPr>
                <w:rFonts w:ascii="Times New Roman" w:hAnsi="Times New Roman" w:cs="Times New Roman"/>
              </w:rPr>
              <w:t>-1.36×10</w:t>
            </w:r>
            <w:r w:rsidRPr="000A46C5">
              <w:rPr>
                <w:rFonts w:ascii="Times New Roman" w:hAnsi="Times New Roman" w:cs="Times New Roman"/>
                <w:vertAlign w:val="superscript"/>
              </w:rPr>
              <w:t>-</w:t>
            </w:r>
            <w:bookmarkEnd w:id="18"/>
            <w:r w:rsidRPr="000A46C5">
              <w:rPr>
                <w:rFonts w:ascii="Times New Roman" w:hAnsi="Times New Roman" w:cs="Times New Roman"/>
                <w:vertAlign w:val="superscript"/>
              </w:rPr>
              <w:t>5</w:t>
            </w:r>
          </w:p>
        </w:tc>
        <w:tc>
          <w:tcPr>
            <w:tcW w:w="1207" w:type="dxa"/>
            <w:vMerge w:val="restart"/>
            <w:vAlign w:val="center"/>
          </w:tcPr>
          <w:p w14:paraId="4AFA4E79"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This work</w:t>
            </w:r>
          </w:p>
        </w:tc>
      </w:tr>
      <w:tr w:rsidR="000A46C5" w:rsidRPr="000A46C5" w14:paraId="0C24FD75" w14:textId="77777777">
        <w:trPr>
          <w:trHeight w:val="624"/>
        </w:trPr>
        <w:tc>
          <w:tcPr>
            <w:tcW w:w="1877" w:type="dxa"/>
            <w:vMerge/>
            <w:tcBorders>
              <w:top w:val="nil"/>
              <w:bottom w:val="single" w:sz="12" w:space="0" w:color="auto"/>
            </w:tcBorders>
            <w:vAlign w:val="center"/>
          </w:tcPr>
          <w:p w14:paraId="68CC27CD" w14:textId="77777777" w:rsidR="000A46C5" w:rsidRPr="000A46C5" w:rsidRDefault="000A46C5" w:rsidP="005712A1">
            <w:pPr>
              <w:widowControl/>
              <w:spacing w:line="360" w:lineRule="auto"/>
              <w:ind w:firstLineChars="200" w:firstLine="420"/>
              <w:jc w:val="center"/>
              <w:rPr>
                <w:rFonts w:ascii="Times New Roman" w:hAnsi="Times New Roman" w:cs="Times New Roman"/>
              </w:rPr>
            </w:pPr>
          </w:p>
        </w:tc>
        <w:tc>
          <w:tcPr>
            <w:tcW w:w="2032" w:type="dxa"/>
            <w:tcBorders>
              <w:bottom w:val="single" w:sz="12" w:space="0" w:color="auto"/>
            </w:tcBorders>
            <w:vAlign w:val="center"/>
          </w:tcPr>
          <w:p w14:paraId="7B1FC181"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Electrochemistry</w:t>
            </w:r>
          </w:p>
        </w:tc>
        <w:tc>
          <w:tcPr>
            <w:tcW w:w="1340" w:type="dxa"/>
            <w:tcBorders>
              <w:bottom w:val="single" w:sz="12" w:space="0" w:color="auto"/>
            </w:tcBorders>
            <w:vAlign w:val="center"/>
          </w:tcPr>
          <w:p w14:paraId="0C4F707F"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3.47×10</w:t>
            </w:r>
            <w:r w:rsidRPr="000A46C5">
              <w:rPr>
                <w:rFonts w:ascii="Times New Roman" w:hAnsi="Times New Roman" w:cs="Times New Roman"/>
                <w:vertAlign w:val="superscript"/>
              </w:rPr>
              <w:t>-10</w:t>
            </w:r>
          </w:p>
        </w:tc>
        <w:tc>
          <w:tcPr>
            <w:tcW w:w="1982" w:type="dxa"/>
            <w:tcBorders>
              <w:bottom w:val="single" w:sz="12" w:space="0" w:color="auto"/>
            </w:tcBorders>
            <w:vAlign w:val="center"/>
          </w:tcPr>
          <w:p w14:paraId="5E9B6AB6" w14:textId="77777777" w:rsidR="000A46C5" w:rsidRPr="000A46C5" w:rsidRDefault="000A46C5" w:rsidP="005712A1">
            <w:pPr>
              <w:widowControl/>
              <w:spacing w:line="360" w:lineRule="auto"/>
              <w:jc w:val="center"/>
              <w:rPr>
                <w:rFonts w:ascii="Times New Roman" w:hAnsi="Times New Roman" w:cs="Times New Roman"/>
              </w:rPr>
            </w:pPr>
            <w:r w:rsidRPr="000A46C5">
              <w:rPr>
                <w:rFonts w:ascii="Times New Roman" w:hAnsi="Times New Roman" w:cs="Times New Roman"/>
              </w:rPr>
              <w:t>5.00×10</w:t>
            </w:r>
            <w:r w:rsidRPr="000A46C5">
              <w:rPr>
                <w:rFonts w:ascii="Times New Roman" w:hAnsi="Times New Roman" w:cs="Times New Roman"/>
                <w:vertAlign w:val="superscript"/>
              </w:rPr>
              <w:t>-10</w:t>
            </w:r>
            <w:r w:rsidRPr="000A46C5">
              <w:rPr>
                <w:rFonts w:ascii="Times New Roman" w:hAnsi="Times New Roman" w:cs="Times New Roman"/>
              </w:rPr>
              <w:t>-2.50×10</w:t>
            </w:r>
            <w:r w:rsidRPr="000A46C5">
              <w:rPr>
                <w:rFonts w:ascii="Times New Roman" w:hAnsi="Times New Roman" w:cs="Times New Roman"/>
                <w:vertAlign w:val="superscript"/>
              </w:rPr>
              <w:t>-5</w:t>
            </w:r>
          </w:p>
        </w:tc>
        <w:tc>
          <w:tcPr>
            <w:tcW w:w="1207" w:type="dxa"/>
            <w:vMerge/>
            <w:tcBorders>
              <w:bottom w:val="single" w:sz="12" w:space="0" w:color="auto"/>
            </w:tcBorders>
            <w:vAlign w:val="center"/>
          </w:tcPr>
          <w:p w14:paraId="0B59B943" w14:textId="77777777" w:rsidR="000A46C5" w:rsidRPr="000A46C5" w:rsidRDefault="000A46C5" w:rsidP="005712A1">
            <w:pPr>
              <w:widowControl/>
              <w:spacing w:line="360" w:lineRule="auto"/>
              <w:ind w:firstLineChars="200" w:firstLine="420"/>
              <w:jc w:val="center"/>
              <w:rPr>
                <w:rFonts w:ascii="Times New Roman" w:hAnsi="Times New Roman" w:cs="Times New Roman"/>
              </w:rPr>
            </w:pPr>
          </w:p>
        </w:tc>
      </w:tr>
    </w:tbl>
    <w:p w14:paraId="021C3B3D" w14:textId="77777777" w:rsidR="000A46C5" w:rsidRPr="000A46C5" w:rsidRDefault="000A46C5" w:rsidP="005712A1">
      <w:pPr>
        <w:widowControl/>
        <w:spacing w:line="360" w:lineRule="auto"/>
        <w:ind w:firstLineChars="200" w:firstLine="420"/>
        <w:jc w:val="left"/>
        <w:rPr>
          <w:rFonts w:ascii="Times New Roman" w:hAnsi="Times New Roman" w:cs="Times New Roman"/>
        </w:rPr>
      </w:pPr>
      <w:r w:rsidRPr="000A46C5">
        <w:rPr>
          <w:rFonts w:ascii="Times New Roman" w:hAnsi="Times New Roman" w:cs="Times New Roman"/>
        </w:rPr>
        <w:br w:type="page"/>
      </w:r>
    </w:p>
    <w:p w14:paraId="10193C73" w14:textId="77777777" w:rsidR="000A46C5" w:rsidRPr="000A46C5" w:rsidRDefault="000A46C5" w:rsidP="005712A1">
      <w:pPr>
        <w:spacing w:line="360" w:lineRule="auto"/>
        <w:rPr>
          <w:rFonts w:ascii="Times New Roman" w:hAnsi="Times New Roman" w:cs="Times New Roman"/>
          <w:b/>
          <w:sz w:val="28"/>
          <w:szCs w:val="32"/>
        </w:rPr>
      </w:pPr>
      <w:r w:rsidRPr="000A46C5">
        <w:rPr>
          <w:rFonts w:ascii="Times New Roman" w:hAnsi="Times New Roman" w:cs="Times New Roman"/>
          <w:b/>
          <w:sz w:val="28"/>
          <w:szCs w:val="32"/>
        </w:rPr>
        <w:lastRenderedPageBreak/>
        <w:t>References</w:t>
      </w:r>
    </w:p>
    <w:p w14:paraId="3330BE7A" w14:textId="77777777" w:rsidR="000A46C5" w:rsidRPr="000A46C5" w:rsidRDefault="000A46C5" w:rsidP="005712A1">
      <w:pPr>
        <w:pStyle w:val="EndNoteBibliography"/>
        <w:spacing w:line="360" w:lineRule="auto"/>
        <w:ind w:left="720" w:hanging="720"/>
        <w:rPr>
          <w:rFonts w:ascii="Times New Roman" w:hAnsi="Times New Roman" w:cs="Times New Roman"/>
          <w:sz w:val="24"/>
          <w:szCs w:val="24"/>
        </w:rPr>
      </w:pPr>
      <w:r w:rsidRPr="000A46C5">
        <w:rPr>
          <w:rFonts w:ascii="Times New Roman" w:hAnsi="Times New Roman" w:cs="Times New Roman"/>
          <w:sz w:val="24"/>
          <w:szCs w:val="24"/>
        </w:rPr>
        <w:t>[1]</w:t>
      </w:r>
      <w:r w:rsidRPr="000A46C5">
        <w:rPr>
          <w:rFonts w:ascii="Times New Roman" w:hAnsi="Times New Roman" w:cs="Times New Roman"/>
          <w:sz w:val="24"/>
          <w:szCs w:val="24"/>
        </w:rPr>
        <w:tab/>
        <w:t>L Zhang, Q G Tan, S J Xiao, G P Yang, X Liu, Q Q Zheng, J Q Fan, R P Liang, J D Qiu. DNAzyme-Derived Aptamer Reversely Regulates the Two Types of Enzymatic Activities of Covalent-Organic Frameworks for the Colorimetric Analysis of Uranium [J]. Anal Chem, 2023, 95(10): 4703-11.</w:t>
      </w:r>
    </w:p>
    <w:p w14:paraId="70082FB9" w14:textId="77777777" w:rsidR="000A46C5" w:rsidRPr="000A46C5" w:rsidRDefault="000A46C5" w:rsidP="005712A1">
      <w:pPr>
        <w:pStyle w:val="EndNoteBibliography"/>
        <w:spacing w:line="360" w:lineRule="auto"/>
        <w:ind w:left="720" w:hanging="720"/>
        <w:rPr>
          <w:rFonts w:ascii="Times New Roman" w:hAnsi="Times New Roman" w:cs="Times New Roman"/>
          <w:sz w:val="24"/>
          <w:szCs w:val="24"/>
          <w:lang w:val="de-DE"/>
        </w:rPr>
      </w:pPr>
      <w:r w:rsidRPr="000A46C5">
        <w:rPr>
          <w:rFonts w:ascii="Times New Roman" w:hAnsi="Times New Roman" w:cs="Times New Roman"/>
          <w:sz w:val="24"/>
          <w:szCs w:val="24"/>
        </w:rPr>
        <w:t>[2]</w:t>
      </w:r>
      <w:r w:rsidRPr="000A46C5">
        <w:rPr>
          <w:rFonts w:ascii="Times New Roman" w:hAnsi="Times New Roman" w:cs="Times New Roman"/>
          <w:sz w:val="24"/>
          <w:szCs w:val="24"/>
        </w:rPr>
        <w:tab/>
        <w:t xml:space="preserve">Y Y Song, J Qiao, W Liu, L Qi. Norfloxacin detection based on the peroxidase-like activity enhancement of gold nanoclusters [J]. </w:t>
      </w:r>
      <w:r w:rsidRPr="000A46C5">
        <w:rPr>
          <w:rFonts w:ascii="Times New Roman" w:hAnsi="Times New Roman" w:cs="Times New Roman"/>
          <w:sz w:val="24"/>
          <w:szCs w:val="24"/>
          <w:lang w:val="de-DE"/>
        </w:rPr>
        <w:t>Anal Bioanal Chem, 2021, 413(4): 979-85.</w:t>
      </w:r>
    </w:p>
    <w:p w14:paraId="051BD182" w14:textId="77777777" w:rsidR="000A46C5" w:rsidRPr="000A46C5" w:rsidRDefault="000A46C5" w:rsidP="005712A1">
      <w:pPr>
        <w:pStyle w:val="EndNoteBibliography"/>
        <w:spacing w:line="360" w:lineRule="auto"/>
        <w:ind w:left="720" w:hanging="720"/>
        <w:rPr>
          <w:rFonts w:ascii="Times New Roman" w:hAnsi="Times New Roman" w:cs="Times New Roman"/>
          <w:sz w:val="24"/>
          <w:szCs w:val="24"/>
        </w:rPr>
      </w:pPr>
      <w:r w:rsidRPr="000A46C5">
        <w:rPr>
          <w:rFonts w:ascii="Times New Roman" w:hAnsi="Times New Roman" w:cs="Times New Roman"/>
          <w:sz w:val="24"/>
          <w:szCs w:val="24"/>
          <w:lang w:val="de-DE"/>
        </w:rPr>
        <w:t>[3]</w:t>
      </w:r>
      <w:r w:rsidRPr="000A46C5">
        <w:rPr>
          <w:rFonts w:ascii="Times New Roman" w:hAnsi="Times New Roman" w:cs="Times New Roman"/>
          <w:sz w:val="24"/>
          <w:szCs w:val="24"/>
          <w:lang w:val="de-DE"/>
        </w:rPr>
        <w:tab/>
        <w:t xml:space="preserve">B Fu, T L Liu, J C Chen, K Li. </w:t>
      </w:r>
      <w:r w:rsidRPr="000A46C5">
        <w:rPr>
          <w:rFonts w:ascii="Times New Roman" w:hAnsi="Times New Roman" w:cs="Times New Roman"/>
          <w:sz w:val="24"/>
          <w:szCs w:val="24"/>
        </w:rPr>
        <w:t>CaF</w:t>
      </w:r>
      <w:r w:rsidRPr="000A46C5">
        <w:rPr>
          <w:rFonts w:ascii="Times New Roman" w:hAnsi="Times New Roman" w:cs="Times New Roman"/>
          <w:sz w:val="24"/>
          <w:szCs w:val="24"/>
          <w:vertAlign w:val="subscript"/>
        </w:rPr>
        <w:t>2</w:t>
      </w:r>
      <w:r w:rsidRPr="000A46C5">
        <w:rPr>
          <w:rFonts w:ascii="Times New Roman" w:hAnsi="Times New Roman" w:cs="Times New Roman"/>
          <w:sz w:val="24"/>
          <w:szCs w:val="24"/>
        </w:rPr>
        <w:t xml:space="preserve"> nanoparticles as peroxidase mimics for rapid and sensitive detection of aldosterone [J]. Anal Chim Acta, 2019, 1078: 119-24.</w:t>
      </w:r>
    </w:p>
    <w:p w14:paraId="1741211A" w14:textId="77777777" w:rsidR="000A46C5" w:rsidRPr="000A46C5" w:rsidRDefault="000A46C5" w:rsidP="005712A1">
      <w:pPr>
        <w:pStyle w:val="EndNoteBibliography"/>
        <w:spacing w:line="360" w:lineRule="auto"/>
        <w:ind w:left="720" w:hanging="720"/>
        <w:rPr>
          <w:rFonts w:ascii="Times New Roman" w:hAnsi="Times New Roman" w:cs="Times New Roman"/>
          <w:sz w:val="24"/>
          <w:szCs w:val="24"/>
        </w:rPr>
      </w:pPr>
      <w:r w:rsidRPr="000A46C5">
        <w:rPr>
          <w:rFonts w:ascii="Times New Roman" w:hAnsi="Times New Roman" w:cs="Times New Roman"/>
          <w:sz w:val="24"/>
          <w:szCs w:val="24"/>
        </w:rPr>
        <w:t>[4]</w:t>
      </w:r>
      <w:r w:rsidRPr="000A46C5">
        <w:rPr>
          <w:rFonts w:ascii="Times New Roman" w:hAnsi="Times New Roman" w:cs="Times New Roman"/>
          <w:sz w:val="24"/>
          <w:szCs w:val="24"/>
        </w:rPr>
        <w:tab/>
        <w:t>W Q Xu, L Jiao, H Y Yan, Y Wu, L J Chen, W L Gu, D Du, Y H Lin, C Z Zhu. Glucose Oxidase-Integrated Metal-Organic Framework Hybrids as Biomimetic Cascade Nanozymes for Ultrasensitive Glucose Biosensing [J]. Acs Appl Mater Inter, 2019, 11(25): 22096-101.</w:t>
      </w:r>
    </w:p>
    <w:p w14:paraId="389F90C0" w14:textId="77777777" w:rsidR="000A46C5" w:rsidRPr="000A46C5" w:rsidRDefault="000A46C5" w:rsidP="005712A1">
      <w:pPr>
        <w:pStyle w:val="EndNoteBibliography"/>
        <w:spacing w:line="360" w:lineRule="auto"/>
        <w:ind w:left="720" w:hanging="720"/>
        <w:rPr>
          <w:rFonts w:ascii="Times New Roman" w:hAnsi="Times New Roman" w:cs="Times New Roman"/>
          <w:sz w:val="24"/>
          <w:szCs w:val="24"/>
        </w:rPr>
      </w:pPr>
      <w:r w:rsidRPr="000A46C5">
        <w:rPr>
          <w:rFonts w:ascii="Times New Roman" w:hAnsi="Times New Roman" w:cs="Times New Roman"/>
          <w:sz w:val="24"/>
          <w:szCs w:val="24"/>
        </w:rPr>
        <w:t>[5]</w:t>
      </w:r>
      <w:r w:rsidRPr="000A46C5">
        <w:rPr>
          <w:rFonts w:ascii="Times New Roman" w:hAnsi="Times New Roman" w:cs="Times New Roman"/>
          <w:sz w:val="24"/>
          <w:szCs w:val="24"/>
        </w:rPr>
        <w:tab/>
        <w:t>C Zhong, C Hu, D Ouyang, A K Dan, Y H Zhong, Z W Cai, Z Lin. Bioinspired construction of histidine-doped porphyrin covalent organic framework nanozyme with enhanced peroxidase-like activity for sensitive uric acid detection [J]. Chem Eng J, 2023, 477: 146979.</w:t>
      </w:r>
    </w:p>
    <w:p w14:paraId="5C80F954" w14:textId="77777777" w:rsidR="000A46C5" w:rsidRPr="000A46C5" w:rsidRDefault="000A46C5" w:rsidP="005712A1">
      <w:pPr>
        <w:pStyle w:val="EndNoteBibliography"/>
        <w:spacing w:line="360" w:lineRule="auto"/>
        <w:ind w:left="720" w:hanging="720"/>
        <w:rPr>
          <w:rFonts w:ascii="Times New Roman" w:hAnsi="Times New Roman" w:cs="Times New Roman"/>
          <w:sz w:val="24"/>
          <w:szCs w:val="24"/>
        </w:rPr>
      </w:pPr>
      <w:r w:rsidRPr="000A46C5">
        <w:rPr>
          <w:rFonts w:ascii="Times New Roman" w:hAnsi="Times New Roman" w:cs="Times New Roman"/>
          <w:sz w:val="24"/>
          <w:szCs w:val="24"/>
        </w:rPr>
        <w:t>[6]</w:t>
      </w:r>
      <w:r w:rsidRPr="000A46C5">
        <w:rPr>
          <w:rFonts w:ascii="Times New Roman" w:hAnsi="Times New Roman" w:cs="Times New Roman"/>
          <w:sz w:val="24"/>
          <w:szCs w:val="24"/>
        </w:rPr>
        <w:tab/>
        <w:t>Y Zhou, Y Wei, J S Ren, X G Qu. A chiral covalent organic framework (COF) nanozyme with ultrahigh enzymatic activity [J]. Mater Horiz, 2020, 7(12): 3291-7.</w:t>
      </w:r>
    </w:p>
    <w:p w14:paraId="5AE9F4B7" w14:textId="77777777" w:rsidR="000A46C5" w:rsidRPr="000A46C5" w:rsidRDefault="000A46C5" w:rsidP="005712A1">
      <w:pPr>
        <w:pStyle w:val="EndNoteBibliography"/>
        <w:spacing w:line="360" w:lineRule="auto"/>
        <w:ind w:left="720" w:hanging="720"/>
        <w:rPr>
          <w:rFonts w:ascii="Times New Roman" w:hAnsi="Times New Roman" w:cs="Times New Roman"/>
          <w:sz w:val="24"/>
          <w:szCs w:val="24"/>
        </w:rPr>
      </w:pPr>
      <w:r w:rsidRPr="000A46C5">
        <w:rPr>
          <w:rFonts w:ascii="Times New Roman" w:hAnsi="Times New Roman" w:cs="Times New Roman"/>
          <w:sz w:val="24"/>
          <w:szCs w:val="24"/>
        </w:rPr>
        <w:t>[7]</w:t>
      </w:r>
      <w:r w:rsidRPr="000A46C5">
        <w:rPr>
          <w:rFonts w:ascii="Times New Roman" w:hAnsi="Times New Roman" w:cs="Times New Roman"/>
          <w:sz w:val="24"/>
          <w:szCs w:val="24"/>
        </w:rPr>
        <w:tab/>
        <w:t>X L Mao, Y J Cai, Q X Luo, X Liu, Q Q Jiang, C R Zhang, L Zhang, R P Liang, J D Qiu. Europium(III) Functionalized Covalent Organic Framework as Sensitive and Selective Fluorescent Switch for Detection of Uranium [J]. Anal Chem, 2024, 96(12): 5037-45.</w:t>
      </w:r>
    </w:p>
    <w:p w14:paraId="5C5DEB38" w14:textId="77777777" w:rsidR="000A46C5" w:rsidRPr="000A46C5" w:rsidRDefault="000A46C5" w:rsidP="005712A1">
      <w:pPr>
        <w:pStyle w:val="EndNoteBibliography"/>
        <w:spacing w:line="360" w:lineRule="auto"/>
        <w:ind w:left="720" w:hanging="720"/>
        <w:rPr>
          <w:rFonts w:ascii="Times New Roman" w:hAnsi="Times New Roman" w:cs="Times New Roman"/>
          <w:sz w:val="24"/>
          <w:szCs w:val="24"/>
        </w:rPr>
      </w:pPr>
      <w:r w:rsidRPr="000A46C5">
        <w:rPr>
          <w:rFonts w:ascii="Times New Roman" w:hAnsi="Times New Roman" w:cs="Times New Roman"/>
          <w:sz w:val="24"/>
          <w:szCs w:val="24"/>
        </w:rPr>
        <w:t>[8]</w:t>
      </w:r>
      <w:r w:rsidRPr="000A46C5">
        <w:rPr>
          <w:rFonts w:ascii="Times New Roman" w:hAnsi="Times New Roman" w:cs="Times New Roman"/>
          <w:sz w:val="24"/>
          <w:szCs w:val="24"/>
        </w:rPr>
        <w:tab/>
        <w:t>W R Cui, W Xu, W B Qiu. Constructing an ultrastable imidazole covalent organic framework for concurrent uranium detection and recovery [J]. Ecotox Environ Safe, 2023, 252: 114639.</w:t>
      </w:r>
    </w:p>
    <w:p w14:paraId="1A159BE9" w14:textId="77777777" w:rsidR="000A46C5" w:rsidRPr="000A46C5" w:rsidRDefault="000A46C5" w:rsidP="005712A1">
      <w:pPr>
        <w:pStyle w:val="EndNoteBibliography"/>
        <w:spacing w:line="360" w:lineRule="auto"/>
        <w:ind w:left="720" w:hanging="720"/>
        <w:rPr>
          <w:rFonts w:ascii="Times New Roman" w:hAnsi="Times New Roman" w:cs="Times New Roman"/>
          <w:sz w:val="24"/>
          <w:szCs w:val="24"/>
        </w:rPr>
      </w:pPr>
      <w:r w:rsidRPr="000A46C5">
        <w:rPr>
          <w:rFonts w:ascii="Times New Roman" w:hAnsi="Times New Roman" w:cs="Times New Roman"/>
          <w:sz w:val="24"/>
          <w:szCs w:val="24"/>
        </w:rPr>
        <w:lastRenderedPageBreak/>
        <w:t>[9]</w:t>
      </w:r>
      <w:r w:rsidRPr="000A46C5">
        <w:rPr>
          <w:rFonts w:ascii="Times New Roman" w:hAnsi="Times New Roman" w:cs="Times New Roman"/>
          <w:sz w:val="24"/>
          <w:szCs w:val="24"/>
        </w:rPr>
        <w:tab/>
        <w:t>W H Guo, H L Xu, C Chen, X H Cao, J G Ma, Y H Liu. Determination of U(VI) by differential pulse stripping voltammetry using a polydopamine/reduced graphene oxide nanocomposite modified glassy carbon electrode [J]. Microchem J, 2022, 175: 107111.</w:t>
      </w:r>
    </w:p>
    <w:p w14:paraId="4A0B07F2" w14:textId="77777777" w:rsidR="000A46C5" w:rsidRPr="000A46C5" w:rsidRDefault="000A46C5" w:rsidP="005712A1">
      <w:pPr>
        <w:pStyle w:val="EndNoteBibliography"/>
        <w:spacing w:line="360" w:lineRule="auto"/>
        <w:ind w:left="720" w:hanging="720"/>
        <w:rPr>
          <w:rFonts w:ascii="Times New Roman" w:hAnsi="Times New Roman" w:cs="Times New Roman"/>
          <w:sz w:val="24"/>
          <w:szCs w:val="24"/>
        </w:rPr>
      </w:pPr>
      <w:r w:rsidRPr="000A46C5">
        <w:rPr>
          <w:rFonts w:ascii="Times New Roman" w:hAnsi="Times New Roman" w:cs="Times New Roman"/>
          <w:sz w:val="24"/>
          <w:szCs w:val="24"/>
        </w:rPr>
        <w:t>[10]</w:t>
      </w:r>
      <w:r w:rsidRPr="000A46C5">
        <w:rPr>
          <w:rFonts w:ascii="Times New Roman" w:hAnsi="Times New Roman" w:cs="Times New Roman"/>
          <w:sz w:val="24"/>
          <w:szCs w:val="24"/>
        </w:rPr>
        <w:tab/>
        <w:t>H Zeynali, M Motaghedifard, B F O Costa, H Akbari, Z Moghadam, M Babaeianfar, M J Rashidi. Design and development a novel uranyl sensor based on FePt/ZnIn2S4 core-shell semiconductor nanostructures [J]. Arab J Chem, 2020, 13(1): 1429-39.</w:t>
      </w:r>
    </w:p>
    <w:p w14:paraId="52E93DCC" w14:textId="56EA2806" w:rsidR="003A1C0A" w:rsidRPr="000A46C5" w:rsidRDefault="000A46C5" w:rsidP="005712A1">
      <w:pPr>
        <w:pStyle w:val="EndNoteBibliography"/>
        <w:spacing w:line="360" w:lineRule="auto"/>
        <w:ind w:left="720" w:hanging="720"/>
        <w:rPr>
          <w:rFonts w:ascii="Times New Roman" w:hAnsi="Times New Roman" w:cs="Times New Roman"/>
          <w:sz w:val="24"/>
          <w:szCs w:val="24"/>
        </w:rPr>
      </w:pPr>
      <w:r w:rsidRPr="000A46C5">
        <w:rPr>
          <w:rFonts w:ascii="Times New Roman" w:hAnsi="Times New Roman" w:cs="Times New Roman"/>
          <w:sz w:val="24"/>
          <w:szCs w:val="24"/>
        </w:rPr>
        <w:t>[11]</w:t>
      </w:r>
      <w:r w:rsidRPr="000A46C5">
        <w:rPr>
          <w:rFonts w:ascii="Times New Roman" w:hAnsi="Times New Roman" w:cs="Times New Roman"/>
          <w:sz w:val="24"/>
          <w:szCs w:val="24"/>
        </w:rPr>
        <w:tab/>
        <w:t>Z X Zhou, W T He, H Chao, H Wang, P Su, J Y Song, Y Yang. Insertion of Hemin into Metal-Organic Frameworks: Mimicking Natural Peroxidase Microenvironment for the Rapid Ultrasensitive Detection of Uranium [J]. Anal Chem, 2022, 94(18): 6833-41.</w:t>
      </w:r>
    </w:p>
    <w:sectPr w:rsidR="003A1C0A" w:rsidRPr="000A46C5" w:rsidSect="000A46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F2520"/>
    <w:multiLevelType w:val="multilevel"/>
    <w:tmpl w:val="8C763526"/>
    <w:lvl w:ilvl="0">
      <w:start w:val="1"/>
      <w:numFmt w:val="decimal"/>
      <w:lvlText w:val="%1."/>
      <w:lvlJc w:val="left"/>
      <w:pPr>
        <w:ind w:left="425" w:hanging="425"/>
      </w:pPr>
    </w:lvl>
    <w:lvl w:ilvl="1">
      <w:start w:val="1"/>
      <w:numFmt w:val="decimal"/>
      <w:lvlText w:val="%1.%2."/>
      <w:lvlJc w:val="left"/>
      <w:pPr>
        <w:ind w:left="567" w:hanging="567"/>
      </w:pPr>
      <w:rPr>
        <w:i w:val="0"/>
        <w:iCs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745424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A46C5"/>
    <w:rsid w:val="00042D1F"/>
    <w:rsid w:val="000A46C5"/>
    <w:rsid w:val="000A6A8D"/>
    <w:rsid w:val="000C2A9E"/>
    <w:rsid w:val="001161B1"/>
    <w:rsid w:val="00145213"/>
    <w:rsid w:val="0017402E"/>
    <w:rsid w:val="00181B39"/>
    <w:rsid w:val="001947D1"/>
    <w:rsid w:val="00195AB5"/>
    <w:rsid w:val="001B5131"/>
    <w:rsid w:val="001B6B8E"/>
    <w:rsid w:val="001C23D7"/>
    <w:rsid w:val="001C316C"/>
    <w:rsid w:val="001C5EEC"/>
    <w:rsid w:val="001D2921"/>
    <w:rsid w:val="001D7B4A"/>
    <w:rsid w:val="00227C1F"/>
    <w:rsid w:val="00264D97"/>
    <w:rsid w:val="002672A8"/>
    <w:rsid w:val="00293CF5"/>
    <w:rsid w:val="002B5D83"/>
    <w:rsid w:val="002D4670"/>
    <w:rsid w:val="002F3EB7"/>
    <w:rsid w:val="0030692C"/>
    <w:rsid w:val="0032344C"/>
    <w:rsid w:val="00324A18"/>
    <w:rsid w:val="00343C42"/>
    <w:rsid w:val="00354F47"/>
    <w:rsid w:val="003A1C0A"/>
    <w:rsid w:val="003C07EF"/>
    <w:rsid w:val="003C16F5"/>
    <w:rsid w:val="003F4232"/>
    <w:rsid w:val="00467B00"/>
    <w:rsid w:val="00482410"/>
    <w:rsid w:val="0049159C"/>
    <w:rsid w:val="005034CE"/>
    <w:rsid w:val="005712A1"/>
    <w:rsid w:val="005C7B9C"/>
    <w:rsid w:val="005E27EA"/>
    <w:rsid w:val="005F18B7"/>
    <w:rsid w:val="00650D6E"/>
    <w:rsid w:val="0066171A"/>
    <w:rsid w:val="00661860"/>
    <w:rsid w:val="006643E0"/>
    <w:rsid w:val="006655E7"/>
    <w:rsid w:val="006A0983"/>
    <w:rsid w:val="006A2B0F"/>
    <w:rsid w:val="006A5B16"/>
    <w:rsid w:val="006A6876"/>
    <w:rsid w:val="007135C1"/>
    <w:rsid w:val="0074211B"/>
    <w:rsid w:val="007B2BAF"/>
    <w:rsid w:val="007E1241"/>
    <w:rsid w:val="00821C4D"/>
    <w:rsid w:val="00851254"/>
    <w:rsid w:val="00851C0C"/>
    <w:rsid w:val="00897036"/>
    <w:rsid w:val="008C4EA4"/>
    <w:rsid w:val="008F3BF7"/>
    <w:rsid w:val="008F4E15"/>
    <w:rsid w:val="00933F7C"/>
    <w:rsid w:val="009F5944"/>
    <w:rsid w:val="00A06427"/>
    <w:rsid w:val="00A303C4"/>
    <w:rsid w:val="00A34CE3"/>
    <w:rsid w:val="00AB2141"/>
    <w:rsid w:val="00AC09FF"/>
    <w:rsid w:val="00AD39DE"/>
    <w:rsid w:val="00AE29D2"/>
    <w:rsid w:val="00B17D2A"/>
    <w:rsid w:val="00BE1F15"/>
    <w:rsid w:val="00BE1FF8"/>
    <w:rsid w:val="00BF54AB"/>
    <w:rsid w:val="00BF6D4F"/>
    <w:rsid w:val="00C02776"/>
    <w:rsid w:val="00C11384"/>
    <w:rsid w:val="00C253D6"/>
    <w:rsid w:val="00C4064E"/>
    <w:rsid w:val="00C77AC8"/>
    <w:rsid w:val="00C87E3D"/>
    <w:rsid w:val="00CC60BF"/>
    <w:rsid w:val="00CC62D0"/>
    <w:rsid w:val="00D212A1"/>
    <w:rsid w:val="00D4254F"/>
    <w:rsid w:val="00D97CF2"/>
    <w:rsid w:val="00DA1090"/>
    <w:rsid w:val="00DD6273"/>
    <w:rsid w:val="00DE5595"/>
    <w:rsid w:val="00DF5D6F"/>
    <w:rsid w:val="00E33189"/>
    <w:rsid w:val="00E7310A"/>
    <w:rsid w:val="00E75AB5"/>
    <w:rsid w:val="00F65CBB"/>
    <w:rsid w:val="00F82B7F"/>
    <w:rsid w:val="00FE36AC"/>
    <w:rsid w:val="00FF03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718CF"/>
  <w15:chartTrackingRefBased/>
  <w15:docId w15:val="{42D94D99-94A2-408B-A601-AE9FC55D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46C5"/>
    <w:pPr>
      <w:widowControl w:val="0"/>
      <w:jc w:val="both"/>
    </w:pPr>
  </w:style>
  <w:style w:type="paragraph" w:styleId="1">
    <w:name w:val="heading 1"/>
    <w:basedOn w:val="a"/>
    <w:next w:val="a"/>
    <w:link w:val="10"/>
    <w:uiPriority w:val="9"/>
    <w:qFormat/>
    <w:rsid w:val="000A46C5"/>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uiPriority w:val="9"/>
    <w:semiHidden/>
    <w:unhideWhenUsed/>
    <w:qFormat/>
    <w:rsid w:val="000A46C5"/>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semiHidden/>
    <w:unhideWhenUsed/>
    <w:qFormat/>
    <w:rsid w:val="000A46C5"/>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rsid w:val="000A46C5"/>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0"/>
    <w:uiPriority w:val="9"/>
    <w:semiHidden/>
    <w:unhideWhenUsed/>
    <w:qFormat/>
    <w:rsid w:val="000A46C5"/>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0"/>
    <w:uiPriority w:val="9"/>
    <w:semiHidden/>
    <w:unhideWhenUsed/>
    <w:qFormat/>
    <w:rsid w:val="000A46C5"/>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rsid w:val="000A46C5"/>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A46C5"/>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A46C5"/>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A46C5"/>
    <w:rPr>
      <w:rFonts w:asciiTheme="majorHAnsi" w:eastAsiaTheme="majorEastAsia" w:hAnsiTheme="majorHAnsi" w:cstheme="majorBidi"/>
      <w:color w:val="365F91" w:themeColor="accent1" w:themeShade="BF"/>
      <w:sz w:val="48"/>
      <w:szCs w:val="48"/>
    </w:rPr>
  </w:style>
  <w:style w:type="character" w:customStyle="1" w:styleId="20">
    <w:name w:val="标题 2 字符"/>
    <w:basedOn w:val="a0"/>
    <w:link w:val="2"/>
    <w:uiPriority w:val="9"/>
    <w:semiHidden/>
    <w:rsid w:val="000A46C5"/>
    <w:rPr>
      <w:rFonts w:asciiTheme="majorHAnsi" w:eastAsiaTheme="majorEastAsia" w:hAnsiTheme="majorHAnsi" w:cstheme="majorBidi"/>
      <w:color w:val="365F91" w:themeColor="accent1" w:themeShade="BF"/>
      <w:sz w:val="40"/>
      <w:szCs w:val="40"/>
    </w:rPr>
  </w:style>
  <w:style w:type="character" w:customStyle="1" w:styleId="30">
    <w:name w:val="标题 3 字符"/>
    <w:basedOn w:val="a0"/>
    <w:link w:val="3"/>
    <w:uiPriority w:val="9"/>
    <w:semiHidden/>
    <w:rsid w:val="000A46C5"/>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rsid w:val="000A46C5"/>
    <w:rPr>
      <w:rFonts w:cstheme="majorBidi"/>
      <w:color w:val="365F91" w:themeColor="accent1" w:themeShade="BF"/>
      <w:sz w:val="28"/>
      <w:szCs w:val="28"/>
    </w:rPr>
  </w:style>
  <w:style w:type="character" w:customStyle="1" w:styleId="50">
    <w:name w:val="标题 5 字符"/>
    <w:basedOn w:val="a0"/>
    <w:link w:val="5"/>
    <w:uiPriority w:val="9"/>
    <w:semiHidden/>
    <w:rsid w:val="000A46C5"/>
    <w:rPr>
      <w:rFonts w:cstheme="majorBidi"/>
      <w:color w:val="365F91" w:themeColor="accent1" w:themeShade="BF"/>
      <w:sz w:val="24"/>
      <w:szCs w:val="24"/>
    </w:rPr>
  </w:style>
  <w:style w:type="character" w:customStyle="1" w:styleId="60">
    <w:name w:val="标题 6 字符"/>
    <w:basedOn w:val="a0"/>
    <w:link w:val="6"/>
    <w:uiPriority w:val="9"/>
    <w:semiHidden/>
    <w:rsid w:val="000A46C5"/>
    <w:rPr>
      <w:rFonts w:cstheme="majorBidi"/>
      <w:b/>
      <w:bCs/>
      <w:color w:val="365F91" w:themeColor="accent1" w:themeShade="BF"/>
    </w:rPr>
  </w:style>
  <w:style w:type="character" w:customStyle="1" w:styleId="70">
    <w:name w:val="标题 7 字符"/>
    <w:basedOn w:val="a0"/>
    <w:link w:val="7"/>
    <w:uiPriority w:val="9"/>
    <w:semiHidden/>
    <w:rsid w:val="000A46C5"/>
    <w:rPr>
      <w:rFonts w:cstheme="majorBidi"/>
      <w:b/>
      <w:bCs/>
      <w:color w:val="595959" w:themeColor="text1" w:themeTint="A6"/>
    </w:rPr>
  </w:style>
  <w:style w:type="character" w:customStyle="1" w:styleId="80">
    <w:name w:val="标题 8 字符"/>
    <w:basedOn w:val="a0"/>
    <w:link w:val="8"/>
    <w:uiPriority w:val="9"/>
    <w:semiHidden/>
    <w:rsid w:val="000A46C5"/>
    <w:rPr>
      <w:rFonts w:cstheme="majorBidi"/>
      <w:color w:val="595959" w:themeColor="text1" w:themeTint="A6"/>
    </w:rPr>
  </w:style>
  <w:style w:type="character" w:customStyle="1" w:styleId="90">
    <w:name w:val="标题 9 字符"/>
    <w:basedOn w:val="a0"/>
    <w:link w:val="9"/>
    <w:uiPriority w:val="9"/>
    <w:semiHidden/>
    <w:rsid w:val="000A46C5"/>
    <w:rPr>
      <w:rFonts w:eastAsiaTheme="majorEastAsia" w:cstheme="majorBidi"/>
      <w:color w:val="595959" w:themeColor="text1" w:themeTint="A6"/>
    </w:rPr>
  </w:style>
  <w:style w:type="paragraph" w:styleId="a3">
    <w:name w:val="Title"/>
    <w:basedOn w:val="a"/>
    <w:next w:val="a"/>
    <w:link w:val="a4"/>
    <w:uiPriority w:val="10"/>
    <w:qFormat/>
    <w:rsid w:val="000A46C5"/>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A46C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A46C5"/>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A46C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A46C5"/>
    <w:pPr>
      <w:spacing w:before="160" w:after="160"/>
      <w:jc w:val="center"/>
    </w:pPr>
    <w:rPr>
      <w:i/>
      <w:iCs/>
      <w:color w:val="404040" w:themeColor="text1" w:themeTint="BF"/>
    </w:rPr>
  </w:style>
  <w:style w:type="character" w:customStyle="1" w:styleId="a8">
    <w:name w:val="引用 字符"/>
    <w:basedOn w:val="a0"/>
    <w:link w:val="a7"/>
    <w:uiPriority w:val="29"/>
    <w:rsid w:val="000A46C5"/>
    <w:rPr>
      <w:i/>
      <w:iCs/>
      <w:color w:val="404040" w:themeColor="text1" w:themeTint="BF"/>
    </w:rPr>
  </w:style>
  <w:style w:type="paragraph" w:styleId="a9">
    <w:name w:val="List Paragraph"/>
    <w:basedOn w:val="a"/>
    <w:uiPriority w:val="34"/>
    <w:qFormat/>
    <w:rsid w:val="000A46C5"/>
    <w:pPr>
      <w:ind w:firstLineChars="200" w:firstLine="420"/>
    </w:pPr>
  </w:style>
  <w:style w:type="character" w:styleId="aa">
    <w:name w:val="Intense Emphasis"/>
    <w:basedOn w:val="a0"/>
    <w:uiPriority w:val="21"/>
    <w:qFormat/>
    <w:rsid w:val="000A46C5"/>
    <w:rPr>
      <w:i/>
      <w:iCs/>
      <w:color w:val="365F91" w:themeColor="accent1" w:themeShade="BF"/>
    </w:rPr>
  </w:style>
  <w:style w:type="paragraph" w:styleId="ab">
    <w:name w:val="Intense Quote"/>
    <w:basedOn w:val="a"/>
    <w:next w:val="a"/>
    <w:link w:val="ac"/>
    <w:uiPriority w:val="30"/>
    <w:qFormat/>
    <w:rsid w:val="000A46C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c">
    <w:name w:val="明显引用 字符"/>
    <w:basedOn w:val="a0"/>
    <w:link w:val="ab"/>
    <w:uiPriority w:val="30"/>
    <w:rsid w:val="000A46C5"/>
    <w:rPr>
      <w:i/>
      <w:iCs/>
      <w:color w:val="365F91" w:themeColor="accent1" w:themeShade="BF"/>
    </w:rPr>
  </w:style>
  <w:style w:type="character" w:styleId="ad">
    <w:name w:val="Intense Reference"/>
    <w:basedOn w:val="a0"/>
    <w:uiPriority w:val="32"/>
    <w:qFormat/>
    <w:rsid w:val="000A46C5"/>
    <w:rPr>
      <w:b/>
      <w:bCs/>
      <w:smallCaps/>
      <w:color w:val="365F91" w:themeColor="accent1" w:themeShade="BF"/>
      <w:spacing w:val="5"/>
    </w:rPr>
  </w:style>
  <w:style w:type="paragraph" w:styleId="ae">
    <w:name w:val="header"/>
    <w:basedOn w:val="a"/>
    <w:link w:val="af"/>
    <w:uiPriority w:val="99"/>
    <w:unhideWhenUsed/>
    <w:rsid w:val="000A46C5"/>
    <w:pPr>
      <w:tabs>
        <w:tab w:val="center" w:pos="4153"/>
        <w:tab w:val="right" w:pos="8306"/>
      </w:tabs>
      <w:snapToGrid w:val="0"/>
      <w:jc w:val="center"/>
    </w:pPr>
    <w:rPr>
      <w:sz w:val="18"/>
      <w:szCs w:val="18"/>
    </w:rPr>
  </w:style>
  <w:style w:type="character" w:customStyle="1" w:styleId="af">
    <w:name w:val="页眉 字符"/>
    <w:basedOn w:val="a0"/>
    <w:link w:val="ae"/>
    <w:uiPriority w:val="99"/>
    <w:rsid w:val="000A46C5"/>
    <w:rPr>
      <w:sz w:val="18"/>
      <w:szCs w:val="18"/>
    </w:rPr>
  </w:style>
  <w:style w:type="paragraph" w:styleId="af0">
    <w:name w:val="footer"/>
    <w:basedOn w:val="a"/>
    <w:link w:val="af1"/>
    <w:uiPriority w:val="99"/>
    <w:unhideWhenUsed/>
    <w:rsid w:val="000A46C5"/>
    <w:pPr>
      <w:tabs>
        <w:tab w:val="center" w:pos="4153"/>
        <w:tab w:val="right" w:pos="8306"/>
      </w:tabs>
      <w:snapToGrid w:val="0"/>
      <w:jc w:val="left"/>
    </w:pPr>
    <w:rPr>
      <w:sz w:val="18"/>
      <w:szCs w:val="18"/>
    </w:rPr>
  </w:style>
  <w:style w:type="character" w:customStyle="1" w:styleId="af1">
    <w:name w:val="页脚 字符"/>
    <w:basedOn w:val="a0"/>
    <w:link w:val="af0"/>
    <w:uiPriority w:val="99"/>
    <w:rsid w:val="000A46C5"/>
    <w:rPr>
      <w:sz w:val="18"/>
      <w:szCs w:val="18"/>
    </w:rPr>
  </w:style>
  <w:style w:type="paragraph" w:customStyle="1" w:styleId="EndNoteBibliographyTitle">
    <w:name w:val="EndNote Bibliography Title"/>
    <w:basedOn w:val="a"/>
    <w:link w:val="EndNoteBibliographyTitle0"/>
    <w:rsid w:val="000A46C5"/>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0A46C5"/>
    <w:rPr>
      <w:rFonts w:ascii="Calibri" w:hAnsi="Calibri" w:cs="Calibri"/>
      <w:noProof/>
      <w:sz w:val="20"/>
    </w:rPr>
  </w:style>
  <w:style w:type="paragraph" w:customStyle="1" w:styleId="EndNoteBibliography">
    <w:name w:val="EndNote Bibliography"/>
    <w:basedOn w:val="a"/>
    <w:link w:val="EndNoteBibliography0"/>
    <w:rsid w:val="000A46C5"/>
    <w:pPr>
      <w:jc w:val="left"/>
    </w:pPr>
    <w:rPr>
      <w:rFonts w:ascii="Calibri" w:hAnsi="Calibri" w:cs="Calibri"/>
      <w:noProof/>
      <w:sz w:val="20"/>
    </w:rPr>
  </w:style>
  <w:style w:type="character" w:customStyle="1" w:styleId="EndNoteBibliography0">
    <w:name w:val="EndNote Bibliography 字符"/>
    <w:basedOn w:val="a0"/>
    <w:link w:val="EndNoteBibliography"/>
    <w:rsid w:val="000A46C5"/>
    <w:rPr>
      <w:rFonts w:ascii="Calibri" w:hAnsi="Calibri" w:cs="Calibri"/>
      <w:noProof/>
      <w:sz w:val="20"/>
    </w:rPr>
  </w:style>
  <w:style w:type="table" w:styleId="af2">
    <w:name w:val="Table Grid"/>
    <w:basedOn w:val="a1"/>
    <w:uiPriority w:val="59"/>
    <w:rsid w:val="000A4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0A46C5"/>
    <w:rPr>
      <w:sz w:val="18"/>
      <w:szCs w:val="18"/>
    </w:rPr>
  </w:style>
  <w:style w:type="character" w:customStyle="1" w:styleId="af4">
    <w:name w:val="批注框文本 字符"/>
    <w:basedOn w:val="a0"/>
    <w:link w:val="af3"/>
    <w:uiPriority w:val="99"/>
    <w:semiHidden/>
    <w:rsid w:val="000A46C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1729</Words>
  <Characters>9857</Characters>
  <Application>Microsoft Office Word</Application>
  <DocSecurity>0</DocSecurity>
  <Lines>82</Lines>
  <Paragraphs>23</Paragraphs>
  <ScaleCrop>false</ScaleCrop>
  <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dc:creator>
  <cp:keywords/>
  <dc:description/>
  <cp:lastModifiedBy>MACBOOK</cp:lastModifiedBy>
  <cp:revision>3</cp:revision>
  <dcterms:created xsi:type="dcterms:W3CDTF">2025-02-02T04:12:00Z</dcterms:created>
  <dcterms:modified xsi:type="dcterms:W3CDTF">2025-02-02T06:54:00Z</dcterms:modified>
</cp:coreProperties>
</file>