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7C074" w14:textId="77777777" w:rsidR="00E966D2" w:rsidRPr="00D81F65" w:rsidRDefault="00E966D2" w:rsidP="00E966D2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6783" w:dyaOrig="4598" w14:anchorId="7B7421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5pt;height:174.75pt" o:ole="">
            <v:imagedata r:id="rId5" o:title=""/>
          </v:shape>
          <o:OLEObject Type="Embed" ProgID="Prism9.Document" ShapeID="_x0000_i1025" DrawAspect="Content" ObjectID="_1800362995" r:id="rId6"/>
        </w:object>
      </w:r>
    </w:p>
    <w:p w14:paraId="577EE666" w14:textId="77777777" w:rsidR="00E966D2" w:rsidRPr="00D81F65" w:rsidRDefault="00E966D2" w:rsidP="00E966D2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6406" w:dyaOrig="4010" w14:anchorId="3133B927">
          <v:shape id="_x0000_i1026" type="#_x0000_t75" style="width:267.75pt;height:164.25pt" o:ole="">
            <v:imagedata r:id="rId7" o:title=""/>
          </v:shape>
          <o:OLEObject Type="Embed" ProgID="Prism9.Document" ShapeID="_x0000_i1026" DrawAspect="Content" ObjectID="_1800362996" r:id="rId8"/>
        </w:object>
      </w:r>
    </w:p>
    <w:p w14:paraId="3A59CE9A" w14:textId="77777777" w:rsidR="00E966D2" w:rsidRDefault="00E966D2" w:rsidP="00E966D2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7303" w:dyaOrig="4841" w14:anchorId="2852E390">
          <v:shape id="_x0000_i1027" type="#_x0000_t75" style="width:293.25pt;height:195pt" o:ole="">
            <v:imagedata r:id="rId9" o:title=""/>
          </v:shape>
          <o:OLEObject Type="Embed" ProgID="Prism9.Document" ShapeID="_x0000_i1027" DrawAspect="Content" ObjectID="_1800362997" r:id="rId10"/>
        </w:object>
      </w:r>
    </w:p>
    <w:p w14:paraId="2257CF8D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D81F65">
        <w:rPr>
          <w:rFonts w:ascii="Times New Roman" w:hAnsi="Times New Roman" w:cs="Times New Roman"/>
          <w:b/>
          <w:bCs/>
        </w:rPr>
        <w:t>igure 1.</w:t>
      </w:r>
      <w:r w:rsidRPr="00D81F65">
        <w:rPr>
          <w:rFonts w:ascii="Times New Roman" w:hAnsi="Times New Roman" w:cs="Times New Roman"/>
        </w:rPr>
        <w:t xml:space="preserve"> Comparison of liver chemistry between recurrence group and no recurrence group, among beyond Milan</w:t>
      </w:r>
    </w:p>
    <w:p w14:paraId="1DC21364" w14:textId="77777777" w:rsidR="00E966D2" w:rsidRPr="00D81F65" w:rsidRDefault="00E966D2" w:rsidP="00E966D2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br w:type="page"/>
      </w:r>
    </w:p>
    <w:p w14:paraId="396E9B86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9583" w:dyaOrig="4594" w14:anchorId="0EF0CF5A">
          <v:shape id="_x0000_i1028" type="#_x0000_t75" style="width:210.75pt;height:97.5pt" o:ole="">
            <v:imagedata r:id="rId11" o:title=""/>
          </v:shape>
          <o:OLEObject Type="Embed" ProgID="Prism9.Document" ShapeID="_x0000_i1028" DrawAspect="Content" ObjectID="_1800362998" r:id="rId12"/>
        </w:object>
      </w:r>
      <w:r w:rsidRPr="00D81F65">
        <w:rPr>
          <w:rFonts w:ascii="Times New Roman" w:hAnsi="Times New Roman" w:cs="Times New Roman"/>
          <w14:ligatures w14:val="standardContextual"/>
        </w:rPr>
        <w:t xml:space="preserve"> </w:t>
      </w:r>
      <w:r w:rsidRPr="00D81F65">
        <w:rPr>
          <w:rFonts w:ascii="Times New Roman" w:hAnsi="Times New Roman" w:cs="Times New Roman"/>
        </w:rPr>
        <w:object w:dxaOrig="8369" w:dyaOrig="4279" w14:anchorId="474F6079">
          <v:shape id="_x0000_i1029" type="#_x0000_t75" style="width:210.75pt;height:108pt" o:ole="">
            <v:imagedata r:id="rId13" o:title=""/>
          </v:shape>
          <o:OLEObject Type="Embed" ProgID="Prism9.Document" ShapeID="_x0000_i1029" DrawAspect="Content" ObjectID="_1800362999" r:id="rId14"/>
        </w:object>
      </w:r>
    </w:p>
    <w:p w14:paraId="6351465C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9459" w:dyaOrig="4279" w14:anchorId="4B34E550">
          <v:shape id="_x0000_i1030" type="#_x0000_t75" style="width:205.5pt;height:93pt" o:ole="">
            <v:imagedata r:id="rId15" o:title=""/>
          </v:shape>
          <o:OLEObject Type="Embed" ProgID="Prism9.Document" ShapeID="_x0000_i1030" DrawAspect="Content" ObjectID="_1800363000" r:id="rId16"/>
        </w:object>
      </w:r>
      <w:r w:rsidRPr="00D81F65">
        <w:rPr>
          <w:rFonts w:ascii="Times New Roman" w:hAnsi="Times New Roman" w:cs="Times New Roman"/>
          <w14:ligatures w14:val="standardContextual"/>
        </w:rPr>
        <w:t xml:space="preserve"> </w:t>
      </w:r>
      <w:r w:rsidRPr="00D81F65">
        <w:rPr>
          <w:rFonts w:ascii="Times New Roman" w:hAnsi="Times New Roman" w:cs="Times New Roman"/>
        </w:rPr>
        <w:object w:dxaOrig="8379" w:dyaOrig="4255" w14:anchorId="474E025B">
          <v:shape id="_x0000_i1031" type="#_x0000_t75" style="width:210.75pt;height:108pt" o:ole="">
            <v:imagedata r:id="rId17" o:title=""/>
          </v:shape>
          <o:OLEObject Type="Embed" ProgID="Prism9.Document" ShapeID="_x0000_i1031" DrawAspect="Content" ObjectID="_1800363001" r:id="rId18"/>
        </w:object>
      </w:r>
    </w:p>
    <w:p w14:paraId="400519BA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9444" w:dyaOrig="4272" w14:anchorId="16BD442A">
          <v:shape id="_x0000_i1032" type="#_x0000_t75" style="width:206.25pt;height:92.25pt" o:ole="">
            <v:imagedata r:id="rId19" o:title=""/>
          </v:shape>
          <o:OLEObject Type="Embed" ProgID="Prism9.Document" ShapeID="_x0000_i1032" DrawAspect="Content" ObjectID="_1800363002" r:id="rId20"/>
        </w:object>
      </w:r>
      <w:r w:rsidRPr="00D81F65">
        <w:rPr>
          <w:rFonts w:ascii="Times New Roman" w:hAnsi="Times New Roman" w:cs="Times New Roman"/>
          <w14:ligatures w14:val="standardContextual"/>
        </w:rPr>
        <w:t xml:space="preserve"> </w:t>
      </w:r>
      <w:r w:rsidRPr="00D81F65">
        <w:rPr>
          <w:rFonts w:ascii="Times New Roman" w:hAnsi="Times New Roman" w:cs="Times New Roman"/>
        </w:rPr>
        <w:object w:dxaOrig="7982" w:dyaOrig="4255" w14:anchorId="75ECB055">
          <v:shape id="_x0000_i1033" type="#_x0000_t75" style="width:195.75pt;height:102.75pt" o:ole="">
            <v:imagedata r:id="rId21" o:title=""/>
          </v:shape>
          <o:OLEObject Type="Embed" ProgID="Prism9.Document" ShapeID="_x0000_i1033" DrawAspect="Content" ObjectID="_1800363003" r:id="rId22"/>
        </w:object>
      </w:r>
    </w:p>
    <w:p w14:paraId="1EB8DA66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9698" w:dyaOrig="4275" w14:anchorId="1435AC1C">
          <v:shape id="_x0000_i1034" type="#_x0000_t75" style="width:210.75pt;height:92.25pt" o:ole="">
            <v:imagedata r:id="rId23" o:title=""/>
          </v:shape>
          <o:OLEObject Type="Embed" ProgID="Prism9.Document" ShapeID="_x0000_i1034" DrawAspect="Content" ObjectID="_1800363004" r:id="rId24"/>
        </w:object>
      </w:r>
      <w:r w:rsidRPr="00D81F65">
        <w:rPr>
          <w:rFonts w:ascii="Times New Roman" w:hAnsi="Times New Roman" w:cs="Times New Roman"/>
          <w14:ligatures w14:val="standardContextual"/>
        </w:rPr>
        <w:t xml:space="preserve"> </w:t>
      </w:r>
      <w:r w:rsidRPr="00D81F65">
        <w:rPr>
          <w:rFonts w:ascii="Times New Roman" w:hAnsi="Times New Roman" w:cs="Times New Roman"/>
        </w:rPr>
        <w:object w:dxaOrig="8511" w:dyaOrig="4255" w14:anchorId="6A187221">
          <v:shape id="_x0000_i1035" type="#_x0000_t75" style="width:200.25pt;height:97.5pt" o:ole="">
            <v:imagedata r:id="rId25" o:title=""/>
          </v:shape>
          <o:OLEObject Type="Embed" ProgID="Prism9.Document" ShapeID="_x0000_i1035" DrawAspect="Content" ObjectID="_1800363005" r:id="rId26"/>
        </w:object>
      </w:r>
    </w:p>
    <w:p w14:paraId="349F4F20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object w:dxaOrig="9403" w:dyaOrig="4277" w14:anchorId="46DF5286">
          <v:shape id="_x0000_i1036" type="#_x0000_t75" style="width:201pt;height:92.25pt" o:ole="">
            <v:imagedata r:id="rId27" o:title=""/>
          </v:shape>
          <o:OLEObject Type="Embed" ProgID="Prism9.Document" ShapeID="_x0000_i1036" DrawAspect="Content" ObjectID="_1800363006" r:id="rId28"/>
        </w:object>
      </w:r>
      <w:r w:rsidRPr="00D81F65">
        <w:rPr>
          <w:rFonts w:ascii="Times New Roman" w:hAnsi="Times New Roman" w:cs="Times New Roman"/>
          <w14:ligatures w14:val="standardContextual"/>
        </w:rPr>
        <w:t xml:space="preserve"> </w:t>
      </w:r>
      <w:r w:rsidRPr="00D81F65">
        <w:rPr>
          <w:rFonts w:ascii="Times New Roman" w:hAnsi="Times New Roman" w:cs="Times New Roman"/>
        </w:rPr>
        <w:object w:dxaOrig="8347" w:dyaOrig="4255" w14:anchorId="006DC629">
          <v:shape id="_x0000_i1037" type="#_x0000_t75" style="width:205.5pt;height:102.75pt" o:ole="">
            <v:imagedata r:id="rId29" o:title=""/>
          </v:shape>
          <o:OLEObject Type="Embed" ProgID="Prism9.Document" ShapeID="_x0000_i1037" DrawAspect="Content" ObjectID="_1800363007" r:id="rId30"/>
        </w:object>
      </w:r>
    </w:p>
    <w:p w14:paraId="5EAB50D2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D81F65">
        <w:rPr>
          <w:rFonts w:ascii="Times New Roman" w:hAnsi="Times New Roman" w:cs="Times New Roman"/>
          <w:b/>
          <w:bCs/>
        </w:rPr>
        <w:t>igure 2.</w:t>
      </w:r>
      <w:r w:rsidRPr="00D81F65">
        <w:rPr>
          <w:rFonts w:ascii="Times New Roman" w:hAnsi="Times New Roman" w:cs="Times New Roman"/>
        </w:rPr>
        <w:t xml:space="preserve"> Comparison of plasma cytokines between recurrence group and no recurrence group, among beyond Milan</w:t>
      </w:r>
    </w:p>
    <w:p w14:paraId="6D486C17" w14:textId="77777777" w:rsidR="00E966D2" w:rsidRPr="00D81F65" w:rsidRDefault="00E966D2" w:rsidP="00E966D2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0E67AC77" w14:textId="77777777" w:rsidR="00E966D2" w:rsidRPr="00D81F65" w:rsidRDefault="00E966D2" w:rsidP="00E966D2">
      <w:pPr>
        <w:rPr>
          <w:rFonts w:ascii="Times New Roman" w:hAnsi="Times New Roman" w:cs="Times New Roman"/>
        </w:rPr>
      </w:pPr>
      <w:r w:rsidRPr="00D81F65">
        <w:rPr>
          <w:rFonts w:ascii="Times New Roman" w:hAnsi="Times New Roman" w:cs="Times New Roman"/>
        </w:rPr>
        <w:br w:type="page"/>
      </w:r>
    </w:p>
    <w:tbl>
      <w:tblPr>
        <w:tblStyle w:val="a5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6"/>
        <w:gridCol w:w="1766"/>
        <w:gridCol w:w="2093"/>
        <w:gridCol w:w="849"/>
      </w:tblGrid>
      <w:tr w:rsidR="00E966D2" w:rsidRPr="00D81F65" w14:paraId="1A25BEF2" w14:textId="77777777" w:rsidTr="002E42A9">
        <w:tc>
          <w:tcPr>
            <w:tcW w:w="3796" w:type="dxa"/>
            <w:tcBorders>
              <w:top w:val="single" w:sz="18" w:space="0" w:color="auto"/>
              <w:bottom w:val="single" w:sz="18" w:space="0" w:color="auto"/>
            </w:tcBorders>
          </w:tcPr>
          <w:p w14:paraId="291C7916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</w:p>
        </w:tc>
        <w:tc>
          <w:tcPr>
            <w:tcW w:w="1766" w:type="dxa"/>
            <w:tcBorders>
              <w:top w:val="single" w:sz="18" w:space="0" w:color="auto"/>
              <w:bottom w:val="single" w:sz="18" w:space="0" w:color="auto"/>
            </w:tcBorders>
          </w:tcPr>
          <w:p w14:paraId="445E009B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No recurrence</w:t>
            </w:r>
          </w:p>
          <w:p w14:paraId="654A1C50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(n=8)</w:t>
            </w:r>
          </w:p>
        </w:tc>
        <w:tc>
          <w:tcPr>
            <w:tcW w:w="2093" w:type="dxa"/>
            <w:tcBorders>
              <w:top w:val="single" w:sz="18" w:space="0" w:color="auto"/>
              <w:bottom w:val="single" w:sz="18" w:space="0" w:color="auto"/>
            </w:tcBorders>
          </w:tcPr>
          <w:p w14:paraId="672D1961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Recurrence</w:t>
            </w:r>
          </w:p>
          <w:p w14:paraId="483382CB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(n=4)</w:t>
            </w:r>
          </w:p>
        </w:tc>
        <w:tc>
          <w:tcPr>
            <w:tcW w:w="849" w:type="dxa"/>
            <w:tcBorders>
              <w:top w:val="single" w:sz="18" w:space="0" w:color="auto"/>
              <w:bottom w:val="single" w:sz="18" w:space="0" w:color="auto"/>
            </w:tcBorders>
          </w:tcPr>
          <w:p w14:paraId="7B2D7671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P-value</w:t>
            </w:r>
          </w:p>
        </w:tc>
      </w:tr>
      <w:tr w:rsidR="00E966D2" w:rsidRPr="00D81F65" w14:paraId="53F8CB0D" w14:textId="77777777" w:rsidTr="002E42A9">
        <w:tc>
          <w:tcPr>
            <w:tcW w:w="3796" w:type="dxa"/>
            <w:tcBorders>
              <w:top w:val="single" w:sz="18" w:space="0" w:color="auto"/>
              <w:bottom w:val="nil"/>
            </w:tcBorders>
          </w:tcPr>
          <w:p w14:paraId="351B00FD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Pre-transplant AFP </w:t>
            </w:r>
            <w:r w:rsidRPr="00D81F65">
              <w:rPr>
                <w:rFonts w:ascii="Times New Roman" w:eastAsia="HY신명조" w:hAnsi="Times New Roman" w:cs="Times New Roman"/>
                <w:color w:val="000000" w:themeColor="text1"/>
                <w:sz w:val="18"/>
                <w:szCs w:val="18"/>
              </w:rPr>
              <w:t>(ng/mL)</w:t>
            </w:r>
          </w:p>
        </w:tc>
        <w:tc>
          <w:tcPr>
            <w:tcW w:w="1766" w:type="dxa"/>
            <w:tcBorders>
              <w:top w:val="single" w:sz="18" w:space="0" w:color="auto"/>
              <w:bottom w:val="nil"/>
            </w:tcBorders>
          </w:tcPr>
          <w:p w14:paraId="6801B0C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5.3 (2.9-21.0)</w:t>
            </w:r>
          </w:p>
        </w:tc>
        <w:tc>
          <w:tcPr>
            <w:tcW w:w="2093" w:type="dxa"/>
            <w:tcBorders>
              <w:top w:val="single" w:sz="18" w:space="0" w:color="auto"/>
              <w:bottom w:val="nil"/>
            </w:tcBorders>
          </w:tcPr>
          <w:p w14:paraId="23E82F2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 36.9 (20.0-77.9)</w:t>
            </w:r>
          </w:p>
        </w:tc>
        <w:tc>
          <w:tcPr>
            <w:tcW w:w="849" w:type="dxa"/>
            <w:tcBorders>
              <w:top w:val="single" w:sz="18" w:space="0" w:color="auto"/>
              <w:bottom w:val="nil"/>
            </w:tcBorders>
          </w:tcPr>
          <w:p w14:paraId="1D65584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 0.073</w:t>
            </w:r>
          </w:p>
        </w:tc>
      </w:tr>
      <w:tr w:rsidR="00E966D2" w:rsidRPr="00D81F65" w14:paraId="0E41C554" w14:textId="77777777" w:rsidTr="002E42A9">
        <w:trPr>
          <w:trHeight w:val="174"/>
        </w:trPr>
        <w:tc>
          <w:tcPr>
            <w:tcW w:w="3796" w:type="dxa"/>
            <w:tcBorders>
              <w:top w:val="nil"/>
              <w:bottom w:val="nil"/>
            </w:tcBorders>
          </w:tcPr>
          <w:p w14:paraId="0A92861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Pre-transplant PIVKA-II </w:t>
            </w:r>
            <w:r w:rsidRPr="00D81F65">
              <w:rPr>
                <w:rFonts w:ascii="Times New Roman" w:eastAsia="HY신명조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D81F65">
              <w:rPr>
                <w:rFonts w:ascii="Times New Roman" w:eastAsia="HY신명조" w:hAnsi="Times New Roman" w:cs="Times New Roman"/>
                <w:color w:val="000000" w:themeColor="text1"/>
                <w:sz w:val="18"/>
                <w:szCs w:val="18"/>
              </w:rPr>
              <w:t>mAU</w:t>
            </w:r>
            <w:proofErr w:type="spellEnd"/>
            <w:r w:rsidRPr="00D81F65">
              <w:rPr>
                <w:rFonts w:ascii="Times New Roman" w:eastAsia="HY신명조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766" w:type="dxa"/>
            <w:tcBorders>
              <w:top w:val="nil"/>
            </w:tcBorders>
          </w:tcPr>
          <w:p w14:paraId="322F0E6D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67.5 (22-254)</w:t>
            </w:r>
          </w:p>
        </w:tc>
        <w:tc>
          <w:tcPr>
            <w:tcW w:w="2093" w:type="dxa"/>
            <w:tcBorders>
              <w:top w:val="nil"/>
            </w:tcBorders>
          </w:tcPr>
          <w:p w14:paraId="52493EEB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5449 (351-14777)</w:t>
            </w:r>
          </w:p>
        </w:tc>
        <w:tc>
          <w:tcPr>
            <w:tcW w:w="849" w:type="dxa"/>
            <w:tcBorders>
              <w:top w:val="nil"/>
            </w:tcBorders>
          </w:tcPr>
          <w:p w14:paraId="5EFF969C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0.028</w:t>
            </w:r>
          </w:p>
        </w:tc>
      </w:tr>
      <w:tr w:rsidR="00E966D2" w:rsidRPr="00D81F65" w14:paraId="5C0F8B27" w14:textId="77777777" w:rsidTr="002E42A9">
        <w:trPr>
          <w:trHeight w:val="174"/>
        </w:trPr>
        <w:tc>
          <w:tcPr>
            <w:tcW w:w="3796" w:type="dxa"/>
            <w:tcBorders>
              <w:top w:val="nil"/>
              <w:bottom w:val="nil"/>
            </w:tcBorders>
          </w:tcPr>
          <w:p w14:paraId="0C3BD527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b/>
                <w:bCs/>
                <w:sz w:val="18"/>
                <w:szCs w:val="18"/>
              </w:rPr>
              <w:t>Explanted graft pathology</w:t>
            </w:r>
          </w:p>
        </w:tc>
        <w:tc>
          <w:tcPr>
            <w:tcW w:w="1766" w:type="dxa"/>
            <w:tcBorders>
              <w:bottom w:val="nil"/>
            </w:tcBorders>
          </w:tcPr>
          <w:p w14:paraId="6E6CDE0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5 (4-5)</w:t>
            </w:r>
          </w:p>
        </w:tc>
        <w:tc>
          <w:tcPr>
            <w:tcW w:w="2093" w:type="dxa"/>
            <w:tcBorders>
              <w:bottom w:val="nil"/>
            </w:tcBorders>
          </w:tcPr>
          <w:p w14:paraId="618EC0D4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 (5-19)</w:t>
            </w:r>
          </w:p>
        </w:tc>
        <w:tc>
          <w:tcPr>
            <w:tcW w:w="849" w:type="dxa"/>
            <w:tcBorders>
              <w:bottom w:val="nil"/>
            </w:tcBorders>
          </w:tcPr>
          <w:p w14:paraId="3C8882D2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0.109</w:t>
            </w:r>
          </w:p>
        </w:tc>
      </w:tr>
      <w:tr w:rsidR="00E966D2" w:rsidRPr="00D81F65" w14:paraId="74E585C5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5B5A4157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Median number of tumors (n)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30898F3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2.0 (1.1-4.8)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2847AD9C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8.4 (3.7-12.9)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60DC0CD7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0.109</w:t>
            </w:r>
          </w:p>
        </w:tc>
      </w:tr>
      <w:tr w:rsidR="00E966D2" w:rsidRPr="00D81F65" w14:paraId="2E03925E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2449C576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Median size of tumor (cm)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3D29131D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4 (50.0%)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6BCF11CE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4 (100.0%)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01EAF69D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0.208</w:t>
            </w:r>
          </w:p>
        </w:tc>
      </w:tr>
      <w:tr w:rsidR="00E966D2" w:rsidRPr="00D81F65" w14:paraId="4A7D1A34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5A12F5DE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Microvascular invasion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246F2EB3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585F55D4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1 (25.0%)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5C6C86D2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0.333</w:t>
            </w:r>
          </w:p>
        </w:tc>
      </w:tr>
      <w:tr w:rsidR="00E966D2" w:rsidRPr="00D81F65" w14:paraId="019E4300" w14:textId="77777777" w:rsidTr="002E42A9">
        <w:tc>
          <w:tcPr>
            <w:tcW w:w="3796" w:type="dxa"/>
            <w:tcBorders>
              <w:top w:val="single" w:sz="8" w:space="0" w:color="auto"/>
              <w:bottom w:val="nil"/>
            </w:tcBorders>
          </w:tcPr>
          <w:p w14:paraId="3C6316A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b/>
                <w:bCs/>
                <w:sz w:val="18"/>
                <w:szCs w:val="18"/>
              </w:rPr>
              <w:t>Liver parenchyma at 2-week CT</w:t>
            </w:r>
          </w:p>
        </w:tc>
        <w:tc>
          <w:tcPr>
            <w:tcW w:w="1766" w:type="dxa"/>
            <w:tcBorders>
              <w:top w:val="single" w:sz="8" w:space="0" w:color="auto"/>
              <w:bottom w:val="nil"/>
            </w:tcBorders>
          </w:tcPr>
          <w:p w14:paraId="4068F5BC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8" w:space="0" w:color="auto"/>
              <w:bottom w:val="nil"/>
            </w:tcBorders>
          </w:tcPr>
          <w:p w14:paraId="15A80ACF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8" w:space="0" w:color="auto"/>
              <w:bottom w:val="nil"/>
            </w:tcBorders>
          </w:tcPr>
          <w:p w14:paraId="6AB3750C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0.222</w:t>
            </w:r>
          </w:p>
        </w:tc>
      </w:tr>
      <w:tr w:rsidR="00E966D2" w:rsidRPr="00D81F65" w14:paraId="24A97789" w14:textId="77777777" w:rsidTr="002E42A9">
        <w:trPr>
          <w:trHeight w:val="369"/>
        </w:trPr>
        <w:tc>
          <w:tcPr>
            <w:tcW w:w="3796" w:type="dxa"/>
            <w:tcBorders>
              <w:top w:val="nil"/>
              <w:bottom w:val="nil"/>
            </w:tcBorders>
          </w:tcPr>
          <w:p w14:paraId="2F7D113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Normal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6C0A705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6 (75.0%)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67851E52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1 (25.0%)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78E92E7D" w14:textId="77777777" w:rsidR="00E966D2" w:rsidRPr="00D81F65" w:rsidRDefault="00E966D2" w:rsidP="002E42A9">
            <w:pPr>
              <w:widowControl/>
              <w:wordWrap/>
              <w:autoSpaceDE/>
              <w:autoSpaceDN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 </w:t>
            </w:r>
          </w:p>
        </w:tc>
      </w:tr>
      <w:tr w:rsidR="00E966D2" w:rsidRPr="00D81F65" w14:paraId="382FC3B3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145B7BA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Partial congestion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14A31740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2 (25.0%)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4FBFAF77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3 (75.0%)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07BB516F" w14:textId="77777777" w:rsidR="00E966D2" w:rsidRPr="00D81F65" w:rsidRDefault="00E966D2" w:rsidP="002E42A9">
            <w:pPr>
              <w:widowControl/>
              <w:wordWrap/>
              <w:autoSpaceDE/>
              <w:autoSpaceDN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 </w:t>
            </w:r>
          </w:p>
        </w:tc>
      </w:tr>
      <w:tr w:rsidR="00E966D2" w:rsidRPr="00D81F65" w14:paraId="4DC2FBAB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1B73829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 xml:space="preserve">   Partial ischemia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3965CF8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11D6F40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7E5CEB7C" w14:textId="77777777" w:rsidR="00E966D2" w:rsidRPr="00D81F65" w:rsidRDefault="00E966D2" w:rsidP="002E42A9">
            <w:pPr>
              <w:widowControl/>
              <w:wordWrap/>
              <w:autoSpaceDE/>
              <w:autoSpaceDN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 </w:t>
            </w:r>
          </w:p>
        </w:tc>
      </w:tr>
      <w:tr w:rsidR="00E966D2" w:rsidRPr="00D81F65" w14:paraId="5687829A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4C3DA04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Total volume, median (cm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  <w:vertAlign w:val="superscript"/>
              </w:rPr>
              <w:t>3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733A460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819 (791-832)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1D9DD8B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946 (776-989)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4B8F60F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0.368</w:t>
            </w:r>
          </w:p>
        </w:tc>
      </w:tr>
      <w:tr w:rsidR="00E966D2" w:rsidRPr="00D81F65" w14:paraId="0119FDCE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27AA217E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b/>
                <w:bCs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Normal volume, median (cm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  <w:vertAlign w:val="superscript"/>
              </w:rPr>
              <w:t>3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44D3A68E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819 (750-832)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06A96FE1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855 (649-968)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2D35B97F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0.368</w:t>
            </w:r>
          </w:p>
        </w:tc>
      </w:tr>
      <w:tr w:rsidR="00E966D2" w:rsidRPr="00D81F65" w14:paraId="052C4B29" w14:textId="77777777" w:rsidTr="002E42A9">
        <w:tc>
          <w:tcPr>
            <w:tcW w:w="3796" w:type="dxa"/>
            <w:tcBorders>
              <w:top w:val="nil"/>
              <w:bottom w:val="nil"/>
            </w:tcBorders>
          </w:tcPr>
          <w:p w14:paraId="5D2A71F2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Congested volume, median (cm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  <w:vertAlign w:val="superscript"/>
              </w:rPr>
              <w:t>3</w:t>
            </w: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40622DE7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 (0-40.5)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14:paraId="1187C5D2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89.5 (19.8-127.8)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14:paraId="20BCC708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0.154</w:t>
            </w:r>
          </w:p>
        </w:tc>
      </w:tr>
      <w:tr w:rsidR="00E966D2" w:rsidRPr="00D81F65" w14:paraId="578F8C8C" w14:textId="77777777" w:rsidTr="002E42A9">
        <w:tc>
          <w:tcPr>
            <w:tcW w:w="3796" w:type="dxa"/>
            <w:tcBorders>
              <w:top w:val="nil"/>
              <w:bottom w:val="single" w:sz="8" w:space="0" w:color="auto"/>
            </w:tcBorders>
          </w:tcPr>
          <w:p w14:paraId="0F4C21CA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Congested proportion, median (%)</w:t>
            </w:r>
          </w:p>
        </w:tc>
        <w:tc>
          <w:tcPr>
            <w:tcW w:w="1766" w:type="dxa"/>
            <w:tcBorders>
              <w:top w:val="nil"/>
              <w:bottom w:val="single" w:sz="8" w:space="0" w:color="auto"/>
            </w:tcBorders>
          </w:tcPr>
          <w:p w14:paraId="76B8F734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 (0-5.2)</w:t>
            </w:r>
          </w:p>
        </w:tc>
        <w:tc>
          <w:tcPr>
            <w:tcW w:w="2093" w:type="dxa"/>
            <w:tcBorders>
              <w:top w:val="nil"/>
              <w:bottom w:val="single" w:sz="8" w:space="0" w:color="auto"/>
            </w:tcBorders>
          </w:tcPr>
          <w:p w14:paraId="30F08844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9.5 (2.1-16.9)</w:t>
            </w:r>
          </w:p>
        </w:tc>
        <w:tc>
          <w:tcPr>
            <w:tcW w:w="849" w:type="dxa"/>
            <w:tcBorders>
              <w:top w:val="nil"/>
              <w:bottom w:val="single" w:sz="8" w:space="0" w:color="auto"/>
            </w:tcBorders>
          </w:tcPr>
          <w:p w14:paraId="16A874A5" w14:textId="77777777" w:rsidR="00E966D2" w:rsidRPr="00D81F65" w:rsidRDefault="00E966D2" w:rsidP="002E42A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HY신명조" w:hAnsi="Times New Roman" w:cs="Times New Roman"/>
                <w:sz w:val="18"/>
                <w:szCs w:val="18"/>
              </w:rPr>
            </w:pPr>
            <w:r w:rsidRPr="00D81F65">
              <w:rPr>
                <w:rFonts w:ascii="Times New Roman" w:eastAsia="HY신명조" w:hAnsi="Times New Roman" w:cs="Times New Roman"/>
                <w:sz w:val="18"/>
                <w:szCs w:val="18"/>
              </w:rPr>
              <w:t>0.154</w:t>
            </w:r>
          </w:p>
        </w:tc>
      </w:tr>
    </w:tbl>
    <w:p w14:paraId="390FAFF3" w14:textId="77777777" w:rsidR="00E966D2" w:rsidRPr="00D81F65" w:rsidRDefault="00E966D2" w:rsidP="00E966D2">
      <w:pPr>
        <w:spacing w:line="360" w:lineRule="auto"/>
        <w:rPr>
          <w:rFonts w:ascii="Times New Roman" w:eastAsia="HY신명조" w:hAnsi="Times New Roman" w:cs="Times New Roman"/>
          <w:color w:val="000000"/>
          <w:sz w:val="16"/>
          <w:szCs w:val="16"/>
        </w:rPr>
      </w:pPr>
      <w:r w:rsidRPr="00D81F65">
        <w:rPr>
          <w:rFonts w:ascii="Times New Roman" w:eastAsia="HY신명조" w:hAnsi="Times New Roman" w:cs="Times New Roman"/>
          <w:color w:val="000000"/>
          <w:sz w:val="16"/>
          <w:szCs w:val="16"/>
        </w:rPr>
        <w:t>Abbreviations: AFP, alpha-fetoprotein; PIVKA-II, protein induced by vitamin K absence-II; CT, computed tomography</w:t>
      </w:r>
    </w:p>
    <w:p w14:paraId="29DDD5FE" w14:textId="77777777" w:rsidR="00E966D2" w:rsidRDefault="00E966D2" w:rsidP="00E966D2">
      <w:pPr>
        <w:pStyle w:val="EndNoteBibliography"/>
        <w:kinsoku w:val="0"/>
        <w:wordWrap/>
        <w:overflowPunct w:val="0"/>
        <w:spacing w:after="0"/>
      </w:pPr>
    </w:p>
    <w:p w14:paraId="5C2FFCEC" w14:textId="317F1A50" w:rsidR="000B0A09" w:rsidRPr="00E966D2" w:rsidRDefault="00E966D2">
      <w:r>
        <w:rPr>
          <w:rFonts w:ascii="Times New Roman" w:eastAsia="HY신명조" w:hAnsi="Times New Roman" w:cs="Times New Roman"/>
          <w:b/>
          <w:bCs/>
        </w:rPr>
        <w:t>Supplementary T</w:t>
      </w:r>
      <w:r w:rsidRPr="00D81F65">
        <w:rPr>
          <w:rFonts w:ascii="Times New Roman" w:eastAsia="HY신명조" w:hAnsi="Times New Roman" w:cs="Times New Roman"/>
          <w:b/>
          <w:bCs/>
        </w:rPr>
        <w:t>able.</w:t>
      </w:r>
      <w:r w:rsidRPr="00D81F65">
        <w:rPr>
          <w:rFonts w:ascii="Times New Roman" w:eastAsia="HY신명조" w:hAnsi="Times New Roman" w:cs="Times New Roman"/>
        </w:rPr>
        <w:t xml:space="preserve"> Comparison of pre-transplant predictors and post-transplant outcomes between recurrence group and no recurrence group, among beyond Milan</w:t>
      </w:r>
    </w:p>
    <w:sectPr w:rsidR="000B0A09" w:rsidRPr="00E966D2" w:rsidSect="00903DA3">
      <w:footerReference w:type="default" r:id="rId31"/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245748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903074A" w14:textId="77777777" w:rsidR="007E69C3" w:rsidRPr="00903DA3" w:rsidRDefault="00E966D2" w:rsidP="00903DA3">
        <w:pPr>
          <w:pStyle w:val="a6"/>
          <w:jc w:val="right"/>
          <w:rPr>
            <w:rFonts w:ascii="Times New Roman" w:hAnsi="Times New Roman" w:cs="Times New Roman"/>
          </w:rPr>
        </w:pPr>
        <w:r w:rsidRPr="00903DA3">
          <w:rPr>
            <w:rFonts w:ascii="Times New Roman" w:hAnsi="Times New Roman" w:cs="Times New Roman"/>
          </w:rPr>
          <w:fldChar w:fldCharType="begin"/>
        </w:r>
        <w:r w:rsidRPr="00903DA3">
          <w:rPr>
            <w:rFonts w:ascii="Times New Roman" w:hAnsi="Times New Roman" w:cs="Times New Roman"/>
          </w:rPr>
          <w:instrText>PAGE   \* MERGEFORMAT</w:instrText>
        </w:r>
        <w:r w:rsidRPr="00903DA3">
          <w:rPr>
            <w:rFonts w:ascii="Times New Roman" w:hAnsi="Times New Roman" w:cs="Times New Roman"/>
          </w:rPr>
          <w:fldChar w:fldCharType="separate"/>
        </w:r>
        <w:r w:rsidRPr="00B30EE2">
          <w:rPr>
            <w:rFonts w:ascii="Times New Roman" w:hAnsi="Times New Roman" w:cs="Times New Roman"/>
            <w:noProof/>
            <w:lang w:val="ko-KR"/>
          </w:rPr>
          <w:t>21</w:t>
        </w:r>
        <w:r w:rsidRPr="00903DA3">
          <w:rPr>
            <w:rFonts w:ascii="Times New Roman" w:hAnsi="Times New Roman" w:cs="Times New Roma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21653"/>
    <w:multiLevelType w:val="hybridMultilevel"/>
    <w:tmpl w:val="6764BD96"/>
    <w:lvl w:ilvl="0" w:tplc="BEDA43E8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DE115A6"/>
    <w:multiLevelType w:val="multilevel"/>
    <w:tmpl w:val="7FF8B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6D2"/>
    <w:rsid w:val="000B0A09"/>
    <w:rsid w:val="00E9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9FACA"/>
  <w15:chartTrackingRefBased/>
  <w15:docId w15:val="{207BBFA0-39B5-48CF-B444-C0156660C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6D2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66D2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semiHidden/>
    <w:rsid w:val="00E966D2"/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customStyle="1" w:styleId="EndNoteBibliography">
    <w:name w:val="EndNote Bibliography"/>
    <w:basedOn w:val="a"/>
    <w:link w:val="EndNoteBibliographyChar"/>
    <w:rsid w:val="00E966D2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E966D2"/>
    <w:rPr>
      <w:rFonts w:ascii="Times New Roman" w:eastAsia="맑은 고딕" w:hAnsi="Times New Roman" w:cs="Times New Roman"/>
      <w:noProof/>
      <w:sz w:val="24"/>
    </w:rPr>
  </w:style>
  <w:style w:type="paragraph" w:styleId="a3">
    <w:name w:val="Normal (Web)"/>
    <w:basedOn w:val="a"/>
    <w:link w:val="Char"/>
    <w:uiPriority w:val="99"/>
    <w:unhideWhenUsed/>
    <w:qFormat/>
    <w:rsid w:val="00E966D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966D2"/>
    <w:rPr>
      <w:color w:val="0000FF"/>
      <w:u w:val="single"/>
    </w:rPr>
  </w:style>
  <w:style w:type="table" w:styleId="a5">
    <w:name w:val="Table Grid"/>
    <w:basedOn w:val="a1"/>
    <w:uiPriority w:val="39"/>
    <w:rsid w:val="00E96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Char0"/>
    <w:uiPriority w:val="99"/>
    <w:unhideWhenUsed/>
    <w:rsid w:val="00E966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966D2"/>
  </w:style>
  <w:style w:type="character" w:styleId="a7">
    <w:name w:val="annotation reference"/>
    <w:basedOn w:val="a0"/>
    <w:uiPriority w:val="99"/>
    <w:unhideWhenUsed/>
    <w:qFormat/>
    <w:rsid w:val="00E966D2"/>
    <w:rPr>
      <w:sz w:val="18"/>
      <w:szCs w:val="18"/>
    </w:rPr>
  </w:style>
  <w:style w:type="paragraph" w:styleId="a8">
    <w:name w:val="annotation text"/>
    <w:aliases w:val="Char11,字元, Char,Char"/>
    <w:basedOn w:val="a"/>
    <w:link w:val="Char1"/>
    <w:unhideWhenUsed/>
    <w:qFormat/>
    <w:rsid w:val="00E966D2"/>
    <w:pPr>
      <w:jc w:val="left"/>
    </w:pPr>
  </w:style>
  <w:style w:type="character" w:customStyle="1" w:styleId="Char1">
    <w:name w:val="메모 텍스트 Char"/>
    <w:aliases w:val="Char11 Char,字元 Char, Char Char,Char Char"/>
    <w:basedOn w:val="a0"/>
    <w:link w:val="a8"/>
    <w:qFormat/>
    <w:rsid w:val="00E966D2"/>
  </w:style>
  <w:style w:type="character" w:customStyle="1" w:styleId="Char">
    <w:name w:val="일반 (웹) Char"/>
    <w:link w:val="a3"/>
    <w:uiPriority w:val="99"/>
    <w:rsid w:val="00E966D2"/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 OH</dc:creator>
  <cp:keywords/>
  <dc:description/>
  <cp:lastModifiedBy>YJ OH</cp:lastModifiedBy>
  <cp:revision>1</cp:revision>
  <dcterms:created xsi:type="dcterms:W3CDTF">2025-02-06T07:01:00Z</dcterms:created>
  <dcterms:modified xsi:type="dcterms:W3CDTF">2025-02-06T07:03:00Z</dcterms:modified>
</cp:coreProperties>
</file>