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0D06C">
      <w:pPr>
        <w:pStyle w:val="12"/>
        <w:widowControl/>
        <w:spacing w:line="360" w:lineRule="auto"/>
        <w:ind w:firstLine="0" w:firstLineChars="0"/>
        <w:rPr>
          <w:rFonts w:ascii="Times New Roman" w:hAnsi="Times New Roman"/>
          <w:b/>
          <w:bCs w:val="0"/>
          <w:kern w:val="0"/>
          <w:sz w:val="28"/>
          <w:szCs w:val="28"/>
          <w:lang w:val="de-DE" w:eastAsia="ja-JP"/>
        </w:rPr>
      </w:pPr>
      <w:r>
        <w:rPr>
          <w:rFonts w:ascii="Times New Roman" w:hAnsi="Times New Roman"/>
          <w:b/>
          <w:bCs w:val="0"/>
          <w:kern w:val="0"/>
          <w:sz w:val="28"/>
          <w:szCs w:val="28"/>
        </w:rPr>
        <w:t>Supplementary Information</w:t>
      </w:r>
    </w:p>
    <w:p w14:paraId="6E889E77">
      <w:pPr>
        <w:widowControl/>
        <w:spacing w:line="360" w:lineRule="auto"/>
        <w:ind w:firstLine="0" w:firstLineChars="0"/>
        <w:jc w:val="both"/>
        <w:rPr>
          <w:rFonts w:ascii="Times New Roman" w:hAnsi="Times New Roman" w:eastAsia="MS Mincho"/>
          <w:b/>
          <w:kern w:val="0"/>
          <w:sz w:val="24"/>
          <w:szCs w:val="24"/>
          <w:lang w:eastAsia="ja-JP"/>
        </w:rPr>
      </w:pPr>
      <w:bookmarkStart w:id="0" w:name="_Hlk120208988"/>
      <w:bookmarkStart w:id="1" w:name="_Hlk124844513"/>
      <w:r>
        <w:rPr>
          <w:rFonts w:hint="eastAsia" w:ascii="Times New Roman" w:hAnsi="Times New Roman"/>
          <w:b/>
          <w:kern w:val="0"/>
          <w:sz w:val="28"/>
          <w:szCs w:val="28"/>
        </w:rPr>
        <w:t>Low-temperature</w:t>
      </w:r>
      <w:r>
        <w:rPr>
          <w:rFonts w:ascii="Times New Roman" w:hAnsi="Times New Roman"/>
          <w:b/>
          <w:kern w:val="0"/>
          <w:sz w:val="28"/>
          <w:szCs w:val="28"/>
        </w:rPr>
        <w:t xml:space="preserve"> </w:t>
      </w:r>
      <w:r>
        <w:rPr>
          <w:rFonts w:hint="eastAsia" w:ascii="Times New Roman" w:hAnsi="Times New Roman"/>
          <w:b/>
          <w:kern w:val="0"/>
          <w:sz w:val="28"/>
          <w:szCs w:val="28"/>
        </w:rPr>
        <w:t>m</w:t>
      </w:r>
      <w:r>
        <w:rPr>
          <w:rFonts w:ascii="Times New Roman" w:hAnsi="Times New Roman"/>
          <w:b/>
          <w:kern w:val="0"/>
          <w:sz w:val="28"/>
          <w:szCs w:val="28"/>
        </w:rPr>
        <w:t xml:space="preserve">olten </w:t>
      </w:r>
      <w:r>
        <w:rPr>
          <w:rFonts w:hint="eastAsia" w:ascii="Times New Roman" w:hAnsi="Times New Roman"/>
          <w:b/>
          <w:kern w:val="0"/>
          <w:sz w:val="28"/>
          <w:szCs w:val="28"/>
        </w:rPr>
        <w:t>s</w:t>
      </w:r>
      <w:r>
        <w:rPr>
          <w:rFonts w:ascii="Times New Roman" w:hAnsi="Times New Roman"/>
          <w:b/>
          <w:kern w:val="0"/>
          <w:sz w:val="28"/>
          <w:szCs w:val="28"/>
        </w:rPr>
        <w:t>alt</w:t>
      </w:r>
      <w:r>
        <w:rPr>
          <w:rFonts w:hint="eastAsia" w:ascii="Times New Roman" w:hAnsi="Times New Roman"/>
          <w:b/>
          <w:kern w:val="0"/>
          <w:sz w:val="28"/>
          <w:szCs w:val="28"/>
        </w:rPr>
        <w:t xml:space="preserve"> enabled </w:t>
      </w:r>
      <w:r>
        <w:rPr>
          <w:rFonts w:ascii="Times New Roman" w:hAnsi="Times New Roman"/>
          <w:b/>
          <w:kern w:val="0"/>
          <w:sz w:val="28"/>
          <w:szCs w:val="28"/>
        </w:rPr>
        <w:t xml:space="preserve">synthesis of </w:t>
      </w:r>
      <w:r>
        <w:rPr>
          <w:rFonts w:hint="eastAsia" w:ascii="Times New Roman" w:hAnsi="Times New Roman"/>
          <w:b/>
          <w:kern w:val="0"/>
          <w:sz w:val="28"/>
          <w:szCs w:val="28"/>
        </w:rPr>
        <w:t>solid-state emissive</w:t>
      </w:r>
      <w:r>
        <w:rPr>
          <w:rFonts w:ascii="Times New Roman" w:hAnsi="Times New Roman"/>
          <w:b/>
          <w:kern w:val="0"/>
          <w:sz w:val="28"/>
          <w:szCs w:val="28"/>
        </w:rPr>
        <w:t xml:space="preserve"> </w:t>
      </w:r>
      <w:r>
        <w:rPr>
          <w:rFonts w:hint="eastAsia" w:ascii="Times New Roman" w:hAnsi="Times New Roman"/>
          <w:b/>
          <w:kern w:val="0"/>
          <w:sz w:val="28"/>
          <w:szCs w:val="28"/>
        </w:rPr>
        <w:t xml:space="preserve"> c</w:t>
      </w:r>
      <w:r>
        <w:rPr>
          <w:rFonts w:ascii="Times New Roman" w:hAnsi="Times New Roman"/>
          <w:b/>
          <w:kern w:val="0"/>
          <w:sz w:val="28"/>
          <w:szCs w:val="28"/>
        </w:rPr>
        <w:t xml:space="preserve">arbon </w:t>
      </w:r>
      <w:r>
        <w:rPr>
          <w:rFonts w:hint="eastAsia" w:ascii="Times New Roman" w:hAnsi="Times New Roman"/>
          <w:b/>
          <w:kern w:val="0"/>
          <w:sz w:val="28"/>
          <w:szCs w:val="28"/>
        </w:rPr>
        <w:t>d</w:t>
      </w:r>
      <w:r>
        <w:rPr>
          <w:rFonts w:ascii="Times New Roman" w:hAnsi="Times New Roman"/>
          <w:b/>
          <w:kern w:val="0"/>
          <w:sz w:val="28"/>
          <w:szCs w:val="28"/>
        </w:rPr>
        <w:t xml:space="preserve">ots </w:t>
      </w:r>
      <w:r>
        <w:rPr>
          <w:rFonts w:hint="eastAsia" w:ascii="Times New Roman" w:hAnsi="Times New Roman"/>
          <w:b/>
          <w:kern w:val="0"/>
          <w:sz w:val="28"/>
          <w:szCs w:val="28"/>
        </w:rPr>
        <w:t>with high endurance and &gt;99% quantum yields</w:t>
      </w:r>
    </w:p>
    <w:p w14:paraId="0A343644">
      <w:pPr>
        <w:pStyle w:val="21"/>
        <w:spacing w:line="360" w:lineRule="auto"/>
        <w:ind w:firstLine="0" w:firstLineChars="0"/>
        <w:rPr>
          <w:i w:val="0"/>
          <w:szCs w:val="21"/>
          <w:lang w:eastAsia="zh-CN"/>
        </w:rPr>
      </w:pPr>
      <w:r>
        <w:rPr>
          <w:rFonts w:hint="eastAsia"/>
          <w:i w:val="0"/>
          <w:szCs w:val="21"/>
          <w:lang w:eastAsia="zh-CN"/>
        </w:rPr>
        <w:t>Yu Lan</w:t>
      </w:r>
      <w:r>
        <w:rPr>
          <w:rFonts w:hint="eastAsia"/>
          <w:i w:val="0"/>
          <w:szCs w:val="21"/>
          <w:vertAlign w:val="superscript"/>
          <w:lang w:eastAsia="zh-CN"/>
        </w:rPr>
        <w:t>1</w:t>
      </w:r>
      <w:r>
        <w:rPr>
          <w:rFonts w:hint="eastAsia"/>
          <w:i w:val="0"/>
          <w:szCs w:val="21"/>
          <w:lang w:eastAsia="zh-CN"/>
        </w:rPr>
        <w:t>, Guang-Song Zhen</w:t>
      </w:r>
      <w:r>
        <w:rPr>
          <w:rFonts w:hint="eastAsia"/>
          <w:i w:val="0"/>
          <w:szCs w:val="21"/>
          <w:lang w:val="en-US" w:eastAsia="zh-CN"/>
        </w:rPr>
        <w:t>g</w:t>
      </w:r>
      <w:r>
        <w:rPr>
          <w:rFonts w:hint="eastAsia"/>
          <w:i w:val="0"/>
          <w:szCs w:val="21"/>
          <w:vertAlign w:val="superscript"/>
          <w:lang w:eastAsia="zh-CN"/>
        </w:rPr>
        <w:t>2</w:t>
      </w:r>
      <w:r>
        <w:rPr>
          <w:rFonts w:hint="eastAsia"/>
          <w:i w:val="0"/>
          <w:szCs w:val="21"/>
          <w:lang w:eastAsia="zh-CN"/>
        </w:rPr>
        <w:t>, Run-Wei Song</w:t>
      </w:r>
      <w:r>
        <w:rPr>
          <w:rFonts w:hint="eastAsia"/>
          <w:i w:val="0"/>
          <w:szCs w:val="21"/>
          <w:vertAlign w:val="superscript"/>
          <w:lang w:eastAsia="zh-CN"/>
        </w:rPr>
        <w:t>2</w:t>
      </w:r>
      <w:r>
        <w:rPr>
          <w:rFonts w:hint="eastAsia"/>
          <w:i w:val="0"/>
          <w:szCs w:val="21"/>
          <w:lang w:eastAsia="zh-CN"/>
        </w:rPr>
        <w:t>, Jing-Nan Hao</w:t>
      </w:r>
      <w:r>
        <w:rPr>
          <w:rFonts w:hint="eastAsia"/>
          <w:i w:val="0"/>
          <w:szCs w:val="21"/>
          <w:vertAlign w:val="superscript"/>
          <w:lang w:eastAsia="zh-CN"/>
        </w:rPr>
        <w:t>2</w:t>
      </w:r>
      <w:r>
        <w:rPr>
          <w:rFonts w:hint="eastAsia"/>
          <w:i w:val="0"/>
          <w:szCs w:val="21"/>
          <w:lang w:eastAsia="zh-CN"/>
        </w:rPr>
        <w:t>, Jia-Lu Liu</w:t>
      </w:r>
      <w:r>
        <w:rPr>
          <w:rFonts w:hint="eastAsia"/>
          <w:i w:val="0"/>
          <w:szCs w:val="21"/>
          <w:vertAlign w:val="superscript"/>
          <w:lang w:eastAsia="zh-CN"/>
        </w:rPr>
        <w:t>2</w:t>
      </w:r>
      <w:r>
        <w:rPr>
          <w:rFonts w:hint="eastAsia"/>
          <w:i w:val="0"/>
          <w:szCs w:val="21"/>
          <w:lang w:eastAsia="zh-CN"/>
        </w:rPr>
        <w:t>, Cheng-Long Shen</w:t>
      </w:r>
      <w:r>
        <w:rPr>
          <w:rFonts w:hint="eastAsia"/>
          <w:i w:val="0"/>
          <w:szCs w:val="21"/>
          <w:vertAlign w:val="superscript"/>
          <w:lang w:eastAsia="zh-CN"/>
        </w:rPr>
        <w:t>2,*</w:t>
      </w:r>
      <w:r>
        <w:rPr>
          <w:rFonts w:hint="eastAsia"/>
          <w:i w:val="0"/>
          <w:szCs w:val="21"/>
          <w:lang w:eastAsia="zh-CN"/>
        </w:rPr>
        <w:t>, Jin-Yang Zhu</w:t>
      </w:r>
      <w:r>
        <w:rPr>
          <w:rFonts w:hint="eastAsia"/>
          <w:i w:val="0"/>
          <w:szCs w:val="21"/>
          <w:vertAlign w:val="superscript"/>
          <w:lang w:eastAsia="zh-CN"/>
        </w:rPr>
        <w:t>3,*</w:t>
      </w:r>
      <w:r>
        <w:rPr>
          <w:rFonts w:hint="eastAsia"/>
          <w:i w:val="0"/>
          <w:szCs w:val="21"/>
          <w:lang w:eastAsia="zh-CN"/>
        </w:rPr>
        <w:t>, Sheng Cao</w:t>
      </w:r>
      <w:r>
        <w:rPr>
          <w:rFonts w:hint="eastAsia"/>
          <w:i w:val="0"/>
          <w:szCs w:val="21"/>
          <w:vertAlign w:val="superscript"/>
          <w:lang w:eastAsia="zh-CN"/>
        </w:rPr>
        <w:t>1</w:t>
      </w:r>
      <w:r>
        <w:rPr>
          <w:rFonts w:hint="eastAsia"/>
          <w:i w:val="0"/>
          <w:szCs w:val="21"/>
          <w:lang w:eastAsia="zh-CN"/>
        </w:rPr>
        <w:t>, Jia-Long Zhao</w:t>
      </w:r>
      <w:r>
        <w:rPr>
          <w:rFonts w:hint="eastAsia"/>
          <w:i w:val="0"/>
          <w:szCs w:val="21"/>
          <w:vertAlign w:val="superscript"/>
          <w:lang w:eastAsia="zh-CN"/>
        </w:rPr>
        <w:t>1</w:t>
      </w:r>
      <w:r>
        <w:rPr>
          <w:rFonts w:hint="eastAsia"/>
          <w:i w:val="0"/>
          <w:szCs w:val="21"/>
          <w:lang w:eastAsia="zh-CN"/>
        </w:rPr>
        <w:t>, Qing Lou</w:t>
      </w:r>
      <w:r>
        <w:rPr>
          <w:rFonts w:hint="eastAsia"/>
          <w:i w:val="0"/>
          <w:szCs w:val="21"/>
          <w:vertAlign w:val="superscript"/>
          <w:lang w:eastAsia="zh-CN"/>
        </w:rPr>
        <w:t>2,*</w:t>
      </w:r>
      <w:r>
        <w:rPr>
          <w:rFonts w:hint="eastAsia"/>
          <w:i w:val="0"/>
          <w:szCs w:val="21"/>
          <w:lang w:eastAsia="zh-CN"/>
        </w:rPr>
        <w:t xml:space="preserve"> , Chong-Xin Shan</w:t>
      </w:r>
      <w:r>
        <w:rPr>
          <w:rFonts w:hint="eastAsia"/>
          <w:i w:val="0"/>
          <w:szCs w:val="21"/>
          <w:vertAlign w:val="superscript"/>
          <w:lang w:eastAsia="zh-CN"/>
        </w:rPr>
        <w:t>2</w:t>
      </w:r>
    </w:p>
    <w:p w14:paraId="10128C13">
      <w:pPr>
        <w:pStyle w:val="12"/>
        <w:widowControl/>
        <w:spacing w:line="480" w:lineRule="auto"/>
        <w:ind w:firstLine="0" w:firstLineChars="0"/>
        <w:rPr>
          <w:rFonts w:ascii="Times New Roman" w:hAnsi="Times New Roman" w:eastAsia="MS Mincho"/>
          <w:i/>
          <w:kern w:val="0"/>
          <w:sz w:val="24"/>
          <w:szCs w:val="24"/>
          <w:vertAlign w:val="superscript"/>
        </w:rPr>
      </w:pPr>
    </w:p>
    <w:bookmarkEnd w:id="0"/>
    <w:bookmarkEnd w:id="1"/>
    <w:p w14:paraId="32945F50">
      <w:pPr>
        <w:pStyle w:val="12"/>
        <w:widowControl/>
        <w:spacing w:line="360" w:lineRule="auto"/>
        <w:ind w:firstLine="0" w:firstLineChars="0"/>
        <w:rPr>
          <w:rFonts w:ascii="Times New Roman" w:hAnsi="Times New Roman" w:eastAsia="MS Mincho"/>
          <w:kern w:val="0"/>
          <w:szCs w:val="21"/>
        </w:rPr>
      </w:pPr>
      <w:r>
        <w:rPr>
          <w:rFonts w:hint="eastAsia" w:ascii="Times New Roman" w:hAnsi="Times New Roman" w:eastAsia="MS Mincho"/>
          <w:kern w:val="0"/>
          <w:szCs w:val="21"/>
          <w:vertAlign w:val="superscript"/>
        </w:rPr>
        <w:t>1</w:t>
      </w:r>
      <w:r>
        <w:rPr>
          <w:rFonts w:hint="eastAsia" w:ascii="Times New Roman" w:hAnsi="Times New Roman" w:eastAsia="MS Mincho"/>
          <w:kern w:val="0"/>
          <w:szCs w:val="21"/>
        </w:rPr>
        <w:t>School of Physical Science and Technology, Guangxi University, Nanning 530004, China</w:t>
      </w:r>
    </w:p>
    <w:p w14:paraId="01195290">
      <w:pPr>
        <w:pStyle w:val="12"/>
        <w:widowControl/>
        <w:spacing w:line="360" w:lineRule="auto"/>
        <w:ind w:firstLine="0" w:firstLineChars="0"/>
        <w:rPr>
          <w:rFonts w:ascii="Times New Roman" w:hAnsi="Times New Roman" w:eastAsia="MS Mincho"/>
          <w:kern w:val="0"/>
          <w:szCs w:val="21"/>
        </w:rPr>
      </w:pPr>
      <w:r>
        <w:rPr>
          <w:rFonts w:hint="eastAsia" w:ascii="Times New Roman" w:hAnsi="Times New Roman" w:eastAsia="MS Mincho"/>
          <w:kern w:val="0"/>
          <w:szCs w:val="21"/>
          <w:vertAlign w:val="superscript"/>
        </w:rPr>
        <w:t>2</w:t>
      </w:r>
      <w:r>
        <w:rPr>
          <w:rFonts w:hint="eastAsia" w:ascii="Times New Roman" w:hAnsi="Times New Roman" w:eastAsia="MS Mincho"/>
          <w:kern w:val="0"/>
          <w:szCs w:val="21"/>
        </w:rPr>
        <w:t>Henan Key Laboratory of Diamond Optoelectronic Material and Devices, Key Laboratory of Material physics, Ministry of Education, School of Physics, Zhengzhou University, Zhengzhou 450052, China</w:t>
      </w:r>
    </w:p>
    <w:p w14:paraId="5416CCB4">
      <w:pPr>
        <w:pStyle w:val="12"/>
        <w:widowControl/>
        <w:spacing w:line="360" w:lineRule="auto"/>
        <w:ind w:firstLine="0" w:firstLineChars="0"/>
        <w:rPr>
          <w:rFonts w:ascii="Times New Roman" w:hAnsi="Times New Roman" w:eastAsia="MS Mincho"/>
          <w:kern w:val="0"/>
          <w:szCs w:val="21"/>
        </w:rPr>
      </w:pPr>
      <w:r>
        <w:rPr>
          <w:rFonts w:hint="eastAsia" w:ascii="Times New Roman" w:hAnsi="Times New Roman" w:eastAsia="MS Mincho"/>
          <w:kern w:val="0"/>
          <w:szCs w:val="21"/>
          <w:vertAlign w:val="superscript"/>
        </w:rPr>
        <w:t>3</w:t>
      </w:r>
      <w:r>
        <w:rPr>
          <w:rFonts w:hint="eastAsia" w:ascii="Times New Roman" w:hAnsi="Times New Roman" w:eastAsia="MS Mincho"/>
          <w:kern w:val="0"/>
          <w:szCs w:val="21"/>
        </w:rPr>
        <w:t>State Centre for International Cooperation on Designer Low-Carbon &amp; Environmental Materials, School of Materials Science and Engineering, Zhengzhou University, Zhengzhou 450001, P. R. China</w:t>
      </w:r>
    </w:p>
    <w:p w14:paraId="09B7FF58">
      <w:pPr>
        <w:pStyle w:val="12"/>
        <w:widowControl/>
        <w:spacing w:line="360" w:lineRule="auto"/>
        <w:ind w:firstLine="0" w:firstLineChars="0"/>
        <w:rPr>
          <w:rFonts w:ascii="Times New Roman" w:hAnsi="Times New Roman" w:eastAsia="MS Mincho"/>
          <w:kern w:val="0"/>
          <w:szCs w:val="21"/>
        </w:rPr>
      </w:pPr>
    </w:p>
    <w:p w14:paraId="72CB804C">
      <w:pPr>
        <w:pStyle w:val="12"/>
        <w:widowControl/>
        <w:spacing w:line="360" w:lineRule="auto"/>
        <w:ind w:firstLine="0" w:firstLineChars="0"/>
        <w:rPr>
          <w:rFonts w:ascii="Times New Roman" w:hAnsi="Times New Roman" w:eastAsia="MS Mincho"/>
          <w:kern w:val="0"/>
          <w:szCs w:val="21"/>
        </w:rPr>
      </w:pPr>
      <w:r>
        <w:rPr>
          <w:rFonts w:hint="eastAsia" w:ascii="Times New Roman" w:hAnsi="Times New Roman" w:eastAsia="MS Mincho"/>
          <w:kern w:val="0"/>
          <w:szCs w:val="21"/>
        </w:rPr>
        <w:t>E-mail:</w:t>
      </w:r>
      <w:r>
        <w:rPr>
          <w:rFonts w:hint="eastAsia" w:ascii="Times New Roman" w:hAnsi="Times New Roman" w:eastAsia="宋体"/>
          <w:kern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MS Mincho"/>
          <w:kern w:val="0"/>
          <w:szCs w:val="21"/>
        </w:rPr>
        <w:t>phyclshen@zzu.edu.cn (C. L. Shen),</w:t>
      </w:r>
      <w:r>
        <w:rPr>
          <w:rFonts w:hint="eastAsia" w:ascii="Times New Roman" w:hAnsi="Times New Roman" w:eastAsia="宋体"/>
          <w:kern w:val="0"/>
          <w:szCs w:val="21"/>
          <w:lang w:val="en-US" w:eastAsia="zh-CN"/>
        </w:rPr>
        <w:t xml:space="preserve"> </w:t>
      </w:r>
      <w:r>
        <w:fldChar w:fldCharType="begin"/>
      </w:r>
      <w:r>
        <w:instrText xml:space="preserve"> HYPERLINK "mailto:zhujinyang1127@zzu.edu.cn" </w:instrText>
      </w:r>
      <w:r>
        <w:fldChar w:fldCharType="separate"/>
      </w:r>
      <w:r>
        <w:rPr>
          <w:rFonts w:hint="eastAsia" w:ascii="Times New Roman" w:hAnsi="Times New Roman" w:eastAsia="MS Mincho"/>
          <w:kern w:val="0"/>
          <w:szCs w:val="21"/>
        </w:rPr>
        <w:t>zhujinyang1127@zzu.edu.cn</w:t>
      </w:r>
      <w:r>
        <w:rPr>
          <w:rFonts w:hint="eastAsia" w:ascii="Times New Roman" w:hAnsi="Times New Roman" w:eastAsia="MS Mincho"/>
          <w:kern w:val="0"/>
          <w:szCs w:val="21"/>
        </w:rPr>
        <w:fldChar w:fldCharType="end"/>
      </w:r>
      <w:r>
        <w:rPr>
          <w:rFonts w:hint="eastAsia" w:ascii="Times New Roman" w:hAnsi="Times New Roman" w:eastAsia="MS Mincho"/>
          <w:kern w:val="0"/>
          <w:szCs w:val="21"/>
        </w:rPr>
        <w:t xml:space="preserve"> (J. Y. Zhu)</w:t>
      </w:r>
      <w:r>
        <w:rPr>
          <w:rFonts w:hint="eastAsia" w:ascii="Times New Roman" w:hAnsi="Times New Roman" w:eastAsia="宋体"/>
          <w:kern w:val="0"/>
          <w:szCs w:val="21"/>
          <w:lang w:val="en-US" w:eastAsia="zh-CN"/>
        </w:rPr>
        <w:t xml:space="preserve">, </w:t>
      </w:r>
      <w:r>
        <w:rPr>
          <w:rFonts w:hint="eastAsia" w:ascii="Times New Roman" w:hAnsi="Times New Roman" w:eastAsia="MS Mincho"/>
          <w:kern w:val="0"/>
          <w:szCs w:val="21"/>
        </w:rPr>
        <w:t>louqing1986@zzu.edu.cn (Q. Lou)</w:t>
      </w:r>
    </w:p>
    <w:p w14:paraId="0405DFB2">
      <w:pPr>
        <w:ind w:firstLine="0" w:firstLineChars="0"/>
      </w:pPr>
    </w:p>
    <w:p w14:paraId="70635B58">
      <w:pPr>
        <w:ind w:firstLine="0" w:firstLineChars="0"/>
      </w:pPr>
    </w:p>
    <w:p w14:paraId="2EB43B34">
      <w:pPr>
        <w:ind w:firstLine="0" w:firstLineChars="0"/>
      </w:pPr>
    </w:p>
    <w:p w14:paraId="534FF3A9">
      <w:pPr>
        <w:ind w:firstLine="0" w:firstLineChars="0"/>
      </w:pPr>
    </w:p>
    <w:p w14:paraId="3D4375F5">
      <w:pPr>
        <w:ind w:firstLine="0" w:firstLineChars="0"/>
      </w:pPr>
    </w:p>
    <w:p w14:paraId="6011107E">
      <w:pPr>
        <w:ind w:firstLine="0" w:firstLineChars="0"/>
      </w:pPr>
    </w:p>
    <w:p w14:paraId="09B29F79">
      <w:pPr>
        <w:ind w:firstLine="0" w:firstLineChars="0"/>
      </w:pPr>
    </w:p>
    <w:p w14:paraId="249C9570">
      <w:pPr>
        <w:ind w:firstLine="0" w:firstLineChars="0"/>
      </w:pPr>
    </w:p>
    <w:p w14:paraId="261DB12C">
      <w:pPr>
        <w:ind w:firstLine="0" w:firstLineChars="0"/>
      </w:pPr>
    </w:p>
    <w:p w14:paraId="5C22A366">
      <w:pPr>
        <w:ind w:firstLine="0" w:firstLineChars="0"/>
      </w:pPr>
    </w:p>
    <w:p w14:paraId="37E365A9">
      <w:pPr>
        <w:ind w:firstLine="0" w:firstLineChars="0"/>
      </w:pPr>
    </w:p>
    <w:p w14:paraId="29BFC390">
      <w:pPr>
        <w:ind w:firstLine="0" w:firstLineChars="0"/>
      </w:pPr>
    </w:p>
    <w:p w14:paraId="3CBE2382">
      <w:pPr>
        <w:ind w:firstLine="0" w:firstLineChars="0"/>
      </w:pPr>
    </w:p>
    <w:p w14:paraId="656514E8">
      <w:pPr>
        <w:ind w:firstLine="0" w:firstLineChars="0"/>
      </w:pPr>
    </w:p>
    <w:p w14:paraId="71DFEA96">
      <w:pPr>
        <w:ind w:firstLine="0" w:firstLineChars="0"/>
      </w:pPr>
    </w:p>
    <w:p w14:paraId="36376252">
      <w:pPr>
        <w:widowControl/>
        <w:spacing w:line="360" w:lineRule="auto"/>
        <w:ind w:firstLine="0" w:firstLineChars="0"/>
        <w:rPr>
          <w:rFonts w:ascii="Times New Roman" w:hAnsi="Times New Roman" w:eastAsia="宋体"/>
          <w:color w:val="000000"/>
          <w:kern w:val="0"/>
          <w:sz w:val="24"/>
          <w:szCs w:val="24"/>
          <w:lang w:bidi="ar"/>
        </w:rPr>
      </w:pPr>
    </w:p>
    <w:p w14:paraId="05C3B7F0">
      <w:pPr>
        <w:widowControl/>
        <w:spacing w:line="360" w:lineRule="auto"/>
        <w:ind w:firstLine="0" w:firstLineChars="0"/>
        <w:rPr>
          <w:rFonts w:ascii="Times New Roman" w:hAnsi="Times New Roman" w:eastAsia="宋体"/>
          <w:color w:val="000000"/>
          <w:kern w:val="0"/>
          <w:sz w:val="24"/>
          <w:szCs w:val="24"/>
          <w:lang w:bidi="ar"/>
        </w:rPr>
      </w:pPr>
    </w:p>
    <w:p w14:paraId="407424FD">
      <w:pPr>
        <w:keepNext w:val="0"/>
        <w:keepLines w:val="0"/>
        <w:pageBreakBefore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rPr>
          <w:rFonts w:hint="eastAsia" w:ascii="Times New Roman" w:hAnsi="Times New Roman" w:eastAsia="宋体"/>
          <w:b/>
          <w:bCs/>
          <w:color w:val="000000"/>
          <w:kern w:val="0"/>
          <w:sz w:val="24"/>
          <w:szCs w:val="24"/>
          <w:lang w:bidi="ar"/>
        </w:rPr>
        <w:t>Figure</w:t>
      </w:r>
    </w:p>
    <w:p w14:paraId="42BBDD98">
      <w:pPr>
        <w:pStyle w:val="3"/>
        <w:ind w:firstLine="400"/>
        <w:jc w:val="center"/>
      </w:pPr>
      <w:r>
        <w:rPr>
          <w:rFonts w:hint="eastAsia"/>
        </w:rPr>
        <w:drawing>
          <wp:inline distT="0" distB="0" distL="114300" distR="114300">
            <wp:extent cx="3927475" cy="1348740"/>
            <wp:effectExtent l="0" t="0" r="0" b="3810"/>
            <wp:docPr id="4" name="图片 4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0059" cy="1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E856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1.</w:t>
      </w:r>
      <w:r>
        <w:rPr>
          <w:rFonts w:hint="eastAsia" w:ascii="Times New Roman" w:hAnsi="Times New Roman"/>
          <w:sz w:val="24"/>
          <w:szCs w:val="24"/>
        </w:rPr>
        <w:t xml:space="preserve"> Photographs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of the</w:t>
      </w:r>
      <w:r>
        <w:rPr>
          <w:rFonts w:hint="eastAsia" w:ascii="Times New Roman" w:hAnsi="Times New Roman"/>
          <w:sz w:val="24"/>
          <w:szCs w:val="24"/>
        </w:rPr>
        <w:t xml:space="preserve"> B-CDs, G-CDs, Y-CDs, and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N</w:t>
      </w:r>
      <w:r>
        <w:rPr>
          <w:rFonts w:hint="eastAsia" w:ascii="Times New Roman" w:hAnsi="Times New Roman"/>
          <w:sz w:val="24"/>
          <w:szCs w:val="24"/>
        </w:rPr>
        <w:t>IR-CDs under sunlight.</w:t>
      </w:r>
    </w:p>
    <w:p w14:paraId="3B4DF619">
      <w:pPr>
        <w:pageBreakBefore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drawing>
          <wp:inline distT="0" distB="0" distL="114300" distR="114300">
            <wp:extent cx="3076575" cy="2377440"/>
            <wp:effectExtent l="0" t="0" r="9525" b="3810"/>
            <wp:docPr id="3" name="图片 3" descr="CI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IE 19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0337" cy="23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E22B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S2.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CIE coordinate diagram of 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the </w:t>
      </w:r>
      <w:r>
        <w:rPr>
          <w:rFonts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FL emissions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f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rom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the B-, G-, Y- and N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R-CDs.</w:t>
      </w:r>
    </w:p>
    <w:p w14:paraId="0C7F513C">
      <w:pPr>
        <w:pageBreakBefore/>
        <w:ind w:firstLine="48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drawing>
          <wp:inline distT="0" distB="0" distL="114300" distR="114300">
            <wp:extent cx="3743960" cy="3185795"/>
            <wp:effectExtent l="0" t="0" r="2540" b="190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1476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3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sz w:val="24"/>
          <w:szCs w:val="24"/>
        </w:rPr>
        <w:t xml:space="preserve"> The SSF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sz w:val="24"/>
          <w:szCs w:val="24"/>
        </w:rPr>
        <w:t>emission</w:t>
      </w:r>
      <w:r>
        <w:rPr>
          <w:rFonts w:hint="eastAsia" w:ascii="Times New Roman" w:hAnsi="Times New Roman"/>
          <w:sz w:val="24"/>
          <w:szCs w:val="24"/>
        </w:rPr>
        <w:t xml:space="preserve"> spectra and corresponding SS QYs of the B-, G-, Y-, and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N</w:t>
      </w:r>
      <w:bookmarkStart w:id="2" w:name="_GoBack"/>
      <w:bookmarkEnd w:id="2"/>
      <w:r>
        <w:rPr>
          <w:rFonts w:hint="eastAsia" w:ascii="Times New Roman" w:hAnsi="Times New Roman"/>
          <w:sz w:val="24"/>
          <w:szCs w:val="24"/>
        </w:rPr>
        <w:t>IR-CDs.</w:t>
      </w:r>
    </w:p>
    <w:p w14:paraId="6689A60B">
      <w:pPr>
        <w:pageBreakBefore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drawing>
          <wp:inline distT="0" distB="0" distL="114300" distR="114300">
            <wp:extent cx="3743960" cy="2865120"/>
            <wp:effectExtent l="0" t="0" r="2540" b="5080"/>
            <wp:docPr id="8" name="图片 8" descr="life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ifetim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D028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S4.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ime-resolved FL spectra of 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the </w:t>
      </w:r>
      <w:r>
        <w:rPr>
          <w:rFonts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B-,G-,Y-, and 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IR-CDs, respectively.</w:t>
      </w:r>
    </w:p>
    <w:p w14:paraId="12457868">
      <w:pPr>
        <w:pageBreakBefore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114300" distR="114300">
            <wp:extent cx="4297680" cy="3668395"/>
            <wp:effectExtent l="0" t="0" r="7620" b="8255"/>
            <wp:docPr id="11" name="图片 11" descr="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FA83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 w:val="0"/>
          <w:bCs w:val="0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b w:val="0"/>
          <w:bCs w:val="0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/>
          <w:b w:val="0"/>
          <w:bCs w:val="0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High-resolution XPS N1s spectra of the B- (a), G- (b), Y- (c), and NIR-CDs (d).</w:t>
      </w:r>
    </w:p>
    <w:p w14:paraId="551F2711">
      <w:pPr>
        <w:ind w:firstLine="0" w:firstLineChars="0"/>
        <w:jc w:val="center"/>
        <w:rPr>
          <w:rFonts w:ascii="Times New Roman" w:hAnsi="Times New Roman"/>
          <w:sz w:val="24"/>
          <w:szCs w:val="24"/>
        </w:rPr>
      </w:pPr>
    </w:p>
    <w:p w14:paraId="272A88D9">
      <w:pPr>
        <w:ind w:firstLine="0" w:firstLineChars="0"/>
        <w:jc w:val="center"/>
        <w:rPr>
          <w:rFonts w:ascii="Times New Roman" w:hAnsi="Times New Roman"/>
          <w:sz w:val="24"/>
          <w:szCs w:val="24"/>
        </w:rPr>
      </w:pPr>
    </w:p>
    <w:p w14:paraId="25D0C639">
      <w:pPr>
        <w:ind w:firstLine="0" w:firstLineChars="0"/>
        <w:jc w:val="center"/>
        <w:rPr>
          <w:rFonts w:ascii="Times New Roman" w:hAnsi="Times New Roman"/>
          <w:sz w:val="24"/>
          <w:szCs w:val="24"/>
        </w:rPr>
      </w:pPr>
    </w:p>
    <w:p w14:paraId="555146EE">
      <w:pPr>
        <w:ind w:firstLine="0" w:firstLineChars="0"/>
        <w:jc w:val="center"/>
        <w:rPr>
          <w:rFonts w:ascii="Times New Roman" w:hAnsi="Times New Roman"/>
          <w:sz w:val="24"/>
          <w:szCs w:val="24"/>
        </w:rPr>
      </w:pPr>
    </w:p>
    <w:p w14:paraId="2A1B0A94">
      <w:pPr>
        <w:pageBreakBefore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114300" distR="114300">
            <wp:extent cx="3743960" cy="2865120"/>
            <wp:effectExtent l="0" t="0" r="2540" b="5080"/>
            <wp:docPr id="17" name="图片 17" descr="Zn-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Zn-figur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9BBE">
      <w:pPr>
        <w:pStyle w:val="3"/>
        <w:spacing w:line="480" w:lineRule="auto"/>
        <w:ind w:firstLine="0" w:firstLineChars="0"/>
        <w:jc w:val="center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6</w:t>
      </w:r>
      <w:r>
        <w:rPr>
          <w:rFonts w:ascii="Times New Roman" w:hAnsi="Times New Roman"/>
          <w:b w:val="0"/>
          <w:bCs w:val="0"/>
          <w:sz w:val="24"/>
          <w:szCs w:val="24"/>
        </w:rPr>
        <w:t>.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The </w:t>
      </w:r>
      <w:r>
        <w:rPr>
          <w:rFonts w:hint="eastAsia"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PL</w:t>
      </w:r>
      <w:r>
        <w:rPr>
          <w:rFonts w:ascii="Times New Roman" w:hAnsi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emission spectra</w:t>
      </w:r>
      <w:r>
        <w:rPr>
          <w:rFonts w:ascii="Times New Roman" w:hAnsi="Times New Roman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of</w:t>
      </w:r>
      <w:r>
        <w:rPr>
          <w:rFonts w:hint="eastAsia" w:ascii="Times New Roman" w:hAnsi="Times New Roman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the</w:t>
      </w:r>
      <w:r>
        <w:rPr>
          <w:rFonts w:ascii="Times New Roman" w:hAnsi="Times New Roman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G-CDs prepared with different </w:t>
      </w:r>
      <w:r>
        <w:rPr>
          <w:rFonts w:hint="eastAsia" w:ascii="Times New Roman" w:hAnsi="Times New Roman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molten </w:t>
      </w:r>
      <w:r>
        <w:rPr>
          <w:rFonts w:ascii="Times New Roman" w:hAnsi="Times New Roman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salts under the same conditions</w:t>
      </w:r>
      <w:r>
        <w:rPr>
          <w:rFonts w:hint="eastAsia" w:ascii="Times New Roman" w:hAnsi="Times New Roman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2370A8E8">
      <w:pPr>
        <w:pageBreakBefore/>
        <w:ind w:firstLine="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114300" distR="114300">
            <wp:extent cx="3743960" cy="2865120"/>
            <wp:effectExtent l="0" t="0" r="2540" b="5080"/>
            <wp:docPr id="18" name="图片 18" descr="ZnSalt-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ZnSalt-figur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A0CD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7.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The PL emission spectra of the G-CDs prepared by replacing ZnCl</w:t>
      </w:r>
      <w:r>
        <w:rPr>
          <w:rFonts w:hint="eastAsia" w:ascii="Times New Roman" w:hAnsi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/>
          <w:sz w:val="24"/>
          <w:szCs w:val="24"/>
        </w:rPr>
        <w:t xml:space="preserve"> with other zinc salts in the salt system under the same conditions.</w:t>
      </w:r>
    </w:p>
    <w:p w14:paraId="6381AE1D">
      <w:pPr>
        <w:ind w:firstLine="480"/>
        <w:jc w:val="center"/>
        <w:rPr>
          <w:rFonts w:ascii="Times New Roman" w:hAnsi="Times New Roman"/>
          <w:sz w:val="24"/>
          <w:szCs w:val="24"/>
        </w:rPr>
      </w:pPr>
    </w:p>
    <w:p w14:paraId="01017FFB">
      <w:pPr>
        <w:ind w:firstLine="480"/>
        <w:jc w:val="center"/>
        <w:rPr>
          <w:rFonts w:ascii="Times New Roman" w:hAnsi="Times New Roman"/>
          <w:sz w:val="24"/>
          <w:szCs w:val="24"/>
        </w:rPr>
      </w:pPr>
    </w:p>
    <w:p w14:paraId="319773CF">
      <w:pPr>
        <w:ind w:firstLine="480"/>
        <w:jc w:val="center"/>
        <w:rPr>
          <w:rFonts w:ascii="Times New Roman" w:hAnsi="Times New Roman"/>
          <w:sz w:val="24"/>
          <w:szCs w:val="24"/>
        </w:rPr>
      </w:pPr>
    </w:p>
    <w:p w14:paraId="1A42ABD0">
      <w:pPr>
        <w:ind w:firstLine="480"/>
        <w:jc w:val="center"/>
        <w:rPr>
          <w:rFonts w:ascii="Times New Roman" w:hAnsi="Times New Roman"/>
          <w:sz w:val="24"/>
          <w:szCs w:val="24"/>
        </w:rPr>
      </w:pPr>
    </w:p>
    <w:p w14:paraId="0AC600DA">
      <w:pPr>
        <w:ind w:firstLine="480"/>
        <w:jc w:val="center"/>
        <w:rPr>
          <w:rFonts w:ascii="Times New Roman" w:hAnsi="Times New Roman"/>
          <w:sz w:val="24"/>
          <w:szCs w:val="24"/>
        </w:rPr>
      </w:pPr>
    </w:p>
    <w:p w14:paraId="691B6274">
      <w:pPr>
        <w:ind w:firstLine="480"/>
        <w:jc w:val="center"/>
        <w:rPr>
          <w:rFonts w:ascii="Times New Roman" w:hAnsi="Times New Roman"/>
          <w:sz w:val="24"/>
          <w:szCs w:val="24"/>
        </w:rPr>
      </w:pPr>
    </w:p>
    <w:p w14:paraId="5A9CE7A0">
      <w:pPr>
        <w:ind w:firstLine="0" w:firstLineChars="0"/>
        <w:rPr>
          <w:rFonts w:ascii="Times New Roman" w:hAnsi="Times New Roman"/>
          <w:sz w:val="24"/>
          <w:szCs w:val="24"/>
        </w:rPr>
      </w:pPr>
    </w:p>
    <w:p w14:paraId="506EC170">
      <w:pPr>
        <w:pageBreakBefore/>
        <w:ind w:firstLine="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114300" distR="114300">
            <wp:extent cx="3780155" cy="1855470"/>
            <wp:effectExtent l="0" t="0" r="10795" b="11430"/>
            <wp:docPr id="10" name="图片 10" descr="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ED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B722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 xml:space="preserve"> S8.</w:t>
      </w:r>
      <w:r>
        <w:rPr>
          <w:rFonts w:hint="eastAsia" w:ascii="Times New Roman" w:hAnsi="Times New Roman"/>
          <w:sz w:val="24"/>
          <w:szCs w:val="24"/>
        </w:rPr>
        <w:t xml:space="preserve"> Structure diagram of the CDs-based LEDs.</w:t>
      </w:r>
    </w:p>
    <w:p w14:paraId="44217E33">
      <w:pPr>
        <w:widowControl/>
        <w:spacing w:line="360" w:lineRule="auto"/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53F3451D">
      <w:pPr>
        <w:pageBreakBefore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114300" distR="114300">
            <wp:extent cx="5292725" cy="1262380"/>
            <wp:effectExtent l="0" t="0" r="3175" b="13970"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5A87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 xml:space="preserve"> S9.</w:t>
      </w:r>
      <w:r>
        <w:rPr>
          <w:rFonts w:hint="eastAsia" w:ascii="Times New Roman" w:hAnsi="Times New Roman"/>
          <w:sz w:val="24"/>
          <w:szCs w:val="24"/>
        </w:rPr>
        <w:t xml:space="preserve"> Photographs for the B-LEDs, G-LEDs, Y-LEDs and 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N</w:t>
      </w:r>
      <w:r>
        <w:rPr>
          <w:rFonts w:hint="eastAsia" w:ascii="Times New Roman" w:hAnsi="Times New Roman"/>
          <w:sz w:val="24"/>
          <w:szCs w:val="24"/>
        </w:rPr>
        <w:t>IR-LEDs under sunlight.</w:t>
      </w:r>
    </w:p>
    <w:p w14:paraId="0030C397">
      <w:pPr>
        <w:pageBreakBefore/>
        <w:widowControl/>
        <w:spacing w:line="360" w:lineRule="auto"/>
        <w:ind w:firstLine="480"/>
        <w:jc w:val="center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Times New Roman" w:hAnsi="Times New Roman" w:eastAsia="黑体"/>
          <w:sz w:val="24"/>
          <w:szCs w:val="24"/>
        </w:rPr>
        <w:drawing>
          <wp:inline distT="0" distB="0" distL="114300" distR="114300">
            <wp:extent cx="3743960" cy="3184525"/>
            <wp:effectExtent l="0" t="0" r="2540" b="3175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2376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Fi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g.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10.</w:t>
      </w:r>
      <w:r>
        <w:rPr>
          <w:rFonts w:hint="eastAsia" w:ascii="Times New Roman" w:hAnsi="Times New Roman"/>
          <w:sz w:val="24"/>
          <w:szCs w:val="24"/>
        </w:rPr>
        <w:t xml:space="preserve"> EL emission spectra of the B-LEDs, G-LEDs, Y-LEDs and NIR-LEDs.</w:t>
      </w:r>
    </w:p>
    <w:p w14:paraId="57795B21">
      <w:pPr>
        <w:ind w:firstLine="420"/>
        <w:jc w:val="center"/>
      </w:pPr>
    </w:p>
    <w:p w14:paraId="65A9F37A">
      <w:pPr>
        <w:pageBreakBefore/>
        <w:ind w:firstLine="420"/>
        <w:jc w:val="center"/>
      </w:pPr>
      <w:r>
        <w:rPr>
          <w:rFonts w:hint="eastAsia"/>
        </w:rPr>
        <w:drawing>
          <wp:inline distT="0" distB="0" distL="114300" distR="114300">
            <wp:extent cx="3743960" cy="2893060"/>
            <wp:effectExtent l="0" t="0" r="2540" b="2540"/>
            <wp:docPr id="21" name="图片 21" descr="CIE 1931 for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IE 1931 for L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7E24">
      <w:pPr>
        <w:pStyle w:val="3"/>
        <w:spacing w:line="480" w:lineRule="auto"/>
        <w:ind w:firstLine="482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 xml:space="preserve"> S11.</w:t>
      </w:r>
      <w:r>
        <w:rPr>
          <w:rFonts w:hint="eastAsia" w:ascii="Times New Roman" w:hAnsi="Times New Roman"/>
          <w:sz w:val="24"/>
          <w:szCs w:val="24"/>
        </w:rPr>
        <w:t xml:space="preserve"> CIE coordinate diagram of the B-LEDs, G-LEDs, and Y-LEDs.</w:t>
      </w:r>
    </w:p>
    <w:p w14:paraId="2F69F75B">
      <w:pPr>
        <w:pStyle w:val="3"/>
        <w:pageBreakBefore/>
        <w:ind w:firstLine="0" w:firstLineChars="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 xml:space="preserve">    </w:t>
      </w:r>
      <w:r>
        <w:rPr>
          <w:rFonts w:hint="eastAsia" w:ascii="Times New Roman" w:hAnsi="Times New Roman"/>
          <w:sz w:val="24"/>
          <w:szCs w:val="24"/>
        </w:rPr>
        <w:drawing>
          <wp:inline distT="0" distB="0" distL="114300" distR="114300">
            <wp:extent cx="4067810" cy="2675890"/>
            <wp:effectExtent l="0" t="0" r="8890" b="3810"/>
            <wp:docPr id="14" name="图片 14" descr="未标题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标题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3474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Fi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g.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12.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Optical images of the color conversion films</w:t>
      </w:r>
      <w:r>
        <w:rPr>
          <w:rFonts w:hint="eastAsia" w:ascii="Times New Roman" w:hAnsi="Times New Roman"/>
          <w:sz w:val="24"/>
          <w:szCs w:val="24"/>
        </w:rPr>
        <w:t>.</w:t>
      </w:r>
    </w:p>
    <w:p w14:paraId="20400A2E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53D3377D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690499C3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708BC87F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3D97973D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7B91D699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24E2AAD0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26BFB186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230A31DB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59275FAC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568E1D67">
      <w:pPr>
        <w:pageBreakBefore/>
        <w:ind w:firstLine="480"/>
        <w:jc w:val="center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Times New Roman" w:hAnsi="Times New Roman" w:eastAsia="黑体"/>
          <w:sz w:val="24"/>
          <w:szCs w:val="24"/>
        </w:rPr>
        <w:drawing>
          <wp:inline distT="0" distB="0" distL="114300" distR="114300">
            <wp:extent cx="3429635" cy="2623820"/>
            <wp:effectExtent l="0" t="0" r="0" b="5080"/>
            <wp:docPr id="16" name="图片 16" descr="Grap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raph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1283" cy="26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E30B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S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13.</w:t>
      </w:r>
      <w:r>
        <w:rPr>
          <w:rFonts w:hint="eastAsia"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hint="eastAsia" w:ascii="Times New Roman" w:hAnsi="Times New Roman"/>
          <w:sz w:val="24"/>
          <w:szCs w:val="24"/>
        </w:rPr>
        <w:t xml:space="preserve">emission </w:t>
      </w:r>
      <w:r>
        <w:rPr>
          <w:rFonts w:ascii="Times New Roman" w:hAnsi="Times New Roman"/>
          <w:sz w:val="24"/>
          <w:szCs w:val="24"/>
        </w:rPr>
        <w:t xml:space="preserve">spectrum of </w:t>
      </w:r>
      <w:r>
        <w:rPr>
          <w:rFonts w:hint="eastAsia"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(Sr,Ca)AlSiN₃</w:t>
      </w:r>
      <w:r>
        <w:rPr>
          <w:rFonts w:hint="eastAsia" w:ascii="Times New Roman" w:hAnsi="Times New Roman"/>
          <w:sz w:val="24"/>
          <w:szCs w:val="24"/>
        </w:rPr>
        <w:t>.</w:t>
      </w:r>
    </w:p>
    <w:p w14:paraId="2DB4E2AE">
      <w:pPr>
        <w:ind w:firstLine="0" w:firstLineChars="0"/>
        <w:jc w:val="center"/>
        <w:rPr>
          <w:rFonts w:ascii="Times New Roman" w:hAnsi="Times New Roman" w:eastAsia="黑体"/>
          <w:sz w:val="24"/>
          <w:szCs w:val="24"/>
        </w:rPr>
      </w:pPr>
    </w:p>
    <w:p w14:paraId="0F690435">
      <w:pPr>
        <w:pageBreakBefore/>
        <w:ind w:firstLine="0" w:firstLineChars="0"/>
        <w:jc w:val="center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Times New Roman" w:hAnsi="Times New Roman" w:eastAsia="黑体"/>
          <w:sz w:val="24"/>
          <w:szCs w:val="24"/>
        </w:rPr>
        <w:drawing>
          <wp:inline distT="0" distB="0" distL="114300" distR="114300">
            <wp:extent cx="2476500" cy="2868930"/>
            <wp:effectExtent l="0" t="0" r="7620" b="0"/>
            <wp:docPr id="13" name="图片 13" descr="微信图片_2024082103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821034638"/>
                    <pic:cNvPicPr>
                      <a:picLocks noChangeAspect="1"/>
                    </pic:cNvPicPr>
                  </pic:nvPicPr>
                  <pic:blipFill>
                    <a:blip r:embed="rId25"/>
                    <a:srcRect l="17562" r="176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65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144F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 xml:space="preserve"> S14.</w:t>
      </w:r>
      <w:r>
        <w:rPr>
          <w:rFonts w:hint="eastAsia" w:ascii="Times New Roman" w:hAnsi="Times New Roman"/>
          <w:sz w:val="24"/>
          <w:szCs w:val="24"/>
        </w:rPr>
        <w:t xml:space="preserve"> Photograph of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the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white mini-LED.</w:t>
      </w:r>
    </w:p>
    <w:p w14:paraId="1EBEF73D">
      <w:pPr>
        <w:pageBreakBefore/>
        <w:ind w:firstLine="0" w:firstLineChars="0"/>
        <w:jc w:val="center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Times New Roman" w:hAnsi="Times New Roman" w:eastAsia="黑体"/>
          <w:sz w:val="24"/>
          <w:szCs w:val="24"/>
        </w:rPr>
        <w:drawing>
          <wp:inline distT="0" distB="0" distL="114300" distR="114300">
            <wp:extent cx="2879725" cy="2160270"/>
            <wp:effectExtent l="0" t="0" r="15875" b="11430"/>
            <wp:docPr id="19" name="图片 19" descr="微信图片_2024082103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8210311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9F27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 xml:space="preserve"> S15.</w:t>
      </w:r>
      <w:r>
        <w:rPr>
          <w:rFonts w:hint="eastAsia" w:ascii="Times New Roman" w:hAnsi="Times New Roman"/>
          <w:sz w:val="24"/>
          <w:szCs w:val="24"/>
        </w:rPr>
        <w:t xml:space="preserve"> Photographs of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the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mini-LED with light diffusing film.</w:t>
      </w:r>
    </w:p>
    <w:p w14:paraId="1B29534B">
      <w:pPr>
        <w:pageBreakBefore/>
        <w:ind w:firstLine="0" w:firstLineChars="0"/>
        <w:jc w:val="center"/>
        <w:rPr>
          <w:rFonts w:ascii="Times New Roman" w:hAnsi="Times New Roman" w:eastAsia="黑体"/>
          <w:b/>
          <w:bCs/>
          <w:sz w:val="24"/>
          <w:szCs w:val="24"/>
        </w:rPr>
      </w:pPr>
      <w:r>
        <w:rPr>
          <w:rFonts w:hint="eastAsia" w:ascii="Times New Roman" w:hAnsi="Times New Roman" w:eastAsia="黑体"/>
          <w:b/>
          <w:bCs/>
          <w:sz w:val="24"/>
          <w:szCs w:val="24"/>
        </w:rPr>
        <w:drawing>
          <wp:inline distT="0" distB="0" distL="114300" distR="114300">
            <wp:extent cx="2879725" cy="2121535"/>
            <wp:effectExtent l="0" t="0" r="15875" b="12065"/>
            <wp:docPr id="22" name="图片 22" descr="X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XSQ"/>
                    <pic:cNvPicPr>
                      <a:picLocks noChangeAspect="1"/>
                    </pic:cNvPicPr>
                  </pic:nvPicPr>
                  <pic:blipFill>
                    <a:blip r:embed="rId27"/>
                    <a:srcRect l="15228" t="13245" r="15565" b="1877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1999">
      <w:pPr>
        <w:pStyle w:val="3"/>
        <w:spacing w:line="480" w:lineRule="auto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 xml:space="preserve"> S16.</w:t>
      </w:r>
      <w:r>
        <w:rPr>
          <w:rFonts w:hint="eastAsia" w:ascii="Times New Roman" w:hAnsi="Times New Roman"/>
          <w:sz w:val="24"/>
          <w:szCs w:val="24"/>
        </w:rPr>
        <w:t xml:space="preserve"> The white backlight is assembled with a TFT-LCD to form a complete display.</w:t>
      </w:r>
    </w:p>
    <w:p w14:paraId="437BC2A5">
      <w:pPr>
        <w:pageBreakBefore/>
        <w:ind w:firstLine="0" w:firstLineChars="0"/>
        <w:jc w:val="center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Times New Roman" w:hAnsi="Times New Roman" w:eastAsia="黑体"/>
          <w:sz w:val="24"/>
          <w:szCs w:val="24"/>
        </w:rPr>
        <w:drawing>
          <wp:inline distT="0" distB="0" distL="114300" distR="114300">
            <wp:extent cx="3780155" cy="2921000"/>
            <wp:effectExtent l="0" t="0" r="10795" b="12700"/>
            <wp:docPr id="15" name="图片 15" descr="CIE 1931 for C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IE 1931 for CO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1964">
      <w:pPr>
        <w:pStyle w:val="3"/>
        <w:ind w:firstLine="482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Fig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 xml:space="preserve"> S17.</w:t>
      </w:r>
      <w:r>
        <w:rPr>
          <w:rFonts w:hint="eastAsia" w:ascii="Times New Roman" w:hAnsi="Times New Roman"/>
          <w:sz w:val="24"/>
          <w:szCs w:val="24"/>
        </w:rPr>
        <w:t xml:space="preserve"> CIE coordinate diagram </w:t>
      </w:r>
      <w:r>
        <w:rPr>
          <w:rFonts w:ascii="Times New Roman" w:hAnsi="Times New Roman"/>
          <w:sz w:val="24"/>
          <w:szCs w:val="24"/>
        </w:rPr>
        <w:t>of the mini-LED backlight</w:t>
      </w:r>
      <w:r>
        <w:rPr>
          <w:rFonts w:hint="eastAsia" w:ascii="Times New Roman" w:hAnsi="Times New Roman"/>
          <w:sz w:val="24"/>
          <w:szCs w:val="24"/>
        </w:rPr>
        <w:t>.</w:t>
      </w:r>
    </w:p>
    <w:p w14:paraId="25C60F49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3A452409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09842FCF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2F2AD711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198969DD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47AF1016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2208FCCD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4DD71206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4EDB49F1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4DB0939E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0A1BF1EA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6D1C457E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70A2E869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34BAE4E1">
      <w:pPr>
        <w:pStyle w:val="3"/>
        <w:pageBreakBefore/>
        <w:spacing w:line="480" w:lineRule="auto"/>
        <w:ind w:firstLine="482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Table S</w:t>
      </w:r>
      <w:r>
        <w:rPr>
          <w:rFonts w:hint="eastAsia" w:ascii="Times New Roman" w:hAnsi="Times New Roman"/>
          <w:b/>
          <w:bCs/>
          <w:sz w:val="24"/>
          <w:szCs w:val="24"/>
        </w:rPr>
        <w:fldChar w:fldCharType="begin"/>
      </w:r>
      <w:r>
        <w:rPr>
          <w:rFonts w:hint="eastAsia" w:ascii="Times New Roman" w:hAnsi="Times New Roman"/>
          <w:b/>
          <w:bCs/>
          <w:sz w:val="24"/>
          <w:szCs w:val="24"/>
        </w:rPr>
        <w:instrText xml:space="preserve"> SEQ Table_ \* ARABIC </w:instrText>
      </w:r>
      <w:r>
        <w:rPr>
          <w:rFonts w:hint="eastAsia" w:ascii="Times New Roman" w:hAnsi="Times New Roman"/>
          <w:b/>
          <w:bCs/>
          <w:sz w:val="24"/>
          <w:szCs w:val="24"/>
        </w:rPr>
        <w:fldChar w:fldCharType="separate"/>
      </w:r>
      <w:r>
        <w:rPr>
          <w:rFonts w:hint="eastAsia" w:ascii="Times New Roman" w:hAnsi="Times New Roman"/>
          <w:b/>
          <w:bCs/>
          <w:sz w:val="24"/>
          <w:szCs w:val="24"/>
        </w:rPr>
        <w:t>1</w:t>
      </w:r>
      <w:r>
        <w:rPr>
          <w:rFonts w:hint="eastAsia" w:ascii="Times New Roman" w:hAnsi="Times New Roman"/>
          <w:b/>
          <w:bCs/>
          <w:sz w:val="24"/>
          <w:szCs w:val="24"/>
        </w:rPr>
        <w:fldChar w:fldCharType="end"/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The specific experimental parameters for synthesizing B-, G-, Y-, and NIR-CDs.</w:t>
      </w:r>
    </w:p>
    <w:p w14:paraId="00EB5266">
      <w:pPr>
        <w:ind w:firstLine="420"/>
      </w:pP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1827"/>
        <w:gridCol w:w="1501"/>
        <w:gridCol w:w="1628"/>
        <w:gridCol w:w="1628"/>
      </w:tblGrid>
      <w:tr w14:paraId="1F17FB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7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5EC4D18B">
            <w:pPr>
              <w:ind w:firstLine="0" w:firstLineChars="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000000"/>
                <w:sz w:val="24"/>
                <w:szCs w:val="24"/>
              </w:rPr>
              <w:t>Sample</w:t>
            </w:r>
          </w:p>
        </w:tc>
        <w:tc>
          <w:tcPr>
            <w:tcW w:w="1827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3FA7AE12">
            <w:pPr>
              <w:ind w:firstLine="241" w:firstLineChars="10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000000"/>
                <w:sz w:val="24"/>
                <w:szCs w:val="24"/>
              </w:rPr>
              <w:t>precursor</w:t>
            </w:r>
          </w:p>
        </w:tc>
        <w:tc>
          <w:tcPr>
            <w:tcW w:w="1501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1ECDAF0D">
            <w:pPr>
              <w:ind w:firstLine="0" w:firstLineChars="0"/>
              <w:jc w:val="left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000000"/>
                <w:sz w:val="24"/>
                <w:szCs w:val="24"/>
              </w:rPr>
              <w:t>Mixed salt</w:t>
            </w:r>
          </w:p>
        </w:tc>
        <w:tc>
          <w:tcPr>
            <w:tcW w:w="1628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53C13646">
            <w:pPr>
              <w:ind w:firstLine="0" w:firstLineChars="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000000"/>
                <w:sz w:val="24"/>
                <w:szCs w:val="24"/>
              </w:rPr>
              <w:t>Temperature</w:t>
            </w:r>
          </w:p>
        </w:tc>
        <w:tc>
          <w:tcPr>
            <w:tcW w:w="1628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364C103E">
            <w:pPr>
              <w:ind w:firstLine="482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000000"/>
                <w:sz w:val="24"/>
                <w:szCs w:val="24"/>
              </w:rPr>
              <w:t>Time</w:t>
            </w:r>
          </w:p>
        </w:tc>
      </w:tr>
      <w:tr w14:paraId="00EB04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7" w:type="dxa"/>
            <w:tcBorders>
              <w:top w:val="single" w:color="000000" w:sz="12" w:space="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760BF9AF">
            <w:pPr>
              <w:ind w:firstLine="0" w:firstLineChars="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000000"/>
                <w:sz w:val="24"/>
                <w:szCs w:val="24"/>
              </w:rPr>
              <w:t>B-CDs</w:t>
            </w:r>
          </w:p>
        </w:tc>
        <w:tc>
          <w:tcPr>
            <w:tcW w:w="1827" w:type="dxa"/>
            <w:tcBorders>
              <w:top w:val="single" w:color="000000" w:sz="12" w:space="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4476B6F2">
            <w:pPr>
              <w:ind w:firstLine="0" w:firstLineChars="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1g CA, 2g UA</w:t>
            </w:r>
          </w:p>
        </w:tc>
        <w:tc>
          <w:tcPr>
            <w:tcW w:w="1501" w:type="dxa"/>
            <w:vMerge w:val="restart"/>
            <w:tcBorders>
              <w:top w:val="single" w:color="000000" w:sz="12" w:space="0"/>
              <w:left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19552BDF">
            <w:pPr>
              <w:ind w:firstLine="0" w:firstLineChars="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 xml:space="preserve">2.00g NaCl, </w:t>
            </w:r>
          </w:p>
          <w:p w14:paraId="7380C833">
            <w:pPr>
              <w:ind w:firstLine="0" w:firstLineChars="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2.55g KCl,</w:t>
            </w:r>
          </w:p>
          <w:p w14:paraId="2E8D4397">
            <w:pPr>
              <w:ind w:firstLine="0" w:firstLineChars="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4.66g ZnCl</w:t>
            </w: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628" w:type="dxa"/>
            <w:tcBorders>
              <w:top w:val="single" w:color="000000" w:sz="12" w:space="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7C66C374">
            <w:pPr>
              <w:ind w:firstLine="48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24"/>
                <w:szCs w:val="24"/>
                <w:lang w:bidi="ar"/>
              </w:rPr>
              <w:t xml:space="preserve">250 </w:t>
            </w:r>
            <w:r>
              <w:rPr>
                <w:rFonts w:ascii="Times New Roman" w:hAnsi="Times New Roman" w:eastAsia="宋体"/>
                <w:color w:val="000000"/>
                <w:kern w:val="0"/>
                <w:sz w:val="24"/>
                <w:szCs w:val="24"/>
                <w:lang w:bidi="ar"/>
              </w:rPr>
              <w:t>℃</w:t>
            </w:r>
          </w:p>
        </w:tc>
        <w:tc>
          <w:tcPr>
            <w:tcW w:w="1628" w:type="dxa"/>
            <w:tcBorders>
              <w:top w:val="single" w:color="000000" w:sz="12" w:space="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0D6543E9">
            <w:pPr>
              <w:ind w:firstLine="48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5 min</w:t>
            </w:r>
          </w:p>
        </w:tc>
      </w:tr>
      <w:tr w14:paraId="442E3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5314DD8D">
            <w:pPr>
              <w:ind w:firstLine="0" w:firstLineChars="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000000"/>
                <w:sz w:val="24"/>
                <w:szCs w:val="24"/>
              </w:rPr>
              <w:t>G-CDs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628446E9">
            <w:pPr>
              <w:ind w:firstLine="0" w:firstLineChars="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1g CA, 2g UA</w:t>
            </w:r>
          </w:p>
        </w:tc>
        <w:tc>
          <w:tcPr>
            <w:tcW w:w="1501" w:type="dxa"/>
            <w:vMerge w:val="continue"/>
            <w:tcBorders>
              <w:left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07A1320A">
            <w:pPr>
              <w:ind w:firstLine="48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4E09517E">
            <w:pPr>
              <w:ind w:firstLine="48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24"/>
                <w:szCs w:val="24"/>
                <w:lang w:bidi="ar"/>
              </w:rPr>
              <w:t xml:space="preserve">250 </w:t>
            </w:r>
            <w:r>
              <w:rPr>
                <w:rFonts w:ascii="Times New Roman" w:hAnsi="Times New Roman" w:eastAsia="宋体"/>
                <w:color w:val="000000"/>
                <w:kern w:val="0"/>
                <w:sz w:val="24"/>
                <w:szCs w:val="24"/>
                <w:lang w:bidi="ar"/>
              </w:rPr>
              <w:t>℃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568840E3">
            <w:pPr>
              <w:ind w:firstLine="48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8 min</w:t>
            </w:r>
          </w:p>
        </w:tc>
      </w:tr>
      <w:tr w14:paraId="6AFAD0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3BF95DB8">
            <w:pPr>
              <w:ind w:firstLine="0" w:firstLineChars="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000000"/>
                <w:sz w:val="24"/>
                <w:szCs w:val="24"/>
              </w:rPr>
              <w:t>Y-CDs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688D305C">
            <w:pPr>
              <w:ind w:firstLine="0" w:firstLineChars="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1g CA, 2g PG</w:t>
            </w:r>
          </w:p>
        </w:tc>
        <w:tc>
          <w:tcPr>
            <w:tcW w:w="1501" w:type="dxa"/>
            <w:vMerge w:val="continue"/>
            <w:tcBorders>
              <w:left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0B85356F">
            <w:pPr>
              <w:ind w:firstLine="48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105F880B">
            <w:pPr>
              <w:ind w:firstLine="48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24"/>
                <w:szCs w:val="24"/>
                <w:lang w:bidi="ar"/>
              </w:rPr>
              <w:t xml:space="preserve">250 </w:t>
            </w:r>
            <w:r>
              <w:rPr>
                <w:rFonts w:ascii="Times New Roman" w:hAnsi="Times New Roman" w:eastAsia="宋体"/>
                <w:color w:val="000000"/>
                <w:kern w:val="0"/>
                <w:sz w:val="24"/>
                <w:szCs w:val="24"/>
                <w:lang w:bidi="ar"/>
              </w:rPr>
              <w:t>℃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3BF2C19F">
            <w:pPr>
              <w:ind w:firstLine="48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10 min</w:t>
            </w:r>
          </w:p>
        </w:tc>
      </w:tr>
      <w:tr w14:paraId="68CE94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7" w:type="dxa"/>
            <w:tcBorders>
              <w:top w:val="nil"/>
              <w:left w:val="nil"/>
              <w:bottom w:val="single" w:color="000000" w:sz="24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33189DA9">
            <w:pPr>
              <w:ind w:firstLine="0" w:firstLineChars="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color w:val="000000"/>
                <w:sz w:val="24"/>
                <w:szCs w:val="24"/>
              </w:rPr>
              <w:t>NIR-CDs</w:t>
            </w:r>
          </w:p>
        </w:tc>
        <w:tc>
          <w:tcPr>
            <w:tcW w:w="1827" w:type="dxa"/>
            <w:tcBorders>
              <w:top w:val="nil"/>
              <w:left w:val="nil"/>
              <w:bottom w:val="single" w:color="000000" w:sz="24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52652B71">
            <w:pPr>
              <w:ind w:firstLine="240" w:firstLineChars="10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1g o-PD</w:t>
            </w:r>
          </w:p>
        </w:tc>
        <w:tc>
          <w:tcPr>
            <w:tcW w:w="1501" w:type="dxa"/>
            <w:vMerge w:val="continue"/>
            <w:tcBorders>
              <w:left w:val="nil"/>
              <w:bottom w:val="single" w:color="000000" w:sz="24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0E408018">
            <w:pPr>
              <w:ind w:firstLine="48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color="000000" w:sz="24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5B7EDDBA">
            <w:pPr>
              <w:ind w:firstLine="48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color w:val="000000"/>
                <w:kern w:val="0"/>
                <w:sz w:val="24"/>
                <w:szCs w:val="24"/>
                <w:lang w:bidi="ar"/>
              </w:rPr>
              <w:t xml:space="preserve">300 </w:t>
            </w:r>
            <w:r>
              <w:rPr>
                <w:rFonts w:ascii="Times New Roman" w:hAnsi="Times New Roman" w:eastAsia="宋体"/>
                <w:color w:val="000000"/>
                <w:kern w:val="0"/>
                <w:sz w:val="24"/>
                <w:szCs w:val="24"/>
                <w:lang w:bidi="ar"/>
              </w:rPr>
              <w:t>℃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000000" w:sz="24" w:space="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14:paraId="2D0D0D93">
            <w:pPr>
              <w:ind w:firstLine="48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color w:val="000000"/>
                <w:sz w:val="24"/>
                <w:szCs w:val="24"/>
              </w:rPr>
              <w:t>10 min</w:t>
            </w:r>
          </w:p>
        </w:tc>
      </w:tr>
    </w:tbl>
    <w:p w14:paraId="58259806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3545FDDD">
      <w:pPr>
        <w:pageBreakBefore/>
        <w:widowControl/>
        <w:spacing w:line="480" w:lineRule="auto"/>
        <w:ind w:firstLine="482"/>
        <w:jc w:val="center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 w:eastAsia="黑体"/>
          <w:b/>
          <w:bCs/>
          <w:sz w:val="24"/>
          <w:szCs w:val="24"/>
        </w:rPr>
        <w:t>Table S</w:t>
      </w:r>
      <w:r>
        <w:rPr>
          <w:rFonts w:hint="eastAsia" w:ascii="Times New Roman" w:hAnsi="Times New Roman" w:eastAsia="黑体"/>
          <w:b/>
          <w:bCs/>
          <w:sz w:val="24"/>
          <w:szCs w:val="24"/>
        </w:rPr>
        <w:t>2</w:t>
      </w:r>
      <w:r>
        <w:rPr>
          <w:rFonts w:hint="eastAsia" w:ascii="Times New Roman" w:hAnsi="Times New Roman" w:eastAsia="黑体"/>
          <w:sz w:val="24"/>
          <w:szCs w:val="24"/>
        </w:rPr>
        <w:t xml:space="preserve"> </w:t>
      </w:r>
      <w:r>
        <w:rPr>
          <w:rFonts w:ascii="Times New Roman" w:hAnsi="Times New Roman" w:eastAsia="黑体"/>
          <w:sz w:val="24"/>
          <w:szCs w:val="24"/>
        </w:rPr>
        <w:t xml:space="preserve">Comparison of </w:t>
      </w:r>
      <w:r>
        <w:rPr>
          <w:rFonts w:hint="eastAsia" w:ascii="Times New Roman" w:hAnsi="Times New Roman" w:eastAsia="黑体"/>
          <w:sz w:val="24"/>
          <w:szCs w:val="24"/>
        </w:rPr>
        <w:t>the P</w:t>
      </w:r>
      <w:r>
        <w:rPr>
          <w:rFonts w:ascii="Times New Roman" w:hAnsi="Times New Roman" w:eastAsia="黑体"/>
          <w:sz w:val="24"/>
          <w:szCs w:val="24"/>
        </w:rPr>
        <w:t xml:space="preserve">L emission wavelengths and </w:t>
      </w:r>
      <w:r>
        <w:rPr>
          <w:rFonts w:hint="eastAsia" w:ascii="Times New Roman" w:hAnsi="Times New Roman" w:eastAsia="黑体"/>
          <w:sz w:val="24"/>
          <w:szCs w:val="24"/>
        </w:rPr>
        <w:t>SSQY</w:t>
      </w:r>
      <w:r>
        <w:rPr>
          <w:rFonts w:ascii="Times New Roman" w:hAnsi="Times New Roman" w:eastAsia="黑体"/>
          <w:sz w:val="24"/>
          <w:szCs w:val="24"/>
        </w:rPr>
        <w:t xml:space="preserve"> </w:t>
      </w:r>
      <w:r>
        <w:rPr>
          <w:rFonts w:hint="eastAsia" w:ascii="Times New Roman" w:hAnsi="Times New Roman" w:eastAsia="黑体"/>
          <w:sz w:val="24"/>
          <w:szCs w:val="24"/>
        </w:rPr>
        <w:t>of different</w:t>
      </w:r>
      <w:r>
        <w:rPr>
          <w:rFonts w:ascii="Times New Roman" w:hAnsi="Times New Roman" w:eastAsia="黑体"/>
          <w:sz w:val="24"/>
          <w:szCs w:val="24"/>
        </w:rPr>
        <w:t xml:space="preserve"> </w:t>
      </w:r>
      <w:r>
        <w:rPr>
          <w:rFonts w:hint="eastAsia" w:ascii="Times New Roman" w:hAnsi="Times New Roman" w:eastAsia="黑体"/>
          <w:sz w:val="24"/>
          <w:szCs w:val="24"/>
        </w:rPr>
        <w:t>SSF</w:t>
      </w:r>
      <w:r>
        <w:rPr>
          <w:rFonts w:ascii="Times New Roman" w:hAnsi="Times New Roman" w:eastAsia="黑体"/>
          <w:sz w:val="24"/>
          <w:szCs w:val="24"/>
        </w:rPr>
        <w:t xml:space="preserve"> CD</w:t>
      </w:r>
      <w:r>
        <w:rPr>
          <w:rFonts w:hint="eastAsia" w:ascii="Times New Roman" w:hAnsi="Times New Roman" w:eastAsia="黑体"/>
          <w:sz w:val="24"/>
          <w:szCs w:val="24"/>
        </w:rPr>
        <w:t>s.</w:t>
      </w:r>
    </w:p>
    <w:p w14:paraId="5928DF66">
      <w:pPr>
        <w:pStyle w:val="3"/>
        <w:ind w:firstLine="400"/>
      </w:pPr>
    </w:p>
    <w:tbl>
      <w:tblPr>
        <w:tblStyle w:val="9"/>
        <w:tblW w:w="0" w:type="auto"/>
        <w:jc w:val="center"/>
        <w:tblBorders>
          <w:top w:val="single" w:color="auto" w:sz="2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1"/>
        <w:gridCol w:w="1893"/>
        <w:gridCol w:w="1794"/>
        <w:gridCol w:w="1718"/>
      </w:tblGrid>
      <w:tr w14:paraId="1017DCC9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2531" w:type="dxa"/>
            <w:tcBorders>
              <w:top w:val="single" w:color="auto" w:sz="24" w:space="0"/>
              <w:bottom w:val="single" w:color="auto" w:sz="12" w:space="0"/>
            </w:tcBorders>
            <w:vAlign w:val="center"/>
          </w:tcPr>
          <w:p w14:paraId="100F3D46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1893" w:type="dxa"/>
            <w:tcBorders>
              <w:top w:val="single" w:color="auto" w:sz="24" w:space="0"/>
              <w:bottom w:val="single" w:color="auto" w:sz="12" w:space="0"/>
            </w:tcBorders>
            <w:vAlign w:val="center"/>
          </w:tcPr>
          <w:p w14:paraId="33AE6B84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Fl emission wavelength</w:t>
            </w:r>
          </w:p>
        </w:tc>
        <w:tc>
          <w:tcPr>
            <w:tcW w:w="1794" w:type="dxa"/>
            <w:tcBorders>
              <w:top w:val="single" w:color="auto" w:sz="24" w:space="0"/>
              <w:bottom w:val="single" w:color="auto" w:sz="12" w:space="0"/>
            </w:tcBorders>
            <w:vAlign w:val="center"/>
          </w:tcPr>
          <w:p w14:paraId="455F6C90">
            <w:pPr>
              <w:ind w:firstLine="482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PL QY</w:t>
            </w:r>
          </w:p>
        </w:tc>
        <w:tc>
          <w:tcPr>
            <w:tcW w:w="1718" w:type="dxa"/>
            <w:tcBorders>
              <w:top w:val="single" w:color="auto" w:sz="24" w:space="0"/>
              <w:bottom w:val="single" w:color="auto" w:sz="12" w:space="0"/>
            </w:tcBorders>
            <w:vAlign w:val="center"/>
          </w:tcPr>
          <w:p w14:paraId="78D4A055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Reference</w:t>
            </w:r>
          </w:p>
        </w:tc>
      </w:tr>
      <w:tr w14:paraId="24A9ACF9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31" w:type="dxa"/>
            <w:tcBorders>
              <w:top w:val="single" w:color="auto" w:sz="12" w:space="0"/>
            </w:tcBorders>
            <w:vAlign w:val="center"/>
          </w:tcPr>
          <w:p w14:paraId="7E7DC0E4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Y-CD film</w:t>
            </w:r>
          </w:p>
        </w:tc>
        <w:tc>
          <w:tcPr>
            <w:tcW w:w="1893" w:type="dxa"/>
            <w:tcBorders>
              <w:top w:val="single" w:color="auto" w:sz="12" w:space="0"/>
            </w:tcBorders>
            <w:vAlign w:val="center"/>
          </w:tcPr>
          <w:p w14:paraId="395DDBAC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553 nm</w:t>
            </w:r>
          </w:p>
        </w:tc>
        <w:tc>
          <w:tcPr>
            <w:tcW w:w="1794" w:type="dxa"/>
            <w:tcBorders>
              <w:top w:val="single" w:color="auto" w:sz="12" w:space="0"/>
            </w:tcBorders>
            <w:vAlign w:val="center"/>
          </w:tcPr>
          <w:p w14:paraId="60C11E3D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98 %</w:t>
            </w:r>
          </w:p>
        </w:tc>
        <w:tc>
          <w:tcPr>
            <w:tcW w:w="1718" w:type="dxa"/>
            <w:tcBorders>
              <w:top w:val="single" w:color="auto" w:sz="12" w:space="0"/>
            </w:tcBorders>
            <w:vAlign w:val="center"/>
          </w:tcPr>
          <w:p w14:paraId="6BB1F24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&lt;EndNote&gt;&lt;Cite&gt;&lt;Author&gt;Guo&lt;/Author&gt;&lt;Year&gt;2022&lt;/Year&gt;&lt;RecNum&gt;30&lt;/RecNum&gt;&lt;DisplayText&gt;&lt;style face="superscript"&gt;1&lt;/style&gt;&lt;/DisplayText&gt;&lt;record&gt;&lt;rec-number&gt;30&lt;/rec-number&gt;&lt;foreign-keys&gt;&lt;key app="EN" db-id="t9rar9v219wtd7efs265w5p8vrpv5vdz2dxr" timestamp="1737639008"&gt;30&lt;/key&gt;&lt;/foreign-keys&gt;&lt;ref-type name="Journal Article"&gt;17&lt;/ref-type&gt;&lt;contributors&gt;&lt;authors&gt;&lt;author&gt;Guo, Jiazhuang&lt;/author&gt;&lt;author&gt;Lu, Yushuang&lt;/author&gt;&lt;author&gt;Xie, An‐Quan&lt;/author&gt;&lt;author&gt;Li, Ge&lt;/author&gt;&lt;author&gt;Liang, Zhi‐Bin&lt;/author&gt;&lt;author&gt;Wang, Cai‐Feng&lt;/author&gt;&lt;author&gt;Yang, Xiaoning&lt;/author&gt;&lt;author&gt;Chen, Su&lt;/author&gt;&lt;/authors&gt;&lt;/contributors&gt;&lt;titles&gt;&lt;title&gt;Yellow‐emissive carbon dots with high solid‐state photoluminescence&lt;/title&gt;&lt;secondary-title&gt;Advanced Functional Materials&lt;/secondary-title&gt;&lt;/titles&gt;&lt;periodical&gt;&lt;full-title&gt;Advanced Functional Materials&lt;/full-title&gt;&lt;/periodical&gt;&lt;pages&gt;2110393&lt;/pages&gt;&lt;volume&gt;32&lt;/volume&gt;&lt;number&gt;20&lt;/number&gt;&lt;dates&gt;&lt;year&gt;2022&lt;/year&gt;&lt;/dates&gt;&lt;isbn&gt;1616-301X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088E8145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31" w:type="dxa"/>
            <w:vAlign w:val="center"/>
          </w:tcPr>
          <w:p w14:paraId="1C5D9211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CDots@silica</w:t>
            </w:r>
          </w:p>
        </w:tc>
        <w:tc>
          <w:tcPr>
            <w:tcW w:w="1893" w:type="dxa"/>
            <w:vAlign w:val="center"/>
          </w:tcPr>
          <w:p w14:paraId="4CB96633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 xml:space="preserve">30 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nm</w:t>
            </w:r>
          </w:p>
        </w:tc>
        <w:tc>
          <w:tcPr>
            <w:tcW w:w="1794" w:type="dxa"/>
            <w:vAlign w:val="center"/>
          </w:tcPr>
          <w:p w14:paraId="7F928C10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1 %</w:t>
            </w:r>
          </w:p>
        </w:tc>
        <w:tc>
          <w:tcPr>
            <w:tcW w:w="1718" w:type="dxa"/>
            <w:vAlign w:val="center"/>
          </w:tcPr>
          <w:p w14:paraId="34144457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&lt;EndNote&gt;&lt;Cite&gt;&lt;Author&gt;Zhou&lt;/Author&gt;&lt;Year&gt;2017&lt;/Year&gt;&lt;RecNum&gt;31&lt;/RecNum&gt;&lt;DisplayText&gt;&lt;style face="superscript"&gt;2&lt;/style&gt;&lt;/DisplayText&gt;&lt;record&gt;&lt;rec-number&gt;31&lt;/rec-number&gt;&lt;foreign-keys&gt;&lt;key app="EN" db-id="t9rar9v219wtd7efs265w5p8vrpv5vdz2dxr" timestamp="1737640250"&gt;31&lt;/key&gt;&lt;/foreign-keys&gt;&lt;ref-type name="Journal Article"&gt;17&lt;/ref-type&gt;&lt;contributors&gt;&lt;authors&gt;&lt;author&gt;Zhou, Ding&lt;/author&gt;&lt;author&gt;Li, Di&lt;/author&gt;&lt;author&gt;Jing, Pengtao&lt;/author&gt;&lt;author&gt;Zhai, Yuechen&lt;/author&gt;&lt;author&gt;Shen, Dezhen&lt;/author&gt;&lt;author&gt;Qu, Songnan&lt;/author&gt;&lt;author&gt;Rogach, Andrey L&lt;/author&gt;&lt;/authors&gt;&lt;/contributors&gt;&lt;titles&gt;&lt;title&gt;Conquering aggregation-induced solid-state luminescence quenching of carbon dots through a carbon dots-triggered silica gelation process&lt;/title&gt;&lt;secondary-title&gt;Chemistry of Materials&lt;/secondary-title&gt;&lt;/titles&gt;&lt;periodical&gt;&lt;full-title&gt;Chemistry of Materials&lt;/full-title&gt;&lt;/periodical&gt;&lt;pages&gt;1779-1787&lt;/pages&gt;&lt;volume&gt;29&lt;/volume&gt;&lt;number&gt;4&lt;/number&gt;&lt;dates&gt;&lt;year&gt;2017&lt;/year&gt;&lt;/dates&gt;&lt;isbn&gt;0897-4756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2BD4853D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31" w:type="dxa"/>
            <w:vAlign w:val="center"/>
          </w:tcPr>
          <w:p w14:paraId="5E01E85D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vAlign w:val="center"/>
          </w:tcPr>
          <w:p w14:paraId="0A3C2FC0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43 nm</w:t>
            </w:r>
          </w:p>
        </w:tc>
        <w:tc>
          <w:tcPr>
            <w:tcW w:w="1794" w:type="dxa"/>
            <w:vAlign w:val="center"/>
          </w:tcPr>
          <w:p w14:paraId="420084C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5.3 %</w:t>
            </w:r>
          </w:p>
        </w:tc>
        <w:tc>
          <w:tcPr>
            <w:tcW w:w="1718" w:type="dxa"/>
            <w:vAlign w:val="center"/>
          </w:tcPr>
          <w:p w14:paraId="28F3CB8C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&lt;EndNote&gt;&lt;Cite&gt;&lt;Author&gt;Ding&lt;/Author&gt;&lt;Year&gt;2023&lt;/Year&gt;&lt;RecNum&gt;32&lt;/RecNum&gt;&lt;DisplayText&gt;&lt;style face="superscript"&gt;3&lt;/style&gt;&lt;/DisplayText&gt;&lt;record&gt;&lt;rec-number&gt;32&lt;/rec-number&gt;&lt;foreign-keys&gt;&lt;key app="EN" db-id="t9rar9v219wtd7efs265w5p8vrpv5vdz2dxr" timestamp="1737640675"&gt;32&lt;/key&gt;&lt;/foreign-keys&gt;&lt;ref-type name="Journal Article"&gt;17&lt;/ref-type&gt;&lt;contributors&gt;&lt;authors&gt;&lt;author&gt;Ding, Hui&lt;/author&gt;&lt;author&gt;Zhao, Ran&lt;/author&gt;&lt;author&gt;Zhang, Zi-Hui&lt;/author&gt;&lt;author&gt;Yang, Jia-Jia&lt;/author&gt;&lt;author&gt;Wang, Zheng&lt;/author&gt;&lt;author&gt;Xiao, Lu-Lan&lt;/author&gt;&lt;author&gt;Li, Xue-Hua&lt;/author&gt;&lt;author&gt;He, Xin-Jian&lt;/author&gt;&lt;author&gt;Xiong, Huan-Ming&lt;/author&gt;&lt;/authors&gt;&lt;/contributors&gt;&lt;titles&gt;&lt;title&gt;Kilogram-scale synthesis of carbon dots with high-efficiency full-color solid-state fluorescence using an aggregation-induced emission strategy&lt;/title&gt;&lt;secondary-title&gt;Chemical Engineering Journal&lt;/secondary-title&gt;&lt;/titles&gt;&lt;periodical&gt;&lt;full-title&gt;Chemical Engineering Journal&lt;/full-title&gt;&lt;/periodical&gt;&lt;pages&gt;146405&lt;/pages&gt;&lt;volume&gt;476&lt;/volume&gt;&lt;dates&gt;&lt;year&gt;2023&lt;/year&gt;&lt;/dates&gt;&lt;isbn&gt;1385-8947&lt;/isbn&gt;&lt;urls&gt;&lt;/urls&gt;&lt;/record&gt;&lt;/Cite&gt;&lt;/EndNote&gt;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4F31B4C7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31" w:type="dxa"/>
            <w:vAlign w:val="center"/>
          </w:tcPr>
          <w:p w14:paraId="130844AA">
            <w:pPr>
              <w:widowControl/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vAlign w:val="center"/>
          </w:tcPr>
          <w:p w14:paraId="3F3ED685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09 nm</w:t>
            </w:r>
          </w:p>
        </w:tc>
        <w:tc>
          <w:tcPr>
            <w:tcW w:w="1794" w:type="dxa"/>
            <w:vAlign w:val="center"/>
          </w:tcPr>
          <w:p w14:paraId="68B87EF6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8.8 %</w:t>
            </w:r>
          </w:p>
        </w:tc>
        <w:tc>
          <w:tcPr>
            <w:tcW w:w="1718" w:type="dxa"/>
            <w:vAlign w:val="center"/>
          </w:tcPr>
          <w:p w14:paraId="08EB8A9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&lt;EndNote&gt;&lt;Cite&gt;&lt;Author&gt;Ding&lt;/Author&gt;&lt;Year&gt;2023&lt;/Year&gt;&lt;RecNum&gt;32&lt;/RecNum&gt;&lt;DisplayText&gt;&lt;style face="superscript"&gt;3&lt;/style&gt;&lt;/DisplayText&gt;&lt;record&gt;&lt;rec-number&gt;32&lt;/rec-number&gt;&lt;foreign-keys&gt;&lt;key app="EN" db-id="t9rar9v219wtd7efs265w5p8vrpv5vdz2dxr" timestamp="1737640675"&gt;32&lt;/key&gt;&lt;/foreign-keys&gt;&lt;ref-type name="Journal Article"&gt;17&lt;/ref-type&gt;&lt;contributors&gt;&lt;authors&gt;&lt;author&gt;Ding, Hui&lt;/author&gt;&lt;author&gt;Zhao, Ran&lt;/author&gt;&lt;author&gt;Zhang, Zi-Hui&lt;/author&gt;&lt;author&gt;Yang, Jia-Jia&lt;/author&gt;&lt;author&gt;Wang, Zheng&lt;/author&gt;&lt;author&gt;Xiao, Lu-Lan&lt;/author&gt;&lt;author&gt;Li, Xue-Hua&lt;/author&gt;&lt;author&gt;He, Xin-Jian&lt;/author&gt;&lt;author&gt;Xiong, Huan-Ming&lt;/author&gt;&lt;/authors&gt;&lt;/contributors&gt;&lt;titles&gt;&lt;title&gt;Kilogram-scale synthesis of carbon dots with high-efficiency full-color solid-state fluorescence using an aggregation-induced emission strategy&lt;/title&gt;&lt;secondary-title&gt;Chemical Engineering Journal&lt;/secondary-title&gt;&lt;/titles&gt;&lt;periodical&gt;&lt;full-title&gt;Chemical Engineering Journal&lt;/full-title&gt;&lt;/periodical&gt;&lt;pages&gt;146405&lt;/pages&gt;&lt;volume&gt;476&lt;/volume&gt;&lt;dates&gt;&lt;year&gt;2023&lt;/year&gt;&lt;/dates&gt;&lt;isbn&gt;1385-8947&lt;/isbn&gt;&lt;urls&gt;&lt;/urls&gt;&lt;/record&gt;&lt;/Cite&gt;&lt;/EndNote&gt;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389E6DD0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31" w:type="dxa"/>
            <w:vAlign w:val="center"/>
          </w:tcPr>
          <w:p w14:paraId="40F106EB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vAlign w:val="center"/>
          </w:tcPr>
          <w:p w14:paraId="79A329ED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63 nm</w:t>
            </w:r>
          </w:p>
        </w:tc>
        <w:tc>
          <w:tcPr>
            <w:tcW w:w="1794" w:type="dxa"/>
            <w:vAlign w:val="center"/>
          </w:tcPr>
          <w:p w14:paraId="038C7106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3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6.7 %</w:t>
            </w:r>
          </w:p>
        </w:tc>
        <w:tc>
          <w:tcPr>
            <w:tcW w:w="1718" w:type="dxa"/>
            <w:vAlign w:val="center"/>
          </w:tcPr>
          <w:p w14:paraId="3DD89379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&lt;EndNote&gt;&lt;Cite&gt;&lt;Author&gt;Ding&lt;/Author&gt;&lt;Year&gt;2023&lt;/Year&gt;&lt;RecNum&gt;32&lt;/RecNum&gt;&lt;DisplayText&gt;&lt;style face="superscript"&gt;3&lt;/style&gt;&lt;/DisplayText&gt;&lt;record&gt;&lt;rec-number&gt;32&lt;/rec-number&gt;&lt;foreign-keys&gt;&lt;key app="EN" db-id="t9rar9v219wtd7efs265w5p8vrpv5vdz2dxr" timestamp="1737640675"&gt;32&lt;/key&gt;&lt;/foreign-keys&gt;&lt;ref-type name="Journal Article"&gt;17&lt;/ref-type&gt;&lt;contributors&gt;&lt;authors&gt;&lt;author&gt;Ding, Hui&lt;/author&gt;&lt;author&gt;Zhao, Ran&lt;/author&gt;&lt;author&gt;Zhang, Zi-Hui&lt;/author&gt;&lt;author&gt;Yang, Jia-Jia&lt;/author&gt;&lt;author&gt;Wang, Zheng&lt;/author&gt;&lt;author&gt;Xiao, Lu-Lan&lt;/author&gt;&lt;author&gt;Li, Xue-Hua&lt;/author&gt;&lt;author&gt;He, Xin-Jian&lt;/author&gt;&lt;author&gt;Xiong, Huan-Ming&lt;/author&gt;&lt;/authors&gt;&lt;/contributors&gt;&lt;titles&gt;&lt;title&gt;Kilogram-scale synthesis of carbon dots with high-efficiency full-color solid-state fluorescence using an aggregation-induced emission strategy&lt;/title&gt;&lt;secondary-title&gt;Chemical Engineering Journal&lt;/secondary-title&gt;&lt;/titles&gt;&lt;periodical&gt;&lt;full-title&gt;Chemical Engineering Journal&lt;/full-title&gt;&lt;/periodical&gt;&lt;pages&gt;146405&lt;/pages&gt;&lt;volume&gt;476&lt;/volume&gt;&lt;dates&gt;&lt;year&gt;2023&lt;/year&gt;&lt;/dates&gt;&lt;isbn&gt;1385-8947&lt;/isbn&gt;&lt;urls&gt;&lt;/urls&gt;&lt;/record&gt;&lt;/Cite&gt;&lt;/EndNote&gt;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1DEBA71D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30E78AC6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vAlign w:val="center"/>
          </w:tcPr>
          <w:p w14:paraId="3DC388F9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13 nm</w:t>
            </w:r>
          </w:p>
        </w:tc>
        <w:tc>
          <w:tcPr>
            <w:tcW w:w="1794" w:type="dxa"/>
            <w:vAlign w:val="center"/>
          </w:tcPr>
          <w:p w14:paraId="116A9765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7.9 %</w:t>
            </w:r>
          </w:p>
        </w:tc>
        <w:tc>
          <w:tcPr>
            <w:tcW w:w="1718" w:type="dxa"/>
            <w:vAlign w:val="center"/>
          </w:tcPr>
          <w:p w14:paraId="413EB67D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&lt;EndNote&gt;&lt;Cite&gt;&lt;Author&gt;Ding&lt;/Author&gt;&lt;Year&gt;2023&lt;/Year&gt;&lt;RecNum&gt;32&lt;/RecNum&gt;&lt;DisplayText&gt;&lt;style face="superscript"&gt;3&lt;/style&gt;&lt;/DisplayText&gt;&lt;record&gt;&lt;rec-number&gt;32&lt;/rec-number&gt;&lt;foreign-keys&gt;&lt;key app="EN" db-id="t9rar9v219wtd7efs265w5p8vrpv5vdz2dxr" timestamp="1737640675"&gt;32&lt;/key&gt;&lt;/foreign-keys&gt;&lt;ref-type name="Journal Article"&gt;17&lt;/ref-type&gt;&lt;contributors&gt;&lt;authors&gt;&lt;author&gt;Ding, Hui&lt;/author&gt;&lt;author&gt;Zhao, Ran&lt;/author&gt;&lt;author&gt;Zhang, Zi-Hui&lt;/author&gt;&lt;author&gt;Yang, Jia-Jia&lt;/author&gt;&lt;author&gt;Wang, Zheng&lt;/author&gt;&lt;author&gt;Xiao, Lu-Lan&lt;/author&gt;&lt;author&gt;Li, Xue-Hua&lt;/author&gt;&lt;author&gt;He, Xin-Jian&lt;/author&gt;&lt;author&gt;Xiong, Huan-Ming&lt;/author&gt;&lt;/authors&gt;&lt;/contributors&gt;&lt;titles&gt;&lt;title&gt;Kilogram-scale synthesis of carbon dots with high-efficiency full-color solid-state fluorescence using an aggregation-induced emission strategy&lt;/title&gt;&lt;secondary-title&gt;Chemical Engineering Journal&lt;/secondary-title&gt;&lt;/titles&gt;&lt;periodical&gt;&lt;full-title&gt;Chemical Engineering Journal&lt;/full-title&gt;&lt;/periodical&gt;&lt;pages&gt;146405&lt;/pages&gt;&lt;volume&gt;476&lt;/volume&gt;&lt;dates&gt;&lt;year&gt;2023&lt;/year&gt;&lt;/dates&gt;&lt;isbn&gt;1385-8947&lt;/isbn&gt;&lt;urls&gt;&lt;/urls&gt;&lt;/record&gt;&lt;/Cite&gt;&lt;/EndNote&gt;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5B43FA4D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7476C4DF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vAlign w:val="center"/>
          </w:tcPr>
          <w:p w14:paraId="0B6B87D7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25 nm</w:t>
            </w:r>
          </w:p>
        </w:tc>
        <w:tc>
          <w:tcPr>
            <w:tcW w:w="1794" w:type="dxa"/>
            <w:vAlign w:val="center"/>
          </w:tcPr>
          <w:p w14:paraId="3746FB14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8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1 %</w:t>
            </w:r>
          </w:p>
        </w:tc>
        <w:tc>
          <w:tcPr>
            <w:tcW w:w="1718" w:type="dxa"/>
            <w:vAlign w:val="center"/>
          </w:tcPr>
          <w:p w14:paraId="391AFC0B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&lt;EndNote&gt;&lt;Cite&gt;&lt;Author&gt;Wang&lt;/Author&gt;&lt;Year&gt;2020&lt;/Year&gt;&lt;RecNum&gt;33&lt;/RecNum&gt;&lt;DisplayText&gt;&lt;style face="superscript"&gt;4&lt;/style&gt;&lt;/DisplayText&gt;&lt;record&gt;&lt;rec-number&gt;33&lt;/rec-number&gt;&lt;foreign-keys&gt;&lt;key app="EN" db-id="t9rar9v219wtd7efs265w5p8vrpv5vdz2dxr" timestamp="1737640773"&gt;33&lt;/key&gt;&lt;/foreign-keys&gt;&lt;ref-type name="Journal Article"&gt;17&lt;/ref-type&gt;&lt;contributors&gt;&lt;authors&gt;&lt;author&gt;Wang, Henggang&lt;/author&gt;&lt;author&gt;Zhang, Zhen&lt;/author&gt;&lt;author&gt;Yan, Qinqin&lt;/author&gt;&lt;author&gt;Zhang, Chenyang&lt;/author&gt;&lt;author&gt;Xing, Yifei&lt;/author&gt;&lt;author&gt;Xiong, Yuan&lt;/author&gt;&lt;author&gt;Zhang, Feng&lt;/author&gt;&lt;author&gt;Wang, Zhenguang&lt;/author&gt;&lt;/authors&gt;&lt;/contributors&gt;&lt;titles&gt;&lt;title&gt;Highly Luminescent Solid‐State Carbon Dots Embedded in a Boric Acid Matrix&lt;/title&gt;&lt;secondary-title&gt;ChemistrySelect&lt;/secondary-title&gt;&lt;/titles&gt;&lt;periodical&gt;&lt;full-title&gt;ChemistrySelect&lt;/full-title&gt;&lt;/periodical&gt;&lt;pages&gt;13969-13973&lt;/pages&gt;&lt;volume&gt;5&lt;/volume&gt;&lt;number&gt;44&lt;/number&gt;&lt;dates&gt;&lt;year&gt;2020&lt;/year&gt;&lt;/dates&gt;&lt;isbn&gt;2365-6549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080CA9C3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59E640AD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Cu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4I6(pr-ted)2 NPs</w:t>
            </w:r>
          </w:p>
        </w:tc>
        <w:tc>
          <w:tcPr>
            <w:tcW w:w="1893" w:type="dxa"/>
            <w:vAlign w:val="center"/>
          </w:tcPr>
          <w:p w14:paraId="714C0B7B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15 nm</w:t>
            </w:r>
          </w:p>
        </w:tc>
        <w:tc>
          <w:tcPr>
            <w:tcW w:w="1794" w:type="dxa"/>
            <w:vAlign w:val="center"/>
          </w:tcPr>
          <w:p w14:paraId="0D615756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9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1.1 %</w:t>
            </w:r>
          </w:p>
        </w:tc>
        <w:tc>
          <w:tcPr>
            <w:tcW w:w="1718" w:type="dxa"/>
            <w:vAlign w:val="center"/>
          </w:tcPr>
          <w:p w14:paraId="6A603636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&lt;EndNote&gt;&lt;Cite&gt;&lt;Author&gt;Chen&lt;/Author&gt;&lt;Year&gt;2022&lt;/Year&gt;&lt;RecNum&gt;34&lt;/RecNum&gt;&lt;DisplayText&gt;&lt;style face="superscript"&gt;5&lt;/style&gt;&lt;/DisplayText&gt;&lt;record&gt;&lt;rec-number&gt;34&lt;/rec-number&gt;&lt;foreign-keys&gt;&lt;key app="EN" db-id="t9rar9v219wtd7efs265w5p8vrpv5vdz2dxr" timestamp="1737640947"&gt;34&lt;/key&gt;&lt;/foreign-keys&gt;&lt;ref-type name="Journal Article"&gt;17&lt;/ref-type&gt;&lt;contributors&gt;&lt;authors&gt;&lt;author&gt;Chen, Jiancang&lt;/author&gt;&lt;author&gt;Zhao, Haiguang&lt;/author&gt;&lt;author&gt;Li, Zhilin&lt;/author&gt;&lt;author&gt;Zhao, Xiujian&lt;/author&gt;&lt;author&gt;Gong, Xiao&lt;/author&gt;&lt;/authors&gt;&lt;/contributors&gt;&lt;titles&gt;&lt;title&gt;Highly efficient tandem luminescent solar concentrators based on eco-friendly copper iodide based hybrid nanoparticles and carbon dots&lt;/title&gt;&lt;secondary-title&gt;Energy &amp;amp; Environmental Science&lt;/secondary-title&gt;&lt;/titles&gt;&lt;periodical&gt;&lt;full-title&gt;Energy &amp;amp; Environmental Science&lt;/full-title&gt;&lt;/periodical&gt;&lt;pages&gt;799-805&lt;/pages&gt;&lt;volume&gt;15&lt;/volume&gt;&lt;number&gt;2&lt;/number&gt;&lt;dates&gt;&lt;year&gt;2022&lt;/year&gt;&lt;/dates&gt;&lt;urls&gt;&lt;/urls&gt;&lt;/record&gt;&lt;/Cite&gt;&lt;/EndNote&gt;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05154C5B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68D93FC8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CDs</w:t>
            </w:r>
          </w:p>
        </w:tc>
        <w:tc>
          <w:tcPr>
            <w:tcW w:w="1893" w:type="dxa"/>
            <w:vAlign w:val="center"/>
          </w:tcPr>
          <w:p w14:paraId="7170C05B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48 nm</w:t>
            </w:r>
          </w:p>
        </w:tc>
        <w:tc>
          <w:tcPr>
            <w:tcW w:w="1794" w:type="dxa"/>
            <w:vAlign w:val="center"/>
          </w:tcPr>
          <w:p w14:paraId="0D90680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9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2.2 %</w:t>
            </w:r>
          </w:p>
        </w:tc>
        <w:tc>
          <w:tcPr>
            <w:tcW w:w="1718" w:type="dxa"/>
            <w:vAlign w:val="center"/>
          </w:tcPr>
          <w:p w14:paraId="77F4CAC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&lt;EndNote&gt;&lt;Cite&gt;&lt;Author&gt;Chen&lt;/Author&gt;&lt;Year&gt;2022&lt;/Year&gt;&lt;RecNum&gt;34&lt;/RecNum&gt;&lt;DisplayText&gt;&lt;style face="superscript"&gt;5&lt;/style&gt;&lt;/DisplayText&gt;&lt;record&gt;&lt;rec-number&gt;34&lt;/rec-number&gt;&lt;foreign-keys&gt;&lt;key app="EN" db-id="t9rar9v219wtd7efs265w5p8vrpv5vdz2dxr" timestamp="1737640947"&gt;34&lt;/key&gt;&lt;/foreign-keys&gt;&lt;ref-type name="Journal Article"&gt;17&lt;/ref-type&gt;&lt;contributors&gt;&lt;authors&gt;&lt;author&gt;Chen, Jiancang&lt;/author&gt;&lt;author&gt;Zhao, Haiguang&lt;/author&gt;&lt;author&gt;Li, Zhilin&lt;/author&gt;&lt;author&gt;Zhao, Xiujian&lt;/author&gt;&lt;author&gt;Gong, Xiao&lt;/author&gt;&lt;/authors&gt;&lt;/contributors&gt;&lt;titles&gt;&lt;title&gt;Highly efficient tandem luminescent solar concentrators based on eco-friendly copper iodide based hybrid nanoparticles and carbon dots&lt;/title&gt;&lt;secondary-title&gt;Energy &amp;amp; Environmental Science&lt;/secondary-title&gt;&lt;/titles&gt;&lt;periodical&gt;&lt;full-title&gt;Energy &amp;amp; Environmental Science&lt;/full-title&gt;&lt;/periodical&gt;&lt;pages&gt;799-805&lt;/pages&gt;&lt;volume&gt;15&lt;/volume&gt;&lt;number&gt;2&lt;/number&gt;&lt;dates&gt;&lt;year&gt;2022&lt;/year&gt;&lt;/dates&gt;&lt;urls&gt;&lt;/urls&gt;&lt;/record&gt;&lt;/Cite&gt;&lt;/EndNote&gt;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2E2BA8E0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1D1EFAEE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a-CDs</w:t>
            </w:r>
          </w:p>
        </w:tc>
        <w:tc>
          <w:tcPr>
            <w:tcW w:w="1893" w:type="dxa"/>
            <w:vAlign w:val="center"/>
          </w:tcPr>
          <w:p w14:paraId="488D34F5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25 nm</w:t>
            </w:r>
          </w:p>
        </w:tc>
        <w:tc>
          <w:tcPr>
            <w:tcW w:w="1794" w:type="dxa"/>
            <w:vAlign w:val="center"/>
          </w:tcPr>
          <w:p w14:paraId="6C357331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8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8.78 %</w:t>
            </w:r>
          </w:p>
        </w:tc>
        <w:tc>
          <w:tcPr>
            <w:tcW w:w="1718" w:type="dxa"/>
            <w:vAlign w:val="center"/>
          </w:tcPr>
          <w:p w14:paraId="599116FC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&lt;EndNote&gt;&lt;Cite&gt;&lt;Author&gt;Li&lt;/Author&gt;&lt;Year&gt;2024&lt;/Year&gt;&lt;RecNum&gt;35&lt;/RecNum&gt;&lt;DisplayText&gt;&lt;style face="superscript"&gt;6&lt;/style&gt;&lt;/DisplayText&gt;&lt;record&gt;&lt;rec-number&gt;35&lt;/rec-number&gt;&lt;foreign-keys&gt;&lt;key app="EN" db-id="t9rar9v219wtd7efs265w5p8vrpv5vdz2dxr" timestamp="1737641029"&gt;35&lt;/key&gt;&lt;/foreign-keys&gt;&lt;ref-type name="Journal Article"&gt;17&lt;/ref-type&gt;&lt;contributors&gt;&lt;authors&gt;&lt;author&gt;Li, Jiurong&lt;/author&gt;&lt;author&gt;Zhao, Haiguang&lt;/author&gt;&lt;author&gt;Zhao, Xiujian&lt;/author&gt;&lt;author&gt;Gong, Xiao&lt;/author&gt;&lt;/authors&gt;&lt;/contributors&gt;&lt;titles&gt;&lt;title&gt;High‐Efficiency Luminescent Solar Concentrators Based on Carbon Dots with Simultaneously Ultrabright Solid‐State and Liquid‐State Luminescence&lt;/title&gt;&lt;secondary-title&gt;Advanced Functional Materials&lt;/secondary-title&gt;&lt;/titles&gt;&lt;periodical&gt;&lt;full-title&gt;Advanced Functional Materials&lt;/full-title&gt;&lt;/periodical&gt;&lt;pages&gt;2404473&lt;/pages&gt;&lt;dates&gt;&lt;year&gt;2024&lt;/year&gt;&lt;/dates&gt;&lt;isbn&gt;1616-301X&lt;/isbn&gt;&lt;urls&gt;&lt;/urls&gt;&lt;/record&gt;&lt;/Cite&gt;&lt;/EndNote&gt;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6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4A088ED1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tcBorders>
              <w:bottom w:val="nil"/>
            </w:tcBorders>
            <w:vAlign w:val="center"/>
          </w:tcPr>
          <w:p w14:paraId="5BFA5F5B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tcBorders>
              <w:bottom w:val="nil"/>
            </w:tcBorders>
            <w:vAlign w:val="center"/>
          </w:tcPr>
          <w:p w14:paraId="2F2918ED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70 nm</w:t>
            </w:r>
          </w:p>
        </w:tc>
        <w:tc>
          <w:tcPr>
            <w:tcW w:w="1794" w:type="dxa"/>
            <w:tcBorders>
              <w:bottom w:val="nil"/>
            </w:tcBorders>
            <w:vAlign w:val="center"/>
          </w:tcPr>
          <w:p w14:paraId="56AE0108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7.7 %</w:t>
            </w:r>
          </w:p>
        </w:tc>
        <w:tc>
          <w:tcPr>
            <w:tcW w:w="1718" w:type="dxa"/>
            <w:tcBorders>
              <w:bottom w:val="nil"/>
            </w:tcBorders>
            <w:vAlign w:val="center"/>
          </w:tcPr>
          <w:p w14:paraId="6C6A6DF0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&lt;EndNote&gt;&lt;Cite&gt;&lt;Author&gt;Xu&lt;/Author&gt;&lt;Year&gt;2023&lt;/Year&gt;&lt;RecNum&gt;36&lt;/RecNum&gt;&lt;DisplayText&gt;&lt;style face="superscript"&gt;7&lt;/style&gt;&lt;/DisplayText&gt;&lt;record&gt;&lt;rec-number&gt;36&lt;/rec-number&gt;&lt;foreign-keys&gt;&lt;key app="EN" db-id="t9rar9v219wtd7efs265w5p8vrpv5vdz2dxr" timestamp="1737641201"&gt;36&lt;/key&gt;&lt;/foreign-keys&gt;&lt;ref-type name="Journal Article"&gt;17&lt;/ref-type&gt;&lt;contributors&gt;&lt;authors&gt;&lt;author&gt;Xu, Bin&lt;/author&gt;&lt;author&gt;Li, Jie&lt;/author&gt;&lt;author&gt;Zhang, Jing&lt;/author&gt;&lt;author&gt;Ning, Huiying&lt;/author&gt;&lt;author&gt;Fang, Xiaoqi&lt;/author&gt;&lt;author&gt;Shen, Jian&lt;/author&gt;&lt;author&gt;Zhou, Heng&lt;/author&gt;&lt;author&gt;Jiang, Tianlong&lt;/author&gt;&lt;author&gt;Gao, Zhenhua&lt;/author&gt;&lt;author&gt;Meng, Xiangeng&lt;/author&gt;&lt;/authors&gt;&lt;/contributors&gt;&lt;titles&gt;&lt;title&gt;Solid‐State Fluorescent Carbon Dots with Unprecedented Efficiency from Visible to Near‐Infrared Region&lt;/title&gt;&lt;secondary-title&gt;Advanced Science&lt;/secondary-title&gt;&lt;/titles&gt;&lt;periodical&gt;&lt;full-title&gt;Advanced Science&lt;/full-title&gt;&lt;/periodical&gt;&lt;pages&gt;2205788&lt;/pages&gt;&lt;volume&gt;10&lt;/volume&gt;&lt;number&gt;4&lt;/number&gt;&lt;dates&gt;&lt;year&gt;2023&lt;/year&gt;&lt;/dates&gt;&lt;isbn&gt;2198-3844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7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562C2328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tcBorders>
              <w:top w:val="nil"/>
            </w:tcBorders>
            <w:vAlign w:val="center"/>
          </w:tcPr>
          <w:p w14:paraId="455BC0DE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DPs</w:t>
            </w:r>
          </w:p>
        </w:tc>
        <w:tc>
          <w:tcPr>
            <w:tcW w:w="1893" w:type="dxa"/>
            <w:tcBorders>
              <w:top w:val="nil"/>
            </w:tcBorders>
            <w:vAlign w:val="center"/>
          </w:tcPr>
          <w:p w14:paraId="6C02CF6D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nil"/>
            </w:tcBorders>
            <w:vAlign w:val="center"/>
          </w:tcPr>
          <w:p w14:paraId="42DC6D14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7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5.9 %</w:t>
            </w:r>
          </w:p>
        </w:tc>
        <w:tc>
          <w:tcPr>
            <w:tcW w:w="1718" w:type="dxa"/>
            <w:tcBorders>
              <w:top w:val="nil"/>
            </w:tcBorders>
            <w:vAlign w:val="center"/>
          </w:tcPr>
          <w:p w14:paraId="1D516213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&lt;EndNote&gt;&lt;Cite&gt;&lt;Author&gt;Wei&lt;/Author&gt;&lt;Year&gt;2020&lt;/Year&gt;&lt;RecNum&gt;37&lt;/RecNum&gt;&lt;DisplayText&gt;&lt;style face="superscript"&gt;8&lt;/style&gt;&lt;/DisplayText&gt;&lt;record&gt;&lt;rec-number&gt;37&lt;/rec-number&gt;&lt;foreign-keys&gt;&lt;key app="EN" db-id="t9rar9v219wtd7efs265w5p8vrpv5vdz2dxr" timestamp="1737641385"&gt;37&lt;/key&gt;&lt;/foreign-keys&gt;&lt;ref-type name="Journal Article"&gt;17&lt;/ref-type&gt;&lt;contributors&gt;&lt;authors&gt;&lt;author&gt;Wei, Jian‐Yong&lt;/author&gt;&lt;author&gt;Lou, Qing&lt;/author&gt;&lt;author&gt;Zang, Jin‐Hao&lt;/author&gt;&lt;author&gt;Liu, Zhi‐Yu&lt;/author&gt;&lt;author&gt;Ye, Yang‐Li&lt;/author&gt;&lt;author&gt;Shen, Cheng‐Long&lt;/author&gt;&lt;author&gt;Zhao, Wen‐Bo&lt;/author&gt;&lt;author&gt;Dong, Lin&lt;/author&gt;&lt;author&gt;Shan, Chong‐Xin&lt;/author&gt;&lt;/authors&gt;&lt;/contributors&gt;&lt;titles&gt;&lt;title&gt;Scalable synthesis of green fluorescent carbon dot powders with unprecedented efficiency&lt;/title&gt;&lt;secondary-title&gt;Advanced Optical Materials&lt;/secondary-title&gt;&lt;/titles&gt;&lt;periodical&gt;&lt;full-title&gt;Advanced Optical Materials&lt;/full-title&gt;&lt;/periodical&gt;&lt;pages&gt;1901938&lt;/pages&gt;&lt;volume&gt;8&lt;/volume&gt;&lt;number&gt;7&lt;/number&gt;&lt;dates&gt;&lt;year&gt;2020&lt;/year&gt;&lt;/dates&gt;&lt;isbn&gt;2195-1071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7AB84F9B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764D8E78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Si-CDs@MAs</w:t>
            </w:r>
          </w:p>
        </w:tc>
        <w:tc>
          <w:tcPr>
            <w:tcW w:w="1893" w:type="dxa"/>
            <w:vAlign w:val="center"/>
          </w:tcPr>
          <w:p w14:paraId="185F82BD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26 nm</w:t>
            </w:r>
          </w:p>
        </w:tc>
        <w:tc>
          <w:tcPr>
            <w:tcW w:w="1794" w:type="dxa"/>
            <w:vAlign w:val="center"/>
          </w:tcPr>
          <w:p w14:paraId="23274AED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4.46 %</w:t>
            </w:r>
          </w:p>
        </w:tc>
        <w:tc>
          <w:tcPr>
            <w:tcW w:w="1718" w:type="dxa"/>
            <w:vAlign w:val="center"/>
          </w:tcPr>
          <w:p w14:paraId="35723DC4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&lt;EndNote&gt;&lt;Cite&gt;&lt;Author&gt;Chen&lt;/Author&gt;&lt;Year&gt;2022&lt;/Year&gt;&lt;RecNum&gt;38&lt;/RecNum&gt;&lt;DisplayText&gt;&lt;style face="superscript"&gt;9&lt;/style&gt;&lt;/DisplayText&gt;&lt;record&gt;&lt;rec-number&gt;38&lt;/rec-number&gt;&lt;foreign-keys&gt;&lt;key app="EN" db-id="t9rar9v219wtd7efs265w5p8vrpv5vdz2dxr" timestamp="1737641565"&gt;38&lt;/key&gt;&lt;/foreign-keys&gt;&lt;ref-type name="Journal Article"&gt;17&lt;/ref-type&gt;&lt;contributors&gt;&lt;authors&gt;&lt;author&gt;Chen, Jianying&lt;/author&gt;&lt;author&gt;Zou, Xikun&lt;/author&gt;&lt;author&gt;Li, Wei&lt;/author&gt;&lt;author&gt;Zhang, Haoran&lt;/author&gt;&lt;author&gt;Zhang, Xuejie&lt;/author&gt;&lt;author&gt;Molokeev, Maxim S&lt;/author&gt;&lt;author&gt;Liu, Yingliang&lt;/author&gt;&lt;author&gt;Lei, Bingfu&lt;/author&gt;&lt;/authors&gt;&lt;/contributors&gt;&lt;titles&gt;&lt;title&gt;Strategy to construct high thermal‐stability narrow‐band green‐emitting Si‐CDs@ MAs phosphor for wide‐color‐gamut backlight displays&lt;/title&gt;&lt;secondary-title&gt;Advanced Optical Materials&lt;/secondary-title&gt;&lt;/titles&gt;&lt;periodical&gt;&lt;full-title&gt;Advanced Optical Materials&lt;/full-title&gt;&lt;/periodical&gt;&lt;pages&gt;2200851&lt;/pages&gt;&lt;volume&gt;10&lt;/volume&gt;&lt;number&gt;21&lt;/number&gt;&lt;dates&gt;&lt;year&gt;2022&lt;/year&gt;&lt;/dates&gt;&lt;isbn&gt;2195-1071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9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3E448247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0BD2F17C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Ds</w:t>
            </w:r>
          </w:p>
        </w:tc>
        <w:tc>
          <w:tcPr>
            <w:tcW w:w="1893" w:type="dxa"/>
            <w:vAlign w:val="center"/>
          </w:tcPr>
          <w:p w14:paraId="3686E569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27 nm</w:t>
            </w:r>
          </w:p>
        </w:tc>
        <w:tc>
          <w:tcPr>
            <w:tcW w:w="1794" w:type="dxa"/>
            <w:vAlign w:val="center"/>
          </w:tcPr>
          <w:p w14:paraId="701BABE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8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3 %</w:t>
            </w:r>
          </w:p>
        </w:tc>
        <w:tc>
          <w:tcPr>
            <w:tcW w:w="1718" w:type="dxa"/>
            <w:vAlign w:val="center"/>
          </w:tcPr>
          <w:p w14:paraId="709FD1E7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&lt;EndNote&gt;&lt;Cite&gt;&lt;Author&gt;Liu&lt;/Author&gt;&lt;Year&gt;2023&lt;/Year&gt;&lt;RecNum&gt;39&lt;/RecNum&gt;&lt;DisplayText&gt;&lt;style face="superscript"&gt;10&lt;/style&gt;&lt;/DisplayText&gt;&lt;record&gt;&lt;rec-number&gt;39&lt;/rec-number&gt;&lt;foreign-keys&gt;&lt;key app="EN" db-id="t9rar9v219wtd7efs265w5p8vrpv5vdz2dxr" timestamp="1737641870"&gt;39&lt;/key&gt;&lt;/foreign-keys&gt;&lt;ref-type name="Journal Article"&gt;17&lt;/ref-type&gt;&lt;contributors&gt;&lt;authors&gt;&lt;author&gt;Liu, Xinghua&lt;/author&gt;&lt;author&gt;Yan, Lingpeng&lt;/author&gt;&lt;author&gt;Zheng, Jingxia&lt;/author&gt;&lt;author&gt;Yang, Yongzhen&lt;/author&gt;&lt;author&gt;Liu, Xuguang&lt;/author&gt;&lt;author&gt;Xu, Bingshe&lt;/author&gt;&lt;/authors&gt;&lt;/contributors&gt;&lt;titles&gt;&lt;title&gt;Highly optically and thermally stable carbon dots enabled by thermal annealing for laser illumination&lt;/title&gt;&lt;secondary-title&gt;Journal of Materials Chemistry C&lt;/secondary-title&gt;&lt;/titles&gt;&lt;periodical&gt;&lt;full-title&gt;Journal of Materials Chemistry C&lt;/full-title&gt;&lt;/periodical&gt;&lt;pages&gt;3562-3570&lt;/pages&gt;&lt;volume&gt;11&lt;/volume&gt;&lt;number&gt;10&lt;/number&gt;&lt;dates&gt;&lt;year&gt;2023&lt;/year&gt;&lt;/dates&gt;&lt;urls&gt;&lt;/urls&gt;&lt;/record&gt;&lt;/Cite&gt;&lt;/EndNote&gt;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10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6E8B851C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6546C544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vAlign w:val="center"/>
          </w:tcPr>
          <w:p w14:paraId="670ABBFC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14:paraId="21DA9D2C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8.2 %</w:t>
            </w:r>
          </w:p>
        </w:tc>
        <w:tc>
          <w:tcPr>
            <w:tcW w:w="1718" w:type="dxa"/>
            <w:vAlign w:val="center"/>
          </w:tcPr>
          <w:p w14:paraId="5ACC66AB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&lt;EndNote&gt;&lt;Cite&gt;&lt;Author&gt;Wang&lt;/Author&gt;&lt;Year&gt;2022&lt;/Year&gt;&lt;RecNum&gt;40&lt;/RecNum&gt;&lt;DisplayText&gt;&lt;style face="superscript"&gt;11&lt;/style&gt;&lt;/DisplayText&gt;&lt;record&gt;&lt;rec-number&gt;40&lt;/rec-number&gt;&lt;foreign-keys&gt;&lt;key app="EN" db-id="t9rar9v219wtd7efs265w5p8vrpv5vdz2dxr" timestamp="1737642118"&gt;40&lt;/key&gt;&lt;/foreign-keys&gt;&lt;ref-type name="Journal Article"&gt;17&lt;/ref-type&gt;&lt;contributors&gt;&lt;authors&gt;&lt;author&gt;Wang, Junli&lt;/author&gt;&lt;author&gt;Zheng, Jingxia&lt;/author&gt;&lt;author&gt;Yang, Yongzhen&lt;/author&gt;&lt;author&gt;Liu, Xuguang&lt;/author&gt;&lt;author&gt;Qiu, Jieshan&lt;/author&gt;&lt;author&gt;Tian, Yue&lt;/author&gt;&lt;/authors&gt;&lt;/contributors&gt;&lt;titles&gt;&lt;title&gt;Tunable full-color solid-state fluorescent carbon dots for light emitting diodes&lt;/title&gt;&lt;secondary-title&gt;Carbon&lt;/secondary-title&gt;&lt;/titles&gt;&lt;periodical&gt;&lt;full-title&gt;Carbon&lt;/full-title&gt;&lt;/periodical&gt;&lt;pages&gt;22-31&lt;/pages&gt;&lt;volume&gt;190&lt;/volume&gt;&lt;dates&gt;&lt;year&gt;2022&lt;/year&gt;&lt;/dates&gt;&lt;isbn&gt;0008-6223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11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3AADF732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797E7EF3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Ds-2</w:t>
            </w:r>
          </w:p>
        </w:tc>
        <w:tc>
          <w:tcPr>
            <w:tcW w:w="1893" w:type="dxa"/>
            <w:vAlign w:val="center"/>
          </w:tcPr>
          <w:p w14:paraId="04D9332E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30 nm</w:t>
            </w:r>
          </w:p>
        </w:tc>
        <w:tc>
          <w:tcPr>
            <w:tcW w:w="1794" w:type="dxa"/>
            <w:vAlign w:val="center"/>
          </w:tcPr>
          <w:p w14:paraId="1B8D2BC7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7</w:t>
            </w:r>
            <w:r>
              <w:rPr>
                <w:rFonts w:ascii="Times New Roman" w:hAnsi="Times New Roman" w:eastAsia="黑体"/>
                <w:sz w:val="24"/>
                <w:szCs w:val="24"/>
              </w:rPr>
              <w:t xml:space="preserve">8 % </w:t>
            </w:r>
          </w:p>
        </w:tc>
        <w:tc>
          <w:tcPr>
            <w:tcW w:w="1718" w:type="dxa"/>
            <w:vAlign w:val="center"/>
          </w:tcPr>
          <w:p w14:paraId="11D53063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&lt;EndNote&gt;&lt;Cite&gt;&lt;Author&gt;Liu&lt;/Author&gt;&lt;Year&gt;2023&lt;/Year&gt;&lt;RecNum&gt;41&lt;/RecNum&gt;&lt;DisplayText&gt;&lt;style face="superscript"&gt;12&lt;/style&gt;&lt;/DisplayText&gt;&lt;record&gt;&lt;rec-number&gt;41&lt;/rec-number&gt;&lt;foreign-keys&gt;&lt;key app="EN" db-id="t9rar9v219wtd7efs265w5p8vrpv5vdz2dxr" timestamp="1737642324"&gt;41&lt;/key&gt;&lt;/foreign-keys&gt;&lt;ref-type name="Journal Article"&gt;17&lt;/ref-type&gt;&lt;contributors&gt;&lt;authors&gt;&lt;author&gt;Liu, Xiaojing&lt;/author&gt;&lt;author&gt;Liu, Weifeng&lt;/author&gt;&lt;author&gt;Zuo, Kun&lt;/author&gt;&lt;author&gt;Zheng, Jingxia&lt;/author&gt;&lt;author&gt;Wang, Meiling&lt;/author&gt;&lt;author&gt;Liu, Xuguang&lt;/author&gt;&lt;/authors&gt;&lt;/contributors&gt;&lt;titles&gt;&lt;title&gt;High color stability blue-to-violet room temperature phosphorescent carbon dot composites with ultralong lifetime for information encryption&lt;/title&gt;&lt;secondary-title&gt;ACS Sustainable Chemistry &amp;amp; Engineering&lt;/secondary-title&gt;&lt;/titles&gt;&lt;periodical&gt;&lt;full-title&gt;ACS Sustainable Chemistry &amp;amp; Engineering&lt;/full-title&gt;&lt;/periodical&gt;&lt;pages&gt;1809-1819&lt;/pages&gt;&lt;volume&gt;11&lt;/volume&gt;&lt;number&gt;5&lt;/number&gt;&lt;dates&gt;&lt;year&gt;2023&lt;/year&gt;&lt;/dates&gt;&lt;isbn&gt;2168-0485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12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336D076D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3EF0F99A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-SiCDs</w:t>
            </w:r>
          </w:p>
        </w:tc>
        <w:tc>
          <w:tcPr>
            <w:tcW w:w="1893" w:type="dxa"/>
            <w:vAlign w:val="center"/>
          </w:tcPr>
          <w:p w14:paraId="3DA46AE1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38 nm</w:t>
            </w:r>
          </w:p>
        </w:tc>
        <w:tc>
          <w:tcPr>
            <w:tcW w:w="1794" w:type="dxa"/>
            <w:vAlign w:val="center"/>
          </w:tcPr>
          <w:p w14:paraId="67A4FCB9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1 %</w:t>
            </w:r>
          </w:p>
        </w:tc>
        <w:tc>
          <w:tcPr>
            <w:tcW w:w="1718" w:type="dxa"/>
            <w:vAlign w:val="center"/>
          </w:tcPr>
          <w:p w14:paraId="3F802DE2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&lt;EndNote&gt;&lt;Cite&gt;&lt;Author&gt;Hu&lt;/Author&gt;&lt;Year&gt;2023&lt;/Year&gt;&lt;RecNum&gt;42&lt;/RecNum&gt;&lt;DisplayText&gt;&lt;style face="superscript"&gt;13&lt;/style&gt;&lt;/DisplayText&gt;&lt;record&gt;&lt;rec-number&gt;42&lt;/rec-number&gt;&lt;foreign-keys&gt;&lt;key app="EN" db-id="t9rar9v219wtd7efs265w5p8vrpv5vdz2dxr" timestamp="1737646901"&gt;42&lt;/key&gt;&lt;/foreign-keys&gt;&lt;ref-type name="Journal Article"&gt;17&lt;/ref-type&gt;&lt;contributors&gt;&lt;authors&gt;&lt;author&gt;Hu, Guangzhou&lt;/author&gt;&lt;author&gt;Wang, Yang&lt;/author&gt;&lt;author&gt;Zhang, Shuang&lt;/author&gt;&lt;author&gt;Ding, Hui&lt;/author&gt;&lt;author&gt;Zhou, Ziyuan&lt;/author&gt;&lt;author&gt;Wei, Jishi&lt;/author&gt;&lt;author&gt;Li, Xuehua&lt;/author&gt;&lt;author&gt;Xiong, Huanming&lt;/author&gt;&lt;/authors&gt;&lt;/contributors&gt;&lt;titles&gt;&lt;title&gt;Rational synthesis of silane-functionalized carbon dots with high-efficiency full-color solid-state fluorescence for light emitting diodes&lt;/title&gt;&lt;secondary-title&gt;Carbon&lt;/secondary-title&gt;&lt;/titles&gt;&lt;periodical&gt;&lt;full-title&gt;Carbon&lt;/full-title&gt;&lt;/periodical&gt;&lt;pages&gt;1-10&lt;/pages&gt;&lt;volume&gt;203&lt;/volume&gt;&lt;dates&gt;&lt;year&gt;2023&lt;/year&gt;&lt;/dates&gt;&lt;isbn&gt;0008-6223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386542C8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78C2AFA5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-SiCDs</w:t>
            </w:r>
          </w:p>
        </w:tc>
        <w:tc>
          <w:tcPr>
            <w:tcW w:w="1893" w:type="dxa"/>
            <w:vAlign w:val="center"/>
          </w:tcPr>
          <w:p w14:paraId="5FD93EFB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14 nm</w:t>
            </w:r>
          </w:p>
        </w:tc>
        <w:tc>
          <w:tcPr>
            <w:tcW w:w="1794" w:type="dxa"/>
            <w:vAlign w:val="center"/>
          </w:tcPr>
          <w:p w14:paraId="2C520EB5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3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3 %</w:t>
            </w:r>
          </w:p>
        </w:tc>
        <w:tc>
          <w:tcPr>
            <w:tcW w:w="1718" w:type="dxa"/>
            <w:vAlign w:val="center"/>
          </w:tcPr>
          <w:p w14:paraId="630B0254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&lt;EndNote&gt;&lt;Cite&gt;&lt;Author&gt;Hu&lt;/Author&gt;&lt;Year&gt;2023&lt;/Year&gt;&lt;RecNum&gt;42&lt;/RecNum&gt;&lt;DisplayText&gt;&lt;style face="superscript"&gt;13&lt;/style&gt;&lt;/DisplayText&gt;&lt;record&gt;&lt;rec-number&gt;42&lt;/rec-number&gt;&lt;foreign-keys&gt;&lt;key app="EN" db-id="t9rar9v219wtd7efs265w5p8vrpv5vdz2dxr" timestamp="1737646901"&gt;42&lt;/key&gt;&lt;/foreign-keys&gt;&lt;ref-type name="Journal Article"&gt;17&lt;/ref-type&gt;&lt;contributors&gt;&lt;authors&gt;&lt;author&gt;Hu, Guangzhou&lt;/author&gt;&lt;author&gt;Wang, Yang&lt;/author&gt;&lt;author&gt;Zhang, Shuang&lt;/author&gt;&lt;author&gt;Ding, Hui&lt;/author&gt;&lt;author&gt;Zhou, Ziyuan&lt;/author&gt;&lt;author&gt;Wei, Jishi&lt;/author&gt;&lt;author&gt;Li, Xuehua&lt;/author&gt;&lt;author&gt;Xiong, Huanming&lt;/author&gt;&lt;/authors&gt;&lt;/contributors&gt;&lt;titles&gt;&lt;title&gt;Rational synthesis of silane-functionalized carbon dots with high-efficiency full-color solid-state fluorescence for light emitting diodes&lt;/title&gt;&lt;secondary-title&gt;Carbon&lt;/secondary-title&gt;&lt;/titles&gt;&lt;periodical&gt;&lt;full-title&gt;Carbon&lt;/full-title&gt;&lt;/periodical&gt;&lt;pages&gt;1-10&lt;/pages&gt;&lt;volume&gt;203&lt;/volume&gt;&lt;dates&gt;&lt;year&gt;2023&lt;/year&gt;&lt;/dates&gt;&lt;isbn&gt;0008-6223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753232BF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1FBFCC93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-SiCDs</w:t>
            </w:r>
          </w:p>
        </w:tc>
        <w:tc>
          <w:tcPr>
            <w:tcW w:w="1893" w:type="dxa"/>
            <w:vAlign w:val="center"/>
          </w:tcPr>
          <w:p w14:paraId="1C17D5A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77 nm</w:t>
            </w:r>
          </w:p>
        </w:tc>
        <w:tc>
          <w:tcPr>
            <w:tcW w:w="1794" w:type="dxa"/>
            <w:vAlign w:val="center"/>
          </w:tcPr>
          <w:p w14:paraId="596D497A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7 %</w:t>
            </w:r>
          </w:p>
        </w:tc>
        <w:tc>
          <w:tcPr>
            <w:tcW w:w="1718" w:type="dxa"/>
            <w:vAlign w:val="center"/>
          </w:tcPr>
          <w:p w14:paraId="50A8C248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&lt;EndNote&gt;&lt;Cite&gt;&lt;Author&gt;Hu&lt;/Author&gt;&lt;Year&gt;2023&lt;/Year&gt;&lt;RecNum&gt;42&lt;/RecNum&gt;&lt;DisplayText&gt;&lt;style face="superscript"&gt;13&lt;/style&gt;&lt;/DisplayText&gt;&lt;record&gt;&lt;rec-number&gt;42&lt;/rec-number&gt;&lt;foreign-keys&gt;&lt;key app="EN" db-id="t9rar9v219wtd7efs265w5p8vrpv5vdz2dxr" timestamp="1737646901"&gt;42&lt;/key&gt;&lt;/foreign-keys&gt;&lt;ref-type name="Journal Article"&gt;17&lt;/ref-type&gt;&lt;contributors&gt;&lt;authors&gt;&lt;author&gt;Hu, Guangzhou&lt;/author&gt;&lt;author&gt;Wang, Yang&lt;/author&gt;&lt;author&gt;Zhang, Shuang&lt;/author&gt;&lt;author&gt;Ding, Hui&lt;/author&gt;&lt;author&gt;Zhou, Ziyuan&lt;/author&gt;&lt;author&gt;Wei, Jishi&lt;/author&gt;&lt;author&gt;Li, Xuehua&lt;/author&gt;&lt;author&gt;Xiong, Huanming&lt;/author&gt;&lt;/authors&gt;&lt;/contributors&gt;&lt;titles&gt;&lt;title&gt;Rational synthesis of silane-functionalized carbon dots with high-efficiency full-color solid-state fluorescence for light emitting diodes&lt;/title&gt;&lt;secondary-title&gt;Carbon&lt;/secondary-title&gt;&lt;/titles&gt;&lt;periodical&gt;&lt;full-title&gt;Carbon&lt;/full-title&gt;&lt;/periodical&gt;&lt;pages&gt;1-10&lt;/pages&gt;&lt;volume&gt;203&lt;/volume&gt;&lt;dates&gt;&lt;year&gt;2023&lt;/year&gt;&lt;/dates&gt;&lt;isbn&gt;0008-6223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270DB35E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21D1CD7D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-SiCDs</w:t>
            </w:r>
          </w:p>
        </w:tc>
        <w:tc>
          <w:tcPr>
            <w:tcW w:w="1893" w:type="dxa"/>
            <w:vAlign w:val="center"/>
          </w:tcPr>
          <w:p w14:paraId="08C4F0E2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33 nm</w:t>
            </w:r>
          </w:p>
        </w:tc>
        <w:tc>
          <w:tcPr>
            <w:tcW w:w="1794" w:type="dxa"/>
            <w:vAlign w:val="center"/>
          </w:tcPr>
          <w:p w14:paraId="0659B19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6 %</w:t>
            </w:r>
          </w:p>
        </w:tc>
        <w:tc>
          <w:tcPr>
            <w:tcW w:w="1718" w:type="dxa"/>
            <w:vAlign w:val="center"/>
          </w:tcPr>
          <w:p w14:paraId="39FFD7FC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&lt;EndNote&gt;&lt;Cite&gt;&lt;Author&gt;Hu&lt;/Author&gt;&lt;Year&gt;2023&lt;/Year&gt;&lt;RecNum&gt;42&lt;/RecNum&gt;&lt;DisplayText&gt;&lt;style face="superscript"&gt;13&lt;/style&gt;&lt;/DisplayText&gt;&lt;record&gt;&lt;rec-number&gt;42&lt;/rec-number&gt;&lt;foreign-keys&gt;&lt;key app="EN" db-id="t9rar9v219wtd7efs265w5p8vrpv5vdz2dxr" timestamp="1737646901"&gt;42&lt;/key&gt;&lt;/foreign-keys&gt;&lt;ref-type name="Journal Article"&gt;17&lt;/ref-type&gt;&lt;contributors&gt;&lt;authors&gt;&lt;author&gt;Hu, Guangzhou&lt;/author&gt;&lt;author&gt;Wang, Yang&lt;/author&gt;&lt;author&gt;Zhang, Shuang&lt;/author&gt;&lt;author&gt;Ding, Hui&lt;/author&gt;&lt;author&gt;Zhou, Ziyuan&lt;/author&gt;&lt;author&gt;Wei, Jishi&lt;/author&gt;&lt;author&gt;Li, Xuehua&lt;/author&gt;&lt;author&gt;Xiong, Huanming&lt;/author&gt;&lt;/authors&gt;&lt;/contributors&gt;&lt;titles&gt;&lt;title&gt;Rational synthesis of silane-functionalized carbon dots with high-efficiency full-color solid-state fluorescence for light emitting diodes&lt;/title&gt;&lt;secondary-title&gt;Carbon&lt;/secondary-title&gt;&lt;/titles&gt;&lt;periodical&gt;&lt;full-title&gt;Carbon&lt;/full-title&gt;&lt;/periodical&gt;&lt;pages&gt;1-10&lt;/pages&gt;&lt;volume&gt;203&lt;/volume&gt;&lt;dates&gt;&lt;year&gt;2023&lt;/year&gt;&lt;/dates&gt;&lt;isbn&gt;0008-6223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1BFED9EE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53A6E84D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vAlign w:val="center"/>
          </w:tcPr>
          <w:p w14:paraId="452AB2EE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60 nm</w:t>
            </w:r>
          </w:p>
        </w:tc>
        <w:tc>
          <w:tcPr>
            <w:tcW w:w="1794" w:type="dxa"/>
            <w:vAlign w:val="center"/>
          </w:tcPr>
          <w:p w14:paraId="121F2FF4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8.35 %</w:t>
            </w:r>
          </w:p>
        </w:tc>
        <w:tc>
          <w:tcPr>
            <w:tcW w:w="1718" w:type="dxa"/>
            <w:vAlign w:val="center"/>
          </w:tcPr>
          <w:p w14:paraId="517F4ECC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&lt;EndNote&gt;&lt;Cite&gt;&lt;Author&gt;Wan&lt;/Author&gt;&lt;Year&gt;2023&lt;/Year&gt;&lt;RecNum&gt;43&lt;/RecNum&gt;&lt;DisplayText&gt;&lt;style face="superscript"&gt;14&lt;/style&gt;&lt;/DisplayText&gt;&lt;record&gt;&lt;rec-number&gt;43&lt;/rec-number&gt;&lt;foreign-keys&gt;&lt;key app="EN" db-id="t9rar9v219wtd7efs265w5p8vrpv5vdz2dxr" timestamp="1737648171"&gt;43&lt;/key&gt;&lt;/foreign-keys&gt;&lt;ref-type name="Journal Article"&gt;17&lt;/ref-type&gt;&lt;contributors&gt;&lt;authors&gt;&lt;author&gt;Wan, Zhijun&lt;/author&gt;&lt;author&gt;Li, Yuemiao&lt;/author&gt;&lt;author&gt;Zhou, Yizi&lt;/author&gt;&lt;author&gt;Peng, Dongping&lt;/author&gt;&lt;author&gt;Zhang, Xuejie&lt;/author&gt;&lt;author&gt;Zhuang, Jianle&lt;/author&gt;&lt;author&gt;Lei, Bingfu&lt;/author&gt;&lt;author&gt;Liu, Yingliang&lt;/author&gt;&lt;author&gt;Hu, Chaofan&lt;/author&gt;&lt;/authors&gt;&lt;/contributors&gt;&lt;titles&gt;&lt;title&gt;High‐efficiency solid‐state luminescence from hydrophilic carbon dots with aggregation‐induced emission characteristics&lt;/title&gt;&lt;secondary-title&gt;Advanced Functional Materials&lt;/secondary-title&gt;&lt;/titles&gt;&lt;periodical&gt;&lt;full-title&gt;Advanced Functional Materials&lt;/full-title&gt;&lt;/periodical&gt;&lt;pages&gt;2207296&lt;/pages&gt;&lt;volume&gt;33&lt;/volume&gt;&lt;number&gt;11&lt;/number&gt;&lt;dates&gt;&lt;year&gt;2023&lt;/year&gt;&lt;/dates&gt;&lt;isbn&gt;1616-301X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14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64A19907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1AFB2F91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CD11</w:t>
            </w:r>
          </w:p>
        </w:tc>
        <w:tc>
          <w:tcPr>
            <w:tcW w:w="1893" w:type="dxa"/>
            <w:vAlign w:val="center"/>
          </w:tcPr>
          <w:p w14:paraId="315C98AE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37 nm</w:t>
            </w:r>
          </w:p>
        </w:tc>
        <w:tc>
          <w:tcPr>
            <w:tcW w:w="1794" w:type="dxa"/>
            <w:vAlign w:val="center"/>
          </w:tcPr>
          <w:p w14:paraId="485A1E3B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0.8 %</w:t>
            </w:r>
          </w:p>
        </w:tc>
        <w:tc>
          <w:tcPr>
            <w:tcW w:w="1718" w:type="dxa"/>
            <w:vAlign w:val="center"/>
          </w:tcPr>
          <w:p w14:paraId="4446A12A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&lt;EndNote&gt;&lt;Cite&gt;&lt;Author&gt;Shen&lt;/Author&gt;&lt;Year&gt;2018&lt;/Year&gt;&lt;RecNum&gt;44&lt;/RecNum&gt;&lt;DisplayText&gt;&lt;style face="superscript"&gt;15&lt;/style&gt;&lt;/DisplayText&gt;&lt;record&gt;&lt;rec-number&gt;44&lt;/rec-number&gt;&lt;foreign-keys&gt;&lt;key app="EN" db-id="t9rar9v219wtd7efs265w5p8vrpv5vdz2dxr" timestamp="1737648539"&gt;44&lt;/key&gt;&lt;/foreign-keys&gt;&lt;ref-type name="Journal Article"&gt;17&lt;/ref-type&gt;&lt;contributors&gt;&lt;authors&gt;&lt;author&gt;Shen, Cheng-Long&lt;/author&gt;&lt;author&gt;Zang, Jin-Hao&lt;/author&gt;&lt;author&gt;Lou, Qing&lt;/author&gt;&lt;author&gt;Su, Li-Xia&lt;/author&gt;&lt;author&gt;Li, Zhen&lt;/author&gt;&lt;author&gt;Liu, Zhi-Yu&lt;/author&gt;&lt;author&gt;Dong, Lin&lt;/author&gt;&lt;author&gt;Shan, Chong-Xin&lt;/author&gt;&lt;/authors&gt;&lt;/contributors&gt;&lt;titles&gt;&lt;title&gt;In-situ embedding of carbon dots in a trisodium citrate crystal matrix for tunable solid-state fluorescence&lt;/title&gt;&lt;secondary-title&gt;Carbon&lt;/secondary-title&gt;&lt;/titles&gt;&lt;periodical&gt;&lt;full-title&gt;Carbon&lt;/full-title&gt;&lt;/periodical&gt;&lt;pages&gt;359-368&lt;/pages&gt;&lt;volume&gt;136&lt;/volume&gt;&lt;dates&gt;&lt;year&gt;2018&lt;/year&gt;&lt;/dates&gt;&lt;isbn&gt;0008-6223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15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07B4A258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26789A67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CD12</w:t>
            </w:r>
          </w:p>
        </w:tc>
        <w:tc>
          <w:tcPr>
            <w:tcW w:w="1893" w:type="dxa"/>
            <w:vAlign w:val="center"/>
          </w:tcPr>
          <w:p w14:paraId="7BC83ABB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30 nm</w:t>
            </w:r>
          </w:p>
        </w:tc>
        <w:tc>
          <w:tcPr>
            <w:tcW w:w="1794" w:type="dxa"/>
            <w:vAlign w:val="center"/>
          </w:tcPr>
          <w:p w14:paraId="4B82058E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4.9 %</w:t>
            </w:r>
          </w:p>
        </w:tc>
        <w:tc>
          <w:tcPr>
            <w:tcW w:w="1718" w:type="dxa"/>
            <w:vAlign w:val="center"/>
          </w:tcPr>
          <w:p w14:paraId="561BE889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&lt;EndNote&gt;&lt;Cite&gt;&lt;Author&gt;Shen&lt;/Author&gt;&lt;Year&gt;2018&lt;/Year&gt;&lt;RecNum&gt;44&lt;/RecNum&gt;&lt;DisplayText&gt;&lt;style face="superscript"&gt;15&lt;/style&gt;&lt;/DisplayText&gt;&lt;record&gt;&lt;rec-number&gt;44&lt;/rec-number&gt;&lt;foreign-keys&gt;&lt;key app="EN" db-id="t9rar9v219wtd7efs265w5p8vrpv5vdz2dxr" timestamp="1737648539"&gt;44&lt;/key&gt;&lt;/foreign-keys&gt;&lt;ref-type name="Journal Article"&gt;17&lt;/ref-type&gt;&lt;contributors&gt;&lt;authors&gt;&lt;author&gt;Shen, Cheng-Long&lt;/author&gt;&lt;author&gt;Zang, Jin-Hao&lt;/author&gt;&lt;author&gt;Lou, Qing&lt;/author&gt;&lt;author&gt;Su, Li-Xia&lt;/author&gt;&lt;author&gt;Li, Zhen&lt;/author&gt;&lt;author&gt;Liu, Zhi-Yu&lt;/author&gt;&lt;author&gt;Dong, Lin&lt;/author&gt;&lt;author&gt;Shan, Chong-Xin&lt;/author&gt;&lt;/authors&gt;&lt;/contributors&gt;&lt;titles&gt;&lt;title&gt;In-situ embedding of carbon dots in a trisodium citrate crystal matrix for tunable solid-state fluorescence&lt;/title&gt;&lt;secondary-title&gt;Carbon&lt;/secondary-title&gt;&lt;/titles&gt;&lt;periodical&gt;&lt;full-title&gt;Carbon&lt;/full-title&gt;&lt;/periodical&gt;&lt;pages&gt;359-368&lt;/pages&gt;&lt;volume&gt;136&lt;/volume&gt;&lt;dates&gt;&lt;year&gt;2018&lt;/year&gt;&lt;/dates&gt;&lt;isbn&gt;0008-6223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15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217430A7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37C4C3E4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CD21</w:t>
            </w:r>
          </w:p>
        </w:tc>
        <w:tc>
          <w:tcPr>
            <w:tcW w:w="1893" w:type="dxa"/>
            <w:vAlign w:val="center"/>
          </w:tcPr>
          <w:p w14:paraId="129BC4F8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13 nm</w:t>
            </w:r>
          </w:p>
        </w:tc>
        <w:tc>
          <w:tcPr>
            <w:tcW w:w="1794" w:type="dxa"/>
            <w:vAlign w:val="center"/>
          </w:tcPr>
          <w:p w14:paraId="7CE007FA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7.5 %</w:t>
            </w:r>
          </w:p>
        </w:tc>
        <w:tc>
          <w:tcPr>
            <w:tcW w:w="1718" w:type="dxa"/>
            <w:vAlign w:val="center"/>
          </w:tcPr>
          <w:p w14:paraId="399EF044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&lt;EndNote&gt;&lt;Cite&gt;&lt;Author&gt;Shen&lt;/Author&gt;&lt;Year&gt;2018&lt;/Year&gt;&lt;RecNum&gt;44&lt;/RecNum&gt;&lt;DisplayText&gt;&lt;style face="superscript"&gt;15&lt;/style&gt;&lt;/DisplayText&gt;&lt;record&gt;&lt;rec-number&gt;44&lt;/rec-number&gt;&lt;foreign-keys&gt;&lt;key app="EN" db-id="t9rar9v219wtd7efs265w5p8vrpv5vdz2dxr" timestamp="1737648539"&gt;44&lt;/key&gt;&lt;/foreign-keys&gt;&lt;ref-type name="Journal Article"&gt;17&lt;/ref-type&gt;&lt;contributors&gt;&lt;authors&gt;&lt;author&gt;Shen, Cheng-Long&lt;/author&gt;&lt;author&gt;Zang, Jin-Hao&lt;/author&gt;&lt;author&gt;Lou, Qing&lt;/author&gt;&lt;author&gt;Su, Li-Xia&lt;/author&gt;&lt;author&gt;Li, Zhen&lt;/author&gt;&lt;author&gt;Liu, Zhi-Yu&lt;/author&gt;&lt;author&gt;Dong, Lin&lt;/author&gt;&lt;author&gt;Shan, Chong-Xin&lt;/author&gt;&lt;/authors&gt;&lt;/contributors&gt;&lt;titles&gt;&lt;title&gt;In-situ embedding of carbon dots in a trisodium citrate crystal matrix for tunable solid-state fluorescence&lt;/title&gt;&lt;secondary-title&gt;Carbon&lt;/secondary-title&gt;&lt;/titles&gt;&lt;periodical&gt;&lt;full-title&gt;Carbon&lt;/full-title&gt;&lt;/periodical&gt;&lt;pages&gt;359-368&lt;/pages&gt;&lt;volume&gt;136&lt;/volume&gt;&lt;dates&gt;&lt;year&gt;2018&lt;/year&gt;&lt;/dates&gt;&lt;isbn&gt;0008-6223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15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736E681E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017B493E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vAlign w:val="center"/>
          </w:tcPr>
          <w:p w14:paraId="71B58971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30 nm</w:t>
            </w:r>
          </w:p>
        </w:tc>
        <w:tc>
          <w:tcPr>
            <w:tcW w:w="1794" w:type="dxa"/>
            <w:vAlign w:val="center"/>
          </w:tcPr>
          <w:p w14:paraId="5C669D8D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2.77 %</w:t>
            </w:r>
          </w:p>
        </w:tc>
        <w:tc>
          <w:tcPr>
            <w:tcW w:w="1718" w:type="dxa"/>
            <w:vAlign w:val="center"/>
          </w:tcPr>
          <w:p w14:paraId="67B70602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T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his work</w:t>
            </w:r>
          </w:p>
        </w:tc>
      </w:tr>
      <w:tr w14:paraId="4DFDABEB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vAlign w:val="center"/>
          </w:tcPr>
          <w:p w14:paraId="6D9D4E97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vAlign w:val="center"/>
          </w:tcPr>
          <w:p w14:paraId="46DCF542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17 nm</w:t>
            </w:r>
          </w:p>
        </w:tc>
        <w:tc>
          <w:tcPr>
            <w:tcW w:w="1794" w:type="dxa"/>
            <w:vAlign w:val="center"/>
          </w:tcPr>
          <w:p w14:paraId="25B9CF4D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9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9.86 %</w:t>
            </w:r>
          </w:p>
        </w:tc>
        <w:tc>
          <w:tcPr>
            <w:tcW w:w="1718" w:type="dxa"/>
            <w:vAlign w:val="center"/>
          </w:tcPr>
          <w:p w14:paraId="64528D25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T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his work</w:t>
            </w:r>
          </w:p>
        </w:tc>
      </w:tr>
      <w:tr w14:paraId="2707EEA3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tcBorders>
              <w:bottom w:val="nil"/>
            </w:tcBorders>
            <w:vAlign w:val="center"/>
          </w:tcPr>
          <w:p w14:paraId="17B92A4B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-CDs</w:t>
            </w:r>
          </w:p>
        </w:tc>
        <w:tc>
          <w:tcPr>
            <w:tcW w:w="1893" w:type="dxa"/>
            <w:tcBorders>
              <w:bottom w:val="nil"/>
            </w:tcBorders>
            <w:vAlign w:val="center"/>
          </w:tcPr>
          <w:p w14:paraId="35984382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94 nm</w:t>
            </w:r>
          </w:p>
        </w:tc>
        <w:tc>
          <w:tcPr>
            <w:tcW w:w="1794" w:type="dxa"/>
            <w:tcBorders>
              <w:bottom w:val="nil"/>
            </w:tcBorders>
            <w:vAlign w:val="center"/>
          </w:tcPr>
          <w:p w14:paraId="2D6297E9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3.46 %</w:t>
            </w:r>
          </w:p>
        </w:tc>
        <w:tc>
          <w:tcPr>
            <w:tcW w:w="1718" w:type="dxa"/>
            <w:tcBorders>
              <w:bottom w:val="nil"/>
            </w:tcBorders>
            <w:vAlign w:val="center"/>
          </w:tcPr>
          <w:p w14:paraId="3A6A9CA3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T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his work</w:t>
            </w:r>
          </w:p>
        </w:tc>
      </w:tr>
      <w:tr w14:paraId="44B5A944">
        <w:tblPrEx>
          <w:tblBorders>
            <w:top w:val="single" w:color="auto" w:sz="2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531" w:type="dxa"/>
            <w:tcBorders>
              <w:top w:val="nil"/>
              <w:bottom w:val="single" w:color="auto" w:sz="24" w:space="0"/>
            </w:tcBorders>
            <w:vAlign w:val="center"/>
          </w:tcPr>
          <w:p w14:paraId="765A9963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IR-CDs</w:t>
            </w:r>
          </w:p>
        </w:tc>
        <w:tc>
          <w:tcPr>
            <w:tcW w:w="1893" w:type="dxa"/>
            <w:tcBorders>
              <w:top w:val="nil"/>
              <w:bottom w:val="single" w:color="auto" w:sz="24" w:space="0"/>
            </w:tcBorders>
            <w:vAlign w:val="center"/>
          </w:tcPr>
          <w:p w14:paraId="0CBB5152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60 nm</w:t>
            </w:r>
          </w:p>
        </w:tc>
        <w:tc>
          <w:tcPr>
            <w:tcW w:w="1794" w:type="dxa"/>
            <w:tcBorders>
              <w:top w:val="nil"/>
              <w:bottom w:val="single" w:color="auto" w:sz="24" w:space="0"/>
            </w:tcBorders>
            <w:vAlign w:val="center"/>
          </w:tcPr>
          <w:p w14:paraId="092B6F10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8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.62 %</w:t>
            </w:r>
          </w:p>
        </w:tc>
        <w:tc>
          <w:tcPr>
            <w:tcW w:w="1718" w:type="dxa"/>
            <w:tcBorders>
              <w:top w:val="nil"/>
              <w:bottom w:val="single" w:color="auto" w:sz="24" w:space="0"/>
            </w:tcBorders>
            <w:vAlign w:val="center"/>
          </w:tcPr>
          <w:p w14:paraId="62507C19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T</w:t>
            </w:r>
            <w:r>
              <w:rPr>
                <w:rFonts w:ascii="Times New Roman" w:hAnsi="Times New Roman" w:eastAsia="黑体"/>
                <w:sz w:val="24"/>
                <w:szCs w:val="24"/>
              </w:rPr>
              <w:t>his work</w:t>
            </w:r>
          </w:p>
        </w:tc>
      </w:tr>
    </w:tbl>
    <w:p w14:paraId="082B7BE9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073D43D5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545FFFF8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01EBB2C7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4A361C10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18DF6C42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4E48CD4F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59F9256A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461D4BEB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6CF64C3D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3FD7A025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4E277924">
      <w:pPr>
        <w:pageBreakBefore/>
        <w:widowControl/>
        <w:spacing w:line="480" w:lineRule="auto"/>
        <w:ind w:firstLine="0" w:firstLineChars="0"/>
        <w:jc w:val="center"/>
        <w:rPr>
          <w:rFonts w:ascii="Times New Roman" w:hAnsi="Times New Roman" w:eastAsia="黑体"/>
          <w:sz w:val="24"/>
          <w:szCs w:val="24"/>
        </w:rPr>
      </w:pPr>
      <w:r>
        <w:rPr>
          <w:rFonts w:hint="eastAsia" w:ascii="Times New Roman" w:hAnsi="Times New Roman" w:eastAsia="黑体"/>
          <w:b/>
          <w:bCs/>
          <w:sz w:val="24"/>
          <w:szCs w:val="24"/>
        </w:rPr>
        <w:t>Table S3</w:t>
      </w:r>
      <w:r>
        <w:rPr>
          <w:rFonts w:hint="eastAsia" w:ascii="Times New Roman" w:hAnsi="Times New Roman" w:eastAsia="黑体"/>
          <w:sz w:val="24"/>
          <w:szCs w:val="24"/>
        </w:rPr>
        <w:t xml:space="preserve"> </w:t>
      </w:r>
      <w:r>
        <w:rPr>
          <w:rFonts w:ascii="Times New Roman" w:hAnsi="Times New Roman" w:eastAsia="黑体"/>
          <w:sz w:val="24"/>
          <w:szCs w:val="24"/>
        </w:rPr>
        <w:t xml:space="preserve">Relative contents of different element in the </w:t>
      </w:r>
      <w:r>
        <w:rPr>
          <w:rFonts w:hint="eastAsia" w:ascii="Times New Roman" w:hAnsi="Times New Roman" w:eastAsia="黑体"/>
          <w:sz w:val="24"/>
          <w:szCs w:val="24"/>
        </w:rPr>
        <w:t>B</w:t>
      </w:r>
      <w:r>
        <w:rPr>
          <w:rFonts w:ascii="Times New Roman" w:hAnsi="Times New Roman" w:eastAsia="黑体"/>
          <w:sz w:val="24"/>
          <w:szCs w:val="24"/>
        </w:rPr>
        <w:t xml:space="preserve">-CDs, </w:t>
      </w:r>
      <w:r>
        <w:rPr>
          <w:rFonts w:hint="eastAsia" w:ascii="Times New Roman" w:hAnsi="Times New Roman" w:eastAsia="黑体"/>
          <w:sz w:val="24"/>
          <w:szCs w:val="24"/>
        </w:rPr>
        <w:t>G</w:t>
      </w:r>
      <w:r>
        <w:rPr>
          <w:rFonts w:ascii="Times New Roman" w:hAnsi="Times New Roman" w:eastAsia="黑体"/>
          <w:sz w:val="24"/>
          <w:szCs w:val="24"/>
        </w:rPr>
        <w:t xml:space="preserve">-CDs, </w:t>
      </w:r>
      <w:r>
        <w:rPr>
          <w:rFonts w:hint="eastAsia" w:ascii="Times New Roman" w:hAnsi="Times New Roman" w:eastAsia="黑体"/>
          <w:sz w:val="24"/>
          <w:szCs w:val="24"/>
        </w:rPr>
        <w:t>Y</w:t>
      </w:r>
      <w:r>
        <w:rPr>
          <w:rFonts w:ascii="Times New Roman" w:hAnsi="Times New Roman" w:eastAsia="黑体"/>
          <w:sz w:val="24"/>
          <w:szCs w:val="24"/>
        </w:rPr>
        <w:t xml:space="preserve">-CDs, and </w:t>
      </w:r>
      <w:r>
        <w:rPr>
          <w:rFonts w:hint="eastAsia" w:ascii="Times New Roman" w:hAnsi="Times New Roman" w:eastAsia="黑体"/>
          <w:sz w:val="24"/>
          <w:szCs w:val="24"/>
        </w:rPr>
        <w:t>N</w:t>
      </w:r>
      <w:r>
        <w:rPr>
          <w:rFonts w:ascii="Times New Roman" w:hAnsi="Times New Roman" w:eastAsia="黑体"/>
          <w:sz w:val="24"/>
          <w:szCs w:val="24"/>
        </w:rPr>
        <w:t>IR-CDs.</w:t>
      </w:r>
    </w:p>
    <w:p w14:paraId="5B5F41C7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tbl>
      <w:tblPr>
        <w:tblStyle w:val="9"/>
        <w:tblW w:w="8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  <w:gridCol w:w="1701"/>
        <w:gridCol w:w="1701"/>
      </w:tblGrid>
      <w:tr w14:paraId="27FC8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01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706B581D">
            <w:pPr>
              <w:ind w:firstLine="482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1701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61205528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C 1s (%)</w:t>
            </w:r>
          </w:p>
        </w:tc>
        <w:tc>
          <w:tcPr>
            <w:tcW w:w="1701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306FCCDA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O 1s (%)</w:t>
            </w:r>
          </w:p>
        </w:tc>
        <w:tc>
          <w:tcPr>
            <w:tcW w:w="1701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4C12A18F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N 1s (%)</w:t>
            </w:r>
          </w:p>
        </w:tc>
        <w:tc>
          <w:tcPr>
            <w:tcW w:w="1701" w:type="dxa"/>
            <w:tcBorders>
              <w:top w:val="single" w:color="000000" w:sz="24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01CCC70A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Zn 2p (%)</w:t>
            </w:r>
          </w:p>
        </w:tc>
      </w:tr>
      <w:tr w14:paraId="2E2F3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01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1DDA9A33">
            <w:pPr>
              <w:ind w:firstLine="482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B-CDs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665A60A1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63.75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3439F2FB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29.36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2E2B4FA4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0.48</w:t>
            </w:r>
          </w:p>
        </w:tc>
        <w:tc>
          <w:tcPr>
            <w:tcW w:w="1701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4E9B12DB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6.41</w:t>
            </w:r>
          </w:p>
        </w:tc>
      </w:tr>
      <w:tr w14:paraId="4EA26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C21AC">
            <w:pPr>
              <w:ind w:firstLine="482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G-CDs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4C0FC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43.74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C8D44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35.81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43E27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0.63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1067A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19.82</w:t>
            </w:r>
          </w:p>
        </w:tc>
      </w:tr>
      <w:tr w14:paraId="387F2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196CA">
            <w:pPr>
              <w:ind w:firstLine="482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Y-CDs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2AD7B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64.77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62950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28.07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BD5E7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4.31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9D1B6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2.86</w:t>
            </w:r>
          </w:p>
        </w:tc>
      </w:tr>
      <w:tr w14:paraId="7DD9D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01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013A157A">
            <w:pPr>
              <w:ind w:firstLine="482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IR-CDs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2C569455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65.26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10853E66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29.07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62B792E7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0.14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378B80D2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5.52</w:t>
            </w:r>
          </w:p>
        </w:tc>
      </w:tr>
    </w:tbl>
    <w:p w14:paraId="2878EC7F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42159EE0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527CCFF0">
      <w:pPr>
        <w:pageBreakBefore/>
        <w:widowControl/>
        <w:spacing w:line="480" w:lineRule="auto"/>
        <w:ind w:firstLine="482"/>
        <w:jc w:val="center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 w:eastAsia="黑体"/>
          <w:b/>
          <w:bCs/>
          <w:sz w:val="24"/>
          <w:szCs w:val="24"/>
        </w:rPr>
        <w:t xml:space="preserve">Table </w:t>
      </w:r>
      <w:r>
        <w:rPr>
          <w:rFonts w:hint="eastAsia" w:ascii="Times New Roman" w:hAnsi="Times New Roman" w:eastAsia="黑体"/>
          <w:b/>
          <w:bCs/>
          <w:sz w:val="24"/>
          <w:szCs w:val="24"/>
        </w:rPr>
        <w:t>S4</w:t>
      </w:r>
      <w:r>
        <w:rPr>
          <w:rFonts w:hint="eastAsia" w:ascii="Times New Roman" w:hAnsi="Times New Roman" w:eastAsia="黑体"/>
          <w:sz w:val="24"/>
          <w:szCs w:val="24"/>
        </w:rPr>
        <w:t xml:space="preserve"> </w:t>
      </w:r>
      <w:r>
        <w:rPr>
          <w:rFonts w:ascii="Times New Roman" w:hAnsi="Times New Roman" w:eastAsia="黑体"/>
          <w:sz w:val="24"/>
          <w:szCs w:val="24"/>
        </w:rPr>
        <w:t xml:space="preserve">Relative contents of different functional groups in the </w:t>
      </w:r>
      <w:r>
        <w:rPr>
          <w:rFonts w:hint="eastAsia" w:ascii="Times New Roman" w:hAnsi="Times New Roman" w:eastAsia="黑体"/>
          <w:sz w:val="24"/>
          <w:szCs w:val="24"/>
        </w:rPr>
        <w:t>B</w:t>
      </w:r>
      <w:r>
        <w:rPr>
          <w:rFonts w:ascii="Times New Roman" w:hAnsi="Times New Roman" w:eastAsia="黑体"/>
          <w:sz w:val="24"/>
          <w:szCs w:val="24"/>
        </w:rPr>
        <w:t xml:space="preserve">-CDs, </w:t>
      </w:r>
      <w:r>
        <w:rPr>
          <w:rFonts w:hint="eastAsia" w:ascii="Times New Roman" w:hAnsi="Times New Roman" w:eastAsia="黑体"/>
          <w:sz w:val="24"/>
          <w:szCs w:val="24"/>
        </w:rPr>
        <w:t>G</w:t>
      </w:r>
      <w:r>
        <w:rPr>
          <w:rFonts w:ascii="Times New Roman" w:hAnsi="Times New Roman" w:eastAsia="黑体"/>
          <w:sz w:val="24"/>
          <w:szCs w:val="24"/>
        </w:rPr>
        <w:t xml:space="preserve">-CDs, </w:t>
      </w:r>
      <w:r>
        <w:rPr>
          <w:rFonts w:hint="eastAsia" w:ascii="Times New Roman" w:hAnsi="Times New Roman" w:eastAsia="黑体"/>
          <w:sz w:val="24"/>
          <w:szCs w:val="24"/>
        </w:rPr>
        <w:t>Y-</w:t>
      </w:r>
      <w:r>
        <w:rPr>
          <w:rFonts w:ascii="Times New Roman" w:hAnsi="Times New Roman" w:eastAsia="黑体"/>
          <w:sz w:val="24"/>
          <w:szCs w:val="24"/>
        </w:rPr>
        <w:t xml:space="preserve">CDs, and </w:t>
      </w:r>
      <w:r>
        <w:rPr>
          <w:rFonts w:hint="eastAsia" w:ascii="Times New Roman" w:hAnsi="Times New Roman" w:eastAsia="黑体"/>
          <w:sz w:val="24"/>
          <w:szCs w:val="24"/>
        </w:rPr>
        <w:t>N</w:t>
      </w:r>
      <w:r>
        <w:rPr>
          <w:rFonts w:ascii="Times New Roman" w:hAnsi="Times New Roman" w:eastAsia="黑体"/>
          <w:sz w:val="24"/>
          <w:szCs w:val="24"/>
        </w:rPr>
        <w:t>IR-CDs</w:t>
      </w:r>
      <w:r>
        <w:rPr>
          <w:rFonts w:hint="eastAsia" w:ascii="Times New Roman" w:hAnsi="Times New Roman" w:eastAsia="黑体"/>
          <w:sz w:val="24"/>
          <w:szCs w:val="24"/>
        </w:rPr>
        <w:t>.</w:t>
      </w:r>
    </w:p>
    <w:p w14:paraId="19421EDB">
      <w:pPr>
        <w:pStyle w:val="3"/>
        <w:ind w:firstLine="400"/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1420"/>
        <w:gridCol w:w="1420"/>
        <w:gridCol w:w="1420"/>
        <w:gridCol w:w="1576"/>
        <w:gridCol w:w="957"/>
      </w:tblGrid>
      <w:tr w14:paraId="40259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277" w:type="dxa"/>
            <w:tcBorders>
              <w:top w:val="single" w:color="000000" w:sz="24" w:space="0"/>
              <w:left w:val="nil"/>
              <w:bottom w:val="nil"/>
              <w:right w:val="nil"/>
            </w:tcBorders>
            <w:vAlign w:val="center"/>
          </w:tcPr>
          <w:p w14:paraId="18A663EB">
            <w:pPr>
              <w:ind w:firstLine="241" w:firstLineChars="10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4260" w:type="dxa"/>
            <w:gridSpan w:val="3"/>
            <w:tcBorders>
              <w:top w:val="single" w:color="000000" w:sz="24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4253F63A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C 1s (%)</w:t>
            </w:r>
          </w:p>
        </w:tc>
        <w:tc>
          <w:tcPr>
            <w:tcW w:w="2533" w:type="dxa"/>
            <w:gridSpan w:val="2"/>
            <w:tcBorders>
              <w:top w:val="single" w:color="000000" w:sz="24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2A19F054">
            <w:pPr>
              <w:ind w:firstLine="960" w:firstLineChars="40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O 1s (%)</w:t>
            </w:r>
          </w:p>
        </w:tc>
      </w:tr>
      <w:tr w14:paraId="67698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263FD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1132D43A">
            <w:pPr>
              <w:ind w:firstLine="240" w:firstLineChars="10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C-C/C=C</w:t>
            </w:r>
          </w:p>
        </w:tc>
        <w:tc>
          <w:tcPr>
            <w:tcW w:w="1420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66047D86">
            <w:pPr>
              <w:ind w:firstLine="240" w:firstLineChars="10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C-O/C-N</w:t>
            </w:r>
          </w:p>
        </w:tc>
        <w:tc>
          <w:tcPr>
            <w:tcW w:w="1420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55507052">
            <w:pPr>
              <w:ind w:firstLine="240" w:firstLineChars="10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C=O</w:t>
            </w:r>
          </w:p>
        </w:tc>
        <w:tc>
          <w:tcPr>
            <w:tcW w:w="1576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09F1D02F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C-O</w:t>
            </w:r>
          </w:p>
        </w:tc>
        <w:tc>
          <w:tcPr>
            <w:tcW w:w="957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1CCC5F1D">
            <w:pPr>
              <w:ind w:firstLine="0" w:firstLineChars="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C=O</w:t>
            </w:r>
          </w:p>
        </w:tc>
      </w:tr>
      <w:tr w14:paraId="57068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8BC6B">
            <w:pPr>
              <w:ind w:firstLine="241" w:firstLineChars="10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B-CDs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1292B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76.93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5175C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10.30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DFBDD">
            <w:pPr>
              <w:ind w:firstLine="240" w:firstLineChars="10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12.76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42626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20.86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869FA">
            <w:pPr>
              <w:ind w:firstLine="0" w:firstLineChars="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79.14</w:t>
            </w:r>
          </w:p>
        </w:tc>
      </w:tr>
      <w:tr w14:paraId="24570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2EC97">
            <w:pPr>
              <w:ind w:firstLine="241" w:firstLineChars="10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G-CDs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B3006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76.63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E47DA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13.71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7185D">
            <w:pPr>
              <w:ind w:firstLine="240" w:firstLineChars="10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12.66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E7B08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27.70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2B42D">
            <w:pPr>
              <w:ind w:firstLine="0" w:firstLineChars="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72.30</w:t>
            </w:r>
          </w:p>
        </w:tc>
      </w:tr>
      <w:tr w14:paraId="105DE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F31F5">
            <w:pPr>
              <w:ind w:firstLine="241" w:firstLineChars="10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Y-CDs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C59BA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73.98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AE040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13.45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9F37B">
            <w:pPr>
              <w:ind w:firstLine="240" w:firstLineChars="10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12.57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E95D0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49.20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64E7E">
            <w:pPr>
              <w:ind w:firstLine="0" w:firstLineChars="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50.80</w:t>
            </w:r>
          </w:p>
        </w:tc>
      </w:tr>
      <w:tr w14:paraId="62E34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7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7DE8C9FD">
            <w:pPr>
              <w:ind w:firstLine="241" w:firstLineChars="10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NIR-CDs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6699E3DF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74.24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38C7D0AE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14.41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649D87EA">
            <w:pPr>
              <w:ind w:firstLine="240" w:firstLineChars="10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11.36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0A73FAA5">
            <w:pPr>
              <w:ind w:firstLine="48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33.03</w:t>
            </w:r>
          </w:p>
        </w:tc>
        <w:tc>
          <w:tcPr>
            <w:tcW w:w="957" w:type="dxa"/>
            <w:tcBorders>
              <w:top w:val="nil"/>
              <w:left w:val="nil"/>
              <w:bottom w:val="single" w:color="000000" w:sz="24" w:space="0"/>
              <w:right w:val="nil"/>
            </w:tcBorders>
            <w:vAlign w:val="center"/>
          </w:tcPr>
          <w:p w14:paraId="1E634F3B">
            <w:pPr>
              <w:ind w:firstLine="0" w:firstLineChars="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66.97</w:t>
            </w:r>
          </w:p>
        </w:tc>
      </w:tr>
    </w:tbl>
    <w:p w14:paraId="43719DD1">
      <w:pPr>
        <w:ind w:firstLine="0" w:firstLineChars="0"/>
      </w:pPr>
    </w:p>
    <w:p w14:paraId="78C02B78">
      <w:pPr>
        <w:ind w:firstLine="0" w:firstLineChars="0"/>
      </w:pPr>
    </w:p>
    <w:p w14:paraId="7F50A4E8">
      <w:pPr>
        <w:ind w:firstLine="0" w:firstLineChars="0"/>
      </w:pPr>
    </w:p>
    <w:p w14:paraId="53D36479">
      <w:pPr>
        <w:ind w:firstLine="0" w:firstLineChars="0"/>
      </w:pPr>
    </w:p>
    <w:p w14:paraId="6FC24A19">
      <w:pPr>
        <w:ind w:firstLine="0" w:firstLineChars="0"/>
      </w:pPr>
    </w:p>
    <w:p w14:paraId="0BA1A09D">
      <w:pPr>
        <w:ind w:firstLine="0" w:firstLineChars="0"/>
      </w:pPr>
    </w:p>
    <w:p w14:paraId="529B6081">
      <w:pPr>
        <w:ind w:firstLine="0" w:firstLineChars="0"/>
      </w:pPr>
    </w:p>
    <w:p w14:paraId="2DD21AEB">
      <w:pPr>
        <w:ind w:firstLine="0" w:firstLineChars="0"/>
      </w:pPr>
    </w:p>
    <w:p w14:paraId="705F6BFB">
      <w:pPr>
        <w:ind w:firstLine="0" w:firstLineChars="0"/>
      </w:pPr>
    </w:p>
    <w:p w14:paraId="17BE6862">
      <w:pPr>
        <w:ind w:firstLine="0" w:firstLineChars="0"/>
      </w:pPr>
    </w:p>
    <w:p w14:paraId="7EB7362A">
      <w:pPr>
        <w:ind w:firstLine="0" w:firstLineChars="0"/>
      </w:pPr>
    </w:p>
    <w:p w14:paraId="55A5DCCC">
      <w:pPr>
        <w:pStyle w:val="3"/>
        <w:pageBreakBefore/>
        <w:spacing w:line="480" w:lineRule="auto"/>
        <w:ind w:firstLine="48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Table S</w:t>
      </w:r>
      <w:r>
        <w:rPr>
          <w:rFonts w:hint="eastAsia" w:ascii="Times New Roman" w:hAnsi="Times New Roman"/>
          <w:b/>
          <w:bCs/>
          <w:sz w:val="24"/>
          <w:szCs w:val="24"/>
        </w:rPr>
        <w:t>5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data grid for searching the optimal parameters consists of a total of 19×33×28×28×13×21=134,198,06419 search items.</w:t>
      </w:r>
    </w:p>
    <w:p w14:paraId="57145B8B">
      <w:pPr>
        <w:ind w:firstLine="420"/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417"/>
        <w:gridCol w:w="1417"/>
        <w:gridCol w:w="1417"/>
        <w:gridCol w:w="1417"/>
      </w:tblGrid>
      <w:tr w14:paraId="1D6AF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1417" w:type="dxa"/>
            <w:tcBorders>
              <w:top w:val="single" w:color="auto" w:sz="2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4308D0BE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Feature</w:t>
            </w:r>
          </w:p>
        </w:tc>
        <w:tc>
          <w:tcPr>
            <w:tcW w:w="1417" w:type="dxa"/>
            <w:tcBorders>
              <w:top w:val="single" w:color="auto" w:sz="2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443CDC6B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1417" w:type="dxa"/>
            <w:tcBorders>
              <w:top w:val="single" w:color="auto" w:sz="2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6DE0D514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1417" w:type="dxa"/>
            <w:tcBorders>
              <w:top w:val="single" w:color="auto" w:sz="2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655B42CB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Stop</w:t>
            </w:r>
          </w:p>
        </w:tc>
        <w:tc>
          <w:tcPr>
            <w:tcW w:w="1417" w:type="dxa"/>
            <w:tcBorders>
              <w:top w:val="single" w:color="auto" w:sz="2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791E608D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Total</w:t>
            </w:r>
          </w:p>
        </w:tc>
      </w:tr>
      <w:tr w14:paraId="720ED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17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2B7637B1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Ratio</w:t>
            </w:r>
          </w:p>
        </w:tc>
        <w:tc>
          <w:tcPr>
            <w:tcW w:w="1417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7143427C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0.6</w:t>
            </w:r>
          </w:p>
        </w:tc>
        <w:tc>
          <w:tcPr>
            <w:tcW w:w="1417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3C5A904C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0.1</w:t>
            </w:r>
          </w:p>
        </w:tc>
        <w:tc>
          <w:tcPr>
            <w:tcW w:w="1417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795E9A2F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2.5</w:t>
            </w:r>
          </w:p>
        </w:tc>
        <w:tc>
          <w:tcPr>
            <w:tcW w:w="1417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3D4DF077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19</w:t>
            </w:r>
          </w:p>
        </w:tc>
      </w:tr>
      <w:tr w14:paraId="5EC80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E1951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Sum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E1376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D8A4F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FB685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4.81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9BA2B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33</w:t>
            </w:r>
          </w:p>
        </w:tc>
      </w:tr>
      <w:tr w14:paraId="3C4B3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8FC89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NaCl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CF33B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BE1A6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C4E28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F3EDA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28</w:t>
            </w:r>
          </w:p>
        </w:tc>
      </w:tr>
      <w:tr w14:paraId="6BA40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7E4B3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KCl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D7134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CD159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82E08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4.00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AB58F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28</w:t>
            </w:r>
          </w:p>
        </w:tc>
      </w:tr>
      <w:tr w14:paraId="4F050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6AB16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Temp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E1DB7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6F490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0EE2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 xml:space="preserve"> 286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E71EA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13</w:t>
            </w:r>
          </w:p>
        </w:tc>
      </w:tr>
      <w:tr w14:paraId="6FD7F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17" w:type="dxa"/>
            <w:tcBorders>
              <w:top w:val="nil"/>
              <w:left w:val="nil"/>
              <w:bottom w:val="single" w:color="auto" w:sz="24" w:space="0"/>
              <w:right w:val="nil"/>
            </w:tcBorders>
            <w:vAlign w:val="center"/>
          </w:tcPr>
          <w:p w14:paraId="0FD56CDB">
            <w:pPr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24" w:space="0"/>
              <w:right w:val="nil"/>
            </w:tcBorders>
            <w:vAlign w:val="center"/>
          </w:tcPr>
          <w:p w14:paraId="09BDB413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24" w:space="0"/>
              <w:right w:val="nil"/>
            </w:tcBorders>
            <w:vAlign w:val="center"/>
          </w:tcPr>
          <w:p w14:paraId="4DB1FE50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24" w:space="0"/>
              <w:right w:val="nil"/>
            </w:tcBorders>
            <w:vAlign w:val="center"/>
          </w:tcPr>
          <w:p w14:paraId="407632DB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601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24" w:space="0"/>
              <w:right w:val="nil"/>
            </w:tcBorders>
            <w:vAlign w:val="center"/>
          </w:tcPr>
          <w:p w14:paraId="1189D5B3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21</w:t>
            </w:r>
          </w:p>
        </w:tc>
      </w:tr>
    </w:tbl>
    <w:p w14:paraId="4BCD0F86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14D9577B">
      <w:pPr>
        <w:ind w:firstLine="0" w:firstLineChars="0"/>
        <w:rPr>
          <w:rFonts w:ascii="Times New Roman" w:hAnsi="Times New Roman" w:eastAsia="黑体"/>
          <w:sz w:val="24"/>
          <w:szCs w:val="24"/>
        </w:rPr>
      </w:pPr>
    </w:p>
    <w:p w14:paraId="70FDCE51">
      <w:pPr>
        <w:pStyle w:val="3"/>
        <w:pageBreakBefore/>
        <w:spacing w:line="480" w:lineRule="auto"/>
        <w:ind w:firstLine="482"/>
        <w:jc w:val="center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Table S6</w:t>
      </w:r>
      <w:r>
        <w:rPr>
          <w:rFonts w:hint="eastAsia" w:ascii="Times New Roman" w:hAnsi="Times New Roman"/>
          <w:sz w:val="24"/>
          <w:szCs w:val="24"/>
        </w:rPr>
        <w:t xml:space="preserve"> Comparison of the luminous efficiency of various LEDs</w:t>
      </w:r>
    </w:p>
    <w:p w14:paraId="53E0E1F3">
      <w:pPr>
        <w:ind w:firstLine="420"/>
      </w:pPr>
    </w:p>
    <w:tbl>
      <w:tblPr>
        <w:tblStyle w:val="9"/>
        <w:tblW w:w="81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1"/>
        <w:gridCol w:w="1549"/>
        <w:gridCol w:w="2589"/>
        <w:gridCol w:w="1722"/>
      </w:tblGrid>
      <w:tr w14:paraId="4D565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2301" w:type="dxa"/>
            <w:tcBorders>
              <w:top w:val="single" w:color="auto" w:sz="2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75491019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Phosphor</w:t>
            </w:r>
          </w:p>
        </w:tc>
        <w:tc>
          <w:tcPr>
            <w:tcW w:w="1549" w:type="dxa"/>
            <w:tcBorders>
              <w:top w:val="single" w:color="auto" w:sz="2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0EFB93B5">
            <w:pPr>
              <w:tabs>
                <w:tab w:val="left" w:pos="412"/>
              </w:tabs>
              <w:ind w:firstLine="0" w:firstLineChars="0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Current (mA)</w:t>
            </w:r>
          </w:p>
        </w:tc>
        <w:tc>
          <w:tcPr>
            <w:tcW w:w="2589" w:type="dxa"/>
            <w:tcBorders>
              <w:top w:val="single" w:color="auto" w:sz="2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645E4DB6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luminous efficiency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(lm W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-1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722" w:type="dxa"/>
            <w:tcBorders>
              <w:top w:val="single" w:color="auto" w:sz="2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10D8197C">
            <w:pPr>
              <w:ind w:firstLine="0" w:firstLineChars="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Reference</w:t>
            </w:r>
          </w:p>
        </w:tc>
      </w:tr>
      <w:tr w14:paraId="760EC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01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5A4EB7A">
            <w:pPr>
              <w:ind w:firstLine="0" w:firstLineChars="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Y-,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R-,DR-,NIR-CDs</w:t>
            </w:r>
          </w:p>
        </w:tc>
        <w:tc>
          <w:tcPr>
            <w:tcW w:w="154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22EA51CF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20</w:t>
            </w:r>
          </w:p>
        </w:tc>
        <w:tc>
          <w:tcPr>
            <w:tcW w:w="258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1251254E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54.6-87.5</w:t>
            </w:r>
          </w:p>
        </w:tc>
        <w:tc>
          <w:tcPr>
            <w:tcW w:w="1722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4E10D02A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&lt;EndNote&gt;&lt;Cite&gt;&lt;Author&gt;Xu&lt;/Author&gt;&lt;Year&gt;2023&lt;/Year&gt;&lt;RecNum&gt;45&lt;/RecNum&gt;&lt;DisplayText&gt;&lt;style face="superscript"&gt;7&lt;/style&gt;&lt;/DisplayText&gt;&lt;record&gt;&lt;rec-number&gt;45&lt;/rec-number&gt;&lt;foreign-keys&gt;&lt;key app="EN" db-id="t9rar9v219wtd7efs265w5p8vrpv5vdz2dxr" timestamp="1737649515"&gt;45&lt;/key&gt;&lt;/foreign-keys&gt;&lt;ref-type name="Journal Article"&gt;17&lt;/ref-type&gt;&lt;contributors&gt;&lt;authors&gt;&lt;author&gt;Xu, Bin&lt;/author&gt;&lt;author&gt;Li, Jie&lt;/author&gt;&lt;author&gt;Zhang, Jing&lt;/author&gt;&lt;author&gt;Ning, Huiying&lt;/author&gt;&lt;author&gt;Fang, Xiaoqi&lt;/author&gt;&lt;author&gt;Shen, Jian&lt;/author&gt;&lt;author&gt;Zhou, Heng&lt;/author&gt;&lt;author&gt;Jiang, Tianlong&lt;/author&gt;&lt;author&gt;Gao, Zhenhua&lt;/author&gt;&lt;author&gt;Meng, Xiangeng&lt;/author&gt;&lt;/authors&gt;&lt;/contributors&gt;&lt;titles&gt;&lt;title&gt;Solid‐State Fluorescent Carbon Dots with Unprecedented Efficiency from Visible to Near‐Infrared Region&lt;/title&gt;&lt;secondary-title&gt;Advanced Science&lt;/secondary-title&gt;&lt;/titles&gt;&lt;periodical&gt;&lt;full-title&gt;Advanced Science&lt;/full-title&gt;&lt;/periodical&gt;&lt;pages&gt;2205788&lt;/pages&gt;&lt;volume&gt;10&lt;/volume&gt;&lt;number&gt;4&lt;/number&gt;&lt;dates&gt;&lt;year&gt;2023&lt;/year&gt;&lt;/dates&gt;&lt;isbn&gt;2198-3844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7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7CB69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B8EF7">
            <w:pPr>
              <w:widowControl/>
              <w:ind w:firstLine="0" w:firstLineChars="0"/>
              <w:jc w:val="left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RhB-CDs@u/SiO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8772A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350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07382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120.1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BEF42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&lt;EndNote&gt;&lt;Cite&gt;&lt;Author&gt;Zhu&lt;/Author&gt;&lt;Year&gt;2024&lt;/Year&gt;&lt;RecNum&gt;46&lt;/RecNum&gt;&lt;DisplayText&gt;&lt;style face="superscript"&gt;16&lt;/style&gt;&lt;/DisplayText&gt;&lt;record&gt;&lt;rec-number&gt;46&lt;/rec-number&gt;&lt;foreign-keys&gt;&lt;key app="EN" db-id="t9rar9v219wtd7efs265w5p8vrpv5vdz2dxr" timestamp="1737649587"&gt;46&lt;/key&gt;&lt;/foreign-keys&gt;&lt;ref-type name="Journal Article"&gt;17&lt;/ref-type&gt;&lt;contributors&gt;&lt;authors&gt;&lt;author&gt;Zhu, Jinyang&lt;/author&gt;&lt;author&gt;Li, Chao&lt;/author&gt;&lt;author&gt;Zhu, Yongsheng&lt;/author&gt;&lt;author&gt;Hu, Junhua&lt;/author&gt;&lt;author&gt;Nan, Yang&lt;/author&gt;&lt;author&gt;Chen, Xu&lt;/author&gt;&lt;author&gt;Liu, Kai-Kai&lt;/author&gt;&lt;author&gt;Wang, Hailong&lt;/author&gt;&lt;author&gt;Shan, Chongxin&lt;/author&gt;&lt;author&gt;Xu, Wen&lt;/author&gt;&lt;/authors&gt;&lt;/contributors&gt;&lt;titles&gt;&lt;title&gt;Long-Wavelength Afterglow Emission with Nearly 100% Efficiency through Space-Confined Energy Transfer in Organic-Carbon Dot Hybrid&lt;/title&gt;&lt;secondary-title&gt;Nano Letters&lt;/secondary-title&gt;&lt;/titles&gt;&lt;periodical&gt;&lt;full-title&gt;Nano Letters&lt;/full-title&gt;&lt;/periodical&gt;&lt;pages&gt;13307-13314&lt;/pages&gt;&lt;volume&gt;24&lt;/volume&gt;&lt;number&gt;42&lt;/number&gt;&lt;dates&gt;&lt;year&gt;2024&lt;/year&gt;&lt;/dates&gt;&lt;isbn&gt;1530-6984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71080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2C89C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D-CDs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6B6C1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—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DD8CA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0.79-1.66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28C96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&lt;EndNote&gt;&lt;Cite&gt;&lt;Author&gt;Li&lt;/Author&gt;&lt;Year&gt;2019&lt;/Year&gt;&lt;RecNum&gt;47&lt;/RecNum&gt;&lt;DisplayText&gt;&lt;style face="superscript"&gt;17&lt;/style&gt;&lt;/DisplayText&gt;&lt;record&gt;&lt;rec-number&gt;47&lt;/rec-number&gt;&lt;foreign-keys&gt;&lt;key app="EN" db-id="t9rar9v219wtd7efs265w5p8vrpv5vdz2dxr" timestamp="1737649633"&gt;47&lt;/key&gt;&lt;/foreign-keys&gt;&lt;ref-type name="Journal Article"&gt;17&lt;/ref-type&gt;&lt;contributors&gt;&lt;authors&gt;&lt;author&gt;Li, Huiyu&lt;/author&gt;&lt;author&gt;Zhang, Zhaoxuan&lt;/author&gt;&lt;author&gt;Ding, Jie&lt;/author&gt;&lt;author&gt;Xu, Yang&lt;/author&gt;&lt;author&gt;Chen, Guangrui&lt;/author&gt;&lt;author&gt;Liu, Jiale&lt;/author&gt;&lt;author&gt;Zhao, Li&lt;/author&gt;&lt;author&gt;Huang, Ning&lt;/author&gt;&lt;author&gt;He, Zhongyu&lt;/author&gt;&lt;author&gt;Li, Yi&lt;/author&gt;&lt;/authors&gt;&lt;/contributors&gt;&lt;titles&gt;&lt;title&gt;Diamond-like carbon structure-doped carbon dots: A new class of self-quenching-resistant solid-state fluorescence materials toward light-emitting diodes&lt;/title&gt;&lt;secondary-title&gt;Carbon&lt;/secondary-title&gt;&lt;/titles&gt;&lt;periodical&gt;&lt;full-title&gt;Carbon&lt;/full-title&gt;&lt;/periodical&gt;&lt;pages&gt;342-349&lt;/pages&gt;&lt;volume&gt;149&lt;/volume&gt;&lt;dates&gt;&lt;year&gt;2019&lt;/year&gt;&lt;/dates&gt;&lt;isbn&gt;0008-6223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51C8E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AA127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b/>
                <w:bCs/>
                <w:sz w:val="24"/>
                <w:szCs w:val="24"/>
              </w:rPr>
              <w:t>CDs-stained silks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53B00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50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51CB5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60.7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B1DF3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&lt;EndNote&gt;&lt;Cite&gt;&lt;Author&gt;Liu&lt;/Author&gt;&lt;Year&gt;2024&lt;/Year&gt;&lt;RecNum&gt;48&lt;/RecNum&gt;&lt;DisplayText&gt;&lt;style face="superscript"&gt;18&lt;/style&gt;&lt;/DisplayText&gt;&lt;record&gt;&lt;rec-number&gt;48&lt;/rec-number&gt;&lt;foreign-keys&gt;&lt;key app="EN" db-id="t9rar9v219wtd7efs265w5p8vrpv5vdz2dxr" timestamp="1737649667"&gt;48&lt;/key&gt;&lt;/foreign-keys&gt;&lt;ref-type name="Journal Article"&gt;17&lt;/ref-type&gt;&lt;contributors&gt;&lt;authors&gt;&lt;author&gt;Liu, Yupeng&lt;/author&gt;&lt;author&gt;Wang, Bingzhe&lt;/author&gt;&lt;author&gt;Zhang, Yunsen&lt;/author&gt;&lt;author&gt;Guo, Jia&lt;/author&gt;&lt;author&gt;Wu, Xiaoyi&lt;/author&gt;&lt;author&gt;Ouyang, Defang&lt;/author&gt;&lt;author&gt;Chen, Shi&lt;/author&gt;&lt;author&gt;Chen, Yeqing&lt;/author&gt;&lt;author&gt;Wang, Shuangpeng&lt;/author&gt;&lt;author&gt;Xing, Guichuan&lt;/author&gt;&lt;/authors&gt;&lt;/contributors&gt;&lt;titles&gt;&lt;title&gt;Perylenedioic Acid‐Derived Carbon Dots with Near 100% Quantum Yield in Aqueous Solution for Lasing and Lighting&lt;/title&gt;&lt;secondary-title&gt;Advanced Functional Materials&lt;/secondary-title&gt;&lt;/titles&gt;&lt;periodical&gt;&lt;full-title&gt;Advanced Functional Materials&lt;/full-title&gt;&lt;/periodical&gt;&lt;pages&gt;2401353&lt;/pages&gt;&lt;dates&gt;&lt;year&gt;2024&lt;/year&gt;&lt;/dates&gt;&lt;isbn&gt;1616-301X&lt;/isbn&gt;&lt;urls&gt;&lt;/urls&gt;&lt;/record&gt;&lt;/Cite&gt;&lt;/EndNote&gt;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18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09AE9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290BE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GQDs/SBA-15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79F30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20-40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2F04B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61.38-129.62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950D4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&lt;EndNote&gt;&lt;Cite&gt;&lt;Author&gt;Cui&lt;/Author&gt;&lt;Year&gt;2024&lt;/Year&gt;&lt;RecNum&gt;49&lt;/RecNum&gt;&lt;DisplayText&gt;&lt;style face="superscript"&gt;19&lt;/style&gt;&lt;/DisplayText&gt;&lt;record&gt;&lt;rec-number&gt;49&lt;/rec-number&gt;&lt;foreign-keys&gt;&lt;key app="EN" db-id="t9rar9v219wtd7efs265w5p8vrpv5vdz2dxr" timestamp="1737649697"&gt;49&lt;/key&gt;&lt;/foreign-keys&gt;&lt;ref-type name="Journal Article"&gt;17&lt;/ref-type&gt;&lt;contributors&gt;&lt;authors&gt;&lt;author&gt;Cui, Zhongjie&lt;/author&gt;&lt;author&gt;Qin, Shuaitao&lt;/author&gt;&lt;author&gt;He, Haiyang&lt;/author&gt;&lt;author&gt;Zhao, Jinchan&lt;/author&gt;&lt;author&gt;Jiang, Rui&lt;/author&gt;&lt;author&gt;Xing, Yifeng&lt;/author&gt;&lt;author&gt;Mei, Shiliang&lt;/author&gt;&lt;author&gt;Zhang, Wanlu&lt;/author&gt;&lt;author&gt;Guo, Ruiqian&lt;/author&gt;&lt;/authors&gt;&lt;/contributors&gt;&lt;titles&gt;&lt;title&gt;Efficient and environmentally friendly white light-emitting diodes with InP-based quantum dots embedded in mesoporous silica&lt;/title&gt;&lt;secondary-title&gt;Journal of Materials Science &amp;amp; Technology&lt;/secondary-title&gt;&lt;/titles&gt;&lt;periodical&gt;&lt;full-title&gt;Journal of Materials Science &amp;amp; Technology&lt;/full-title&gt;&lt;/periodical&gt;&lt;pages&gt;104-111&lt;/pages&gt;&lt;volume&gt;200&lt;/volume&gt;&lt;dates&gt;&lt;year&gt;2024&lt;/year&gt;&lt;/dates&gt;&lt;isbn&gt;1005-0302&lt;/isbn&gt;&lt;urls&gt;&lt;/urls&gt;&lt;/record&gt;&lt;/Cite&gt;&lt;/EndNote&gt;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19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3DB46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460F0">
            <w:pPr>
              <w:ind w:firstLine="482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CsPbI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@WS-1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78963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—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E8FA0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57.3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8E636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&lt;EndNote&gt;&lt;Cite&gt;&lt;Author&gt;Yu&lt;/Author&gt;&lt;Year&gt;2024&lt;/Year&gt;&lt;RecNum&gt;50&lt;/RecNum&gt;&lt;DisplayText&gt;&lt;style face="superscript"&gt;20&lt;/style&gt;&lt;/DisplayText&gt;&lt;record&gt;&lt;rec-number&gt;50&lt;/rec-number&gt;&lt;foreign-keys&gt;&lt;key app="EN" db-id="t9rar9v219wtd7efs265w5p8vrpv5vdz2dxr" timestamp="1737649727"&gt;50&lt;/key&gt;&lt;/foreign-keys&gt;&lt;ref-type name="Journal Article"&gt;17&lt;/ref-type&gt;&lt;contributors&gt;&lt;authors&gt;&lt;author&gt;Yu, Xiaowei&lt;/author&gt;&lt;author&gt;Yang, Xin&lt;/author&gt;&lt;author&gt;Zhang, Hongyue&lt;/author&gt;&lt;author&gt;Liu, Kaikai&lt;/author&gt;&lt;author&gt;Yu, Jihong&lt;/author&gt;&lt;/authors&gt;&lt;/contributors&gt;&lt;titles&gt;&lt;title&gt;Unlocking the potential of CsPbI3 perovskite as stable red phosphors by zeolite skeleton&lt;/title&gt;&lt;secondary-title&gt;Matter&lt;/secondary-title&gt;&lt;/titles&gt;&lt;periodical&gt;&lt;full-title&gt;Matter&lt;/full-title&gt;&lt;/periodical&gt;&lt;dates&gt;&lt;year&gt;2024&lt;/year&gt;&lt;/dates&gt;&lt;isbn&gt;2590-2393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20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01B72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89C37">
            <w:pPr>
              <w:widowControl/>
              <w:ind w:firstLine="0" w:firstLineChars="0"/>
              <w:jc w:val="center"/>
              <w:rPr>
                <w:rFonts w:ascii="Times New Roman" w:hAnsi="Times New Roman" w:eastAsia="黑体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B-, G-</w:t>
            </w:r>
            <w:r>
              <w:rPr>
                <w:rFonts w:hint="eastAsia" w:ascii="Times New Roman" w:hAnsi="Times New Roman" w:eastAsia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,</w:t>
            </w: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 R-CQD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DBAFB">
            <w:pPr>
              <w:ind w:firstLine="480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20</w:t>
            </w: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AF03A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31.3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E87A9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begin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instrText xml:space="preserve"> ADDIN EN.CITE &lt;EndNote&gt;&lt;Cite&gt;&lt;Author&gt;Wang&lt;/Author&gt;&lt;Year&gt;2017&lt;/Year&gt;&lt;RecNum&gt;51&lt;/RecNum&gt;&lt;DisplayText&gt;&lt;style face="superscript"&gt;21&lt;/style&gt;&lt;/DisplayText&gt;&lt;record&gt;&lt;rec-number&gt;51&lt;/rec-number&gt;&lt;foreign-keys&gt;&lt;key app="EN" db-id="t9rar9v219wtd7efs265w5p8vrpv5vdz2dxr" timestamp="1737649777"&gt;51&lt;/key&gt;&lt;/foreign-keys&gt;&lt;ref-type name="Journal Article"&gt;17&lt;/ref-type&gt;&lt;contributors&gt;&lt;authors&gt;&lt;author&gt;Wang, Zifei&lt;/author&gt;&lt;author&gt;Yuan, Fanglong&lt;/author&gt;&lt;author&gt;Li, Xiaohong&lt;/author&gt;&lt;author&gt;Li, Yunchao&lt;/author&gt;&lt;author&gt;Zhong, Haizheng&lt;/author&gt;&lt;author&gt;Fan, Louzhen&lt;/author&gt;&lt;author&gt;Yang, Shihe&lt;/author&gt;&lt;/authors&gt;&lt;/contributors&gt;&lt;titles&gt;&lt;title&gt;53% efficient red emissive carbon quantum dots for high color rendering and stable warm white‐light‐emitting diodes&lt;/title&gt;&lt;secondary-title&gt;Advanced Materials&lt;/secondary-title&gt;&lt;/titles&gt;&lt;periodical&gt;&lt;full-title&gt;Advanced Materials&lt;/full-title&gt;&lt;/periodical&gt;&lt;pages&gt;1702910&lt;/pages&gt;&lt;volume&gt;29&lt;/volume&gt;&lt;number&gt;37&lt;/number&gt;&lt;dates&gt;&lt;year&gt;2017&lt;/year&gt;&lt;/dates&gt;&lt;isbn&gt;0935-9648&lt;/isbn&gt;&lt;urls&gt;&lt;/urls&gt;&lt;/record&gt;&lt;/Cite&gt;&lt;/EndNote&gt;</w:instrTex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separate"/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t>21</w:t>
            </w:r>
            <w:r>
              <w:rPr>
                <w:rFonts w:hint="eastAsia" w:ascii="Times New Roman" w:hAnsi="Times New Roman" w:eastAsia="黑体"/>
                <w:sz w:val="24"/>
                <w:szCs w:val="24"/>
              </w:rPr>
              <w:fldChar w:fldCharType="end"/>
            </w:r>
          </w:p>
        </w:tc>
      </w:tr>
      <w:tr w14:paraId="75036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01" w:type="dxa"/>
            <w:tcBorders>
              <w:top w:val="nil"/>
              <w:left w:val="nil"/>
              <w:bottom w:val="single" w:color="auto" w:sz="24" w:space="0"/>
              <w:right w:val="nil"/>
            </w:tcBorders>
            <w:vAlign w:val="center"/>
          </w:tcPr>
          <w:p w14:paraId="6A5773FA">
            <w:pPr>
              <w:widowControl/>
              <w:ind w:firstLine="0" w:firstLineChars="0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G-CDs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24" w:space="0"/>
              <w:right w:val="nil"/>
            </w:tcBorders>
            <w:vAlign w:val="center"/>
          </w:tcPr>
          <w:p w14:paraId="38092AA6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13.35</w:t>
            </w:r>
          </w:p>
        </w:tc>
        <w:tc>
          <w:tcPr>
            <w:tcW w:w="2589" w:type="dxa"/>
            <w:tcBorders>
              <w:top w:val="nil"/>
              <w:left w:val="nil"/>
              <w:bottom w:val="single" w:color="auto" w:sz="24" w:space="0"/>
              <w:right w:val="nil"/>
            </w:tcBorders>
            <w:vAlign w:val="center"/>
          </w:tcPr>
          <w:p w14:paraId="52B5EA4F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156.29</w:t>
            </w:r>
          </w:p>
        </w:tc>
        <w:tc>
          <w:tcPr>
            <w:tcW w:w="1722" w:type="dxa"/>
            <w:tcBorders>
              <w:top w:val="nil"/>
              <w:left w:val="nil"/>
              <w:bottom w:val="single" w:color="auto" w:sz="24" w:space="0"/>
              <w:right w:val="nil"/>
            </w:tcBorders>
            <w:vAlign w:val="center"/>
          </w:tcPr>
          <w:p w14:paraId="27EAC7E5">
            <w:pPr>
              <w:ind w:firstLine="0" w:firstLineChars="0"/>
              <w:jc w:val="center"/>
              <w:rPr>
                <w:rFonts w:ascii="Times New Roman" w:hAnsi="Times New Roman" w:eastAsia="黑体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sz w:val="24"/>
                <w:szCs w:val="24"/>
              </w:rPr>
              <w:t>This Work</w:t>
            </w:r>
          </w:p>
        </w:tc>
      </w:tr>
    </w:tbl>
    <w:p w14:paraId="1E448011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44F1D23C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0C1B1B45">
      <w:pPr>
        <w:ind w:firstLine="480"/>
        <w:rPr>
          <w:rFonts w:ascii="Times New Roman" w:hAnsi="Times New Roman" w:eastAsia="黑体"/>
          <w:sz w:val="24"/>
          <w:szCs w:val="24"/>
        </w:rPr>
      </w:pPr>
    </w:p>
    <w:p w14:paraId="06F1E6E2">
      <w:pPr>
        <w:widowControl/>
        <w:spacing w:line="360" w:lineRule="auto"/>
        <w:ind w:firstLine="0" w:firstLineChars="0"/>
        <w:rPr>
          <w:rFonts w:hint="eastAsia" w:ascii="Times New Roman" w:hAnsi="Times New Roman" w:eastAsia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/>
          <w:b/>
          <w:bCs/>
          <w:color w:val="000000"/>
          <w:kern w:val="0"/>
          <w:sz w:val="24"/>
          <w:szCs w:val="24"/>
          <w:lang w:bidi="ar"/>
        </w:rPr>
        <w:t>Reference</w:t>
      </w:r>
      <w:r>
        <w:rPr>
          <w:rFonts w:hint="eastAsia" w:ascii="Times New Roman" w:hAnsi="Times New Roman" w:eastAsia="宋体"/>
          <w:b/>
          <w:bCs/>
          <w:color w:val="000000"/>
          <w:kern w:val="0"/>
          <w:sz w:val="24"/>
          <w:szCs w:val="24"/>
          <w:lang w:val="en-US" w:eastAsia="zh-CN" w:bidi="ar"/>
        </w:rPr>
        <w:t>s:</w:t>
      </w:r>
    </w:p>
    <w:p w14:paraId="133766FC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fldChar w:fldCharType="begin"/>
      </w:r>
      <w:r>
        <w:rPr>
          <w:rFonts w:ascii="Times New Roman" w:hAnsi="Times New Roman" w:eastAsia="黑体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eastAsia="黑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1.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Guo J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Yellow‐emissive carbon dots with high solid‐state photoluminescence.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Adv. Funct. Mater.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32</w:t>
      </w:r>
      <w:r>
        <w:rPr>
          <w:rFonts w:hint="default" w:ascii="Times New Roman" w:hAnsi="Times New Roman" w:cs="Times New Roman"/>
          <w:sz w:val="24"/>
          <w:szCs w:val="24"/>
        </w:rPr>
        <w:t>, 2110393 (2022).</w:t>
      </w:r>
    </w:p>
    <w:p w14:paraId="7AEE1547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2.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Zhou D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Conquering aggregation-induced solid-state luminescence quenching of carbon dots through a carbon dots-triggered silica gelation process.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Chem. Mater.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29</w:t>
      </w:r>
      <w:r>
        <w:rPr>
          <w:rFonts w:hint="default" w:ascii="Times New Roman" w:hAnsi="Times New Roman" w:cs="Times New Roman"/>
          <w:sz w:val="24"/>
          <w:szCs w:val="24"/>
        </w:rPr>
        <w:t>, 1779-1787 (2017).</w:t>
      </w:r>
    </w:p>
    <w:p w14:paraId="282DE099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Ding H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Kilogram-scale synthesis of carbon dots with high-efficiency full-color solid-state fluorescence using an aggregation-induced emission strategy.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Chem. Eng. J.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476</w:t>
      </w:r>
      <w:r>
        <w:rPr>
          <w:rFonts w:hint="default" w:ascii="Times New Roman" w:hAnsi="Times New Roman" w:cs="Times New Roman"/>
          <w:sz w:val="24"/>
          <w:szCs w:val="24"/>
        </w:rPr>
        <w:t>, 146405 (2023).</w:t>
      </w:r>
    </w:p>
    <w:p w14:paraId="2E1B3396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4.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Wang H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Highly Luminescent Solid‐State Carbon Dots Embedded in a Boric Acid Matrix.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Chem. Select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5</w:t>
      </w:r>
      <w:r>
        <w:rPr>
          <w:rFonts w:hint="default" w:ascii="Times New Roman" w:hAnsi="Times New Roman" w:cs="Times New Roman"/>
          <w:sz w:val="24"/>
          <w:szCs w:val="24"/>
        </w:rPr>
        <w:t>, 13969-13973 (2020).</w:t>
      </w:r>
    </w:p>
    <w:p w14:paraId="731626EB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5.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Chen J, Zhao H, Li Z, Zhao X, Gong X. Highly efficient tandem luminescent solar concentrators based on eco-friendly copper iodide based hybrid nanoparticles and carbon dots.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Energy Environ. Sci.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15</w:t>
      </w:r>
      <w:r>
        <w:rPr>
          <w:rFonts w:hint="default" w:ascii="Times New Roman" w:hAnsi="Times New Roman" w:cs="Times New Roman"/>
          <w:sz w:val="24"/>
          <w:szCs w:val="24"/>
        </w:rPr>
        <w:t>, 799-805 (2022).</w:t>
      </w:r>
    </w:p>
    <w:p w14:paraId="6834244A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6.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Li J, Zhao H, Zhao X, Gong X. High‐Efficiency Luminescent Solar Concentrators Based on Carbon Dots with Simultaneously Ultrabright Solid‐State and Liquid‐State Luminescence.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Adv. Funct. Mater.</w:t>
      </w:r>
      <w:r>
        <w:rPr>
          <w:rFonts w:hint="default" w:ascii="Times New Roman" w:hAnsi="Times New Roman" w:cs="Times New Roman"/>
          <w:sz w:val="24"/>
          <w:szCs w:val="24"/>
        </w:rPr>
        <w:t>, 2404473 (2024).</w:t>
      </w:r>
    </w:p>
    <w:p w14:paraId="11EA34C3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7.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Xu B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Solid‐State Fluorescent Carbon Dots with Unprecedented Efficiency from Visible to Near‐Infrared Region.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Adv. Sci.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10</w:t>
      </w:r>
      <w:r>
        <w:rPr>
          <w:rFonts w:hint="default" w:ascii="Times New Roman" w:hAnsi="Times New Roman" w:cs="Times New Roman"/>
          <w:sz w:val="24"/>
          <w:szCs w:val="24"/>
        </w:rPr>
        <w:t>, 2205788 (2023).</w:t>
      </w:r>
    </w:p>
    <w:p w14:paraId="194EA5FD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8.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Wei JY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Scalable synthesis of green fluorescent carbon dot powders with unprecedented efficiency.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Adv. Opt. Mater.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8</w:t>
      </w:r>
      <w:r>
        <w:rPr>
          <w:rFonts w:hint="default" w:ascii="Times New Roman" w:hAnsi="Times New Roman" w:cs="Times New Roman"/>
          <w:sz w:val="24"/>
          <w:szCs w:val="24"/>
        </w:rPr>
        <w:t>, 1901938 (2020).</w:t>
      </w:r>
    </w:p>
    <w:p w14:paraId="279ED95E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9.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Chen J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Strategy to construct high thermal‐stability narrow‐band green‐emitting Si‐CDs@ MAs phosphor for wide‐color‐gamut backlight displays.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Adv. Opt. Mater.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10</w:t>
      </w:r>
      <w:r>
        <w:rPr>
          <w:rFonts w:hint="default" w:ascii="Times New Roman" w:hAnsi="Times New Roman" w:cs="Times New Roman"/>
          <w:sz w:val="24"/>
          <w:szCs w:val="24"/>
        </w:rPr>
        <w:t>, 2200851 (2022).</w:t>
      </w:r>
    </w:p>
    <w:p w14:paraId="772610A4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10.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Liu X, Yan L, Zheng J, Yang Y, Liu X, Xu B. Highly optically and thermally stable carbon dots enabled by thermal annealing for laser illumination.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J. Mater. Chem.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 C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11</w:t>
      </w:r>
      <w:r>
        <w:rPr>
          <w:rFonts w:hint="default" w:ascii="Times New Roman" w:hAnsi="Times New Roman" w:cs="Times New Roman"/>
          <w:sz w:val="24"/>
          <w:szCs w:val="24"/>
        </w:rPr>
        <w:t>, 3562-3570 (2023).</w:t>
      </w:r>
    </w:p>
    <w:p w14:paraId="28C82487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11.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Wang J, Zheng J, Yang Y, Liu X, Qiu J, Tian Y. Tunable full-color solid-state fluorescent carbon dots for light emitting diodes. </w:t>
      </w:r>
      <w:r>
        <w:rPr>
          <w:rFonts w:hint="default" w:ascii="Times New Roman" w:hAnsi="Times New Roman" w:cs="Times New Roman"/>
          <w:i/>
          <w:sz w:val="24"/>
          <w:szCs w:val="24"/>
        </w:rPr>
        <w:t>Carbon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190</w:t>
      </w:r>
      <w:r>
        <w:rPr>
          <w:rFonts w:hint="default" w:ascii="Times New Roman" w:hAnsi="Times New Roman" w:cs="Times New Roman"/>
          <w:sz w:val="24"/>
          <w:szCs w:val="24"/>
        </w:rPr>
        <w:t>, 22-31 (2022).</w:t>
      </w:r>
    </w:p>
    <w:p w14:paraId="3C7B0572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12.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Liu X, Liu W, Zuo K, Zheng J, Wang M, Liu X. High color stability blue-to-violet room temperature phosphorescent carbon dot composites with ultralong lifetime for information encryption.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ACS Sustainable Chem. Eng.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11</w:t>
      </w:r>
      <w:r>
        <w:rPr>
          <w:rFonts w:hint="default" w:ascii="Times New Roman" w:hAnsi="Times New Roman" w:cs="Times New Roman"/>
          <w:sz w:val="24"/>
          <w:szCs w:val="24"/>
        </w:rPr>
        <w:t>, 1809-1819 (2023).</w:t>
      </w:r>
    </w:p>
    <w:p w14:paraId="09F220C6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13.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Hu G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Rational synthesis of silane-functionalized carbon dots with high-efficiency full-color solid-state fluorescence for light emitting diodes. </w:t>
      </w:r>
      <w:r>
        <w:rPr>
          <w:rFonts w:hint="default" w:ascii="Times New Roman" w:hAnsi="Times New Roman" w:cs="Times New Roman"/>
          <w:i/>
          <w:sz w:val="24"/>
          <w:szCs w:val="24"/>
        </w:rPr>
        <w:t>Carbon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203</w:t>
      </w:r>
      <w:r>
        <w:rPr>
          <w:rFonts w:hint="default" w:ascii="Times New Roman" w:hAnsi="Times New Roman" w:cs="Times New Roman"/>
          <w:sz w:val="24"/>
          <w:szCs w:val="24"/>
        </w:rPr>
        <w:t>, 1-10 (2023).</w:t>
      </w:r>
    </w:p>
    <w:p w14:paraId="7C476E06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14.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Wan Z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High‐efficiency solid‐state luminescence from hydrophilic carbon dots with aggregation‐induced emission characteristics.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Adv. Funct. Mater.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33</w:t>
      </w:r>
      <w:r>
        <w:rPr>
          <w:rFonts w:hint="default" w:ascii="Times New Roman" w:hAnsi="Times New Roman" w:cs="Times New Roman"/>
          <w:sz w:val="24"/>
          <w:szCs w:val="24"/>
        </w:rPr>
        <w:t>, 2207296 (2023).</w:t>
      </w:r>
    </w:p>
    <w:p w14:paraId="04F52535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15.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Shen C-L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In-situ embedding of carbon dots in a trisodium citrate crystal matrix for tunable solid-state fluorescence. </w:t>
      </w:r>
      <w:r>
        <w:rPr>
          <w:rFonts w:hint="default" w:ascii="Times New Roman" w:hAnsi="Times New Roman" w:cs="Times New Roman"/>
          <w:i/>
          <w:sz w:val="24"/>
          <w:szCs w:val="24"/>
        </w:rPr>
        <w:t>Carbon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136</w:t>
      </w:r>
      <w:r>
        <w:rPr>
          <w:rFonts w:hint="default" w:ascii="Times New Roman" w:hAnsi="Times New Roman" w:cs="Times New Roman"/>
          <w:sz w:val="24"/>
          <w:szCs w:val="24"/>
        </w:rPr>
        <w:t>, 359-368 (2018).</w:t>
      </w:r>
    </w:p>
    <w:p w14:paraId="507557E7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16.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Zhu J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Long-Wavelength Afterglow Emission with Nearly 100% Efficiency through Space-Confined Energy Transfer in Organic-Carbon Dot Hybrid.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Nano Lett.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24</w:t>
      </w:r>
      <w:r>
        <w:rPr>
          <w:rFonts w:hint="default" w:ascii="Times New Roman" w:hAnsi="Times New Roman" w:cs="Times New Roman"/>
          <w:sz w:val="24"/>
          <w:szCs w:val="24"/>
        </w:rPr>
        <w:t>, 13307-13314 (2024).</w:t>
      </w:r>
    </w:p>
    <w:p w14:paraId="388CCABB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17.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Li H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Diamond-like carbon structure-doped carbon dots: A new class of self-quenching-resistant solid-state fluorescence materials toward light-emitting diodes. </w:t>
      </w:r>
      <w:r>
        <w:rPr>
          <w:rFonts w:hint="default" w:ascii="Times New Roman" w:hAnsi="Times New Roman" w:cs="Times New Roman"/>
          <w:i/>
          <w:sz w:val="24"/>
          <w:szCs w:val="24"/>
        </w:rPr>
        <w:t>Carbon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149</w:t>
      </w:r>
      <w:r>
        <w:rPr>
          <w:rFonts w:hint="default" w:ascii="Times New Roman" w:hAnsi="Times New Roman" w:cs="Times New Roman"/>
          <w:sz w:val="24"/>
          <w:szCs w:val="24"/>
        </w:rPr>
        <w:t>, 342-349 (2019).</w:t>
      </w:r>
    </w:p>
    <w:p w14:paraId="01058734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18.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Liu Y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Perylenedioic Acid‐Derived Carbon Dots with Near 100% Quantum Yield in Aqueous Solution for Lasing and Lighting.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Adv. Funct. Mater.</w:t>
      </w:r>
      <w:r>
        <w:rPr>
          <w:rFonts w:hint="default" w:ascii="Times New Roman" w:hAnsi="Times New Roman" w:cs="Times New Roman"/>
          <w:sz w:val="24"/>
          <w:szCs w:val="24"/>
        </w:rPr>
        <w:t>, 2401353 (2024).</w:t>
      </w:r>
    </w:p>
    <w:p w14:paraId="12E0666B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19.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Cui Z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Efficient and environmentally friendly white light-emitting diodes with InP-based quantum dots embedded in mesoporous silica.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J. Mater. Sci. Technol.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200</w:t>
      </w:r>
      <w:r>
        <w:rPr>
          <w:rFonts w:hint="default" w:ascii="Times New Roman" w:hAnsi="Times New Roman" w:cs="Times New Roman"/>
          <w:sz w:val="24"/>
          <w:szCs w:val="24"/>
        </w:rPr>
        <w:t>, 104-111 (2024).</w:t>
      </w:r>
    </w:p>
    <w:p w14:paraId="1B31B5C2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20.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Yu X, Yang X, Zhang H, Liu K, Yu J. Unlocking the potential of CsPbI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 perovskite as stable red phosphors by zeolite skeleton. </w:t>
      </w:r>
      <w:r>
        <w:rPr>
          <w:rFonts w:hint="default" w:ascii="Times New Roman" w:hAnsi="Times New Roman" w:cs="Times New Roman"/>
          <w:i/>
          <w:sz w:val="24"/>
          <w:szCs w:val="24"/>
        </w:rPr>
        <w:t>Matter</w:t>
      </w:r>
      <w:r>
        <w:rPr>
          <w:rFonts w:hint="default" w:ascii="Times New Roman" w:hAnsi="Times New Roman" w:cs="Times New Roman"/>
          <w:sz w:val="24"/>
          <w:szCs w:val="24"/>
        </w:rPr>
        <w:t>, (2024).</w:t>
      </w:r>
    </w:p>
    <w:p w14:paraId="377E85E3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175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21.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Wang Z</w:t>
      </w:r>
      <w:r>
        <w:rPr>
          <w:rFonts w:hint="default" w:ascii="Times New Roman" w:hAnsi="Times New Roman" w:cs="Times New Roman"/>
          <w:i/>
          <w:sz w:val="24"/>
          <w:szCs w:val="24"/>
        </w:rPr>
        <w:t>, et al.</w:t>
      </w:r>
      <w:r>
        <w:rPr>
          <w:rFonts w:hint="default" w:ascii="Times New Roman" w:hAnsi="Times New Roman" w:cs="Times New Roman"/>
          <w:sz w:val="24"/>
          <w:szCs w:val="24"/>
        </w:rPr>
        <w:t xml:space="preserve"> 53% efficient red emissive carbon quantum dots for high color rendering and stable warm white‐light‐emitting diodes.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Adv. Mater.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29</w:t>
      </w:r>
      <w:r>
        <w:rPr>
          <w:rFonts w:hint="default" w:ascii="Times New Roman" w:hAnsi="Times New Roman" w:cs="Times New Roman"/>
          <w:sz w:val="24"/>
          <w:szCs w:val="24"/>
        </w:rPr>
        <w:t>, 1702910 (2017).</w:t>
      </w:r>
    </w:p>
    <w:p w14:paraId="25CB72D0">
      <w:pPr>
        <w:pStyle w:val="19"/>
        <w:ind w:firstLine="400"/>
      </w:pPr>
    </w:p>
    <w:p w14:paraId="7B56D294">
      <w:pPr>
        <w:pStyle w:val="19"/>
        <w:spacing w:line="480" w:lineRule="auto"/>
        <w:ind w:firstLine="0" w:firstLineChars="0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 w:eastAsia="黑体"/>
          <w:sz w:val="24"/>
          <w:szCs w:val="24"/>
        </w:rPr>
        <w:fldChar w:fldCharType="end"/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21241">
    <w:pPr>
      <w:pStyle w:val="5"/>
      <w:ind w:firstLine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B4A8A">
    <w:pPr>
      <w:pStyle w:val="5"/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5F7291">
    <w:pPr>
      <w:pStyle w:val="5"/>
      <w:ind w:firstLine="4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DF0C3">
    <w:pPr>
      <w:pStyle w:val="6"/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6BDDB2">
    <w:pPr>
      <w:pStyle w:val="6"/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A4E407">
    <w:pPr>
      <w:pStyle w:val="6"/>
      <w:ind w:firstLine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8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yMThjNDJhMWMzYzg2ODI5Y2IxZWExZWViYjM0NTI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9rar9v219wtd7efs265w5p8vrpv5vdz2dxr&quot;&gt;My EndNote Library&lt;record-ids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/record-ids&gt;&lt;/item&gt;&lt;/Libraries&gt;"/>
  </w:docVars>
  <w:rsids>
    <w:rsidRoot w:val="00CC65F2"/>
    <w:rsid w:val="00106CE7"/>
    <w:rsid w:val="001B731F"/>
    <w:rsid w:val="002175A9"/>
    <w:rsid w:val="00296088"/>
    <w:rsid w:val="003E2078"/>
    <w:rsid w:val="005F3CAD"/>
    <w:rsid w:val="007B6F35"/>
    <w:rsid w:val="00826972"/>
    <w:rsid w:val="008D1FD4"/>
    <w:rsid w:val="009C66E1"/>
    <w:rsid w:val="00AF2AE7"/>
    <w:rsid w:val="00BD4659"/>
    <w:rsid w:val="00C528D4"/>
    <w:rsid w:val="00CC65F2"/>
    <w:rsid w:val="00CE2E85"/>
    <w:rsid w:val="00DA2744"/>
    <w:rsid w:val="00F63D94"/>
    <w:rsid w:val="02977CBB"/>
    <w:rsid w:val="02A05E21"/>
    <w:rsid w:val="02FE20CD"/>
    <w:rsid w:val="03D96923"/>
    <w:rsid w:val="04D01847"/>
    <w:rsid w:val="04FA441B"/>
    <w:rsid w:val="05504736"/>
    <w:rsid w:val="06604E4C"/>
    <w:rsid w:val="07BD2A35"/>
    <w:rsid w:val="0A4725AB"/>
    <w:rsid w:val="0C8A677F"/>
    <w:rsid w:val="0CC55A09"/>
    <w:rsid w:val="0D4A63A0"/>
    <w:rsid w:val="0DA41AC3"/>
    <w:rsid w:val="0E56100F"/>
    <w:rsid w:val="0E6E44A4"/>
    <w:rsid w:val="0F0B388C"/>
    <w:rsid w:val="0F6E2388"/>
    <w:rsid w:val="10527522"/>
    <w:rsid w:val="107666E7"/>
    <w:rsid w:val="10855BDB"/>
    <w:rsid w:val="113349F9"/>
    <w:rsid w:val="117A356D"/>
    <w:rsid w:val="11F34C69"/>
    <w:rsid w:val="12D03562"/>
    <w:rsid w:val="12FB03D7"/>
    <w:rsid w:val="13F05A62"/>
    <w:rsid w:val="164708D0"/>
    <w:rsid w:val="18927FAF"/>
    <w:rsid w:val="19793E03"/>
    <w:rsid w:val="19AC5F87"/>
    <w:rsid w:val="1A433816"/>
    <w:rsid w:val="1AC63078"/>
    <w:rsid w:val="1B5468D6"/>
    <w:rsid w:val="1B7011B0"/>
    <w:rsid w:val="1BCE26FF"/>
    <w:rsid w:val="1C235E3F"/>
    <w:rsid w:val="1C2F10F1"/>
    <w:rsid w:val="1DA84CB7"/>
    <w:rsid w:val="1E917E41"/>
    <w:rsid w:val="1F9C084C"/>
    <w:rsid w:val="20E5608F"/>
    <w:rsid w:val="20F36B91"/>
    <w:rsid w:val="213A50B4"/>
    <w:rsid w:val="21A460DD"/>
    <w:rsid w:val="23767606"/>
    <w:rsid w:val="255F0C6E"/>
    <w:rsid w:val="25665B84"/>
    <w:rsid w:val="26143832"/>
    <w:rsid w:val="27483067"/>
    <w:rsid w:val="288E455E"/>
    <w:rsid w:val="29017971"/>
    <w:rsid w:val="29EE6148"/>
    <w:rsid w:val="2A7C3754"/>
    <w:rsid w:val="2DDD09AD"/>
    <w:rsid w:val="2F5E5B1E"/>
    <w:rsid w:val="2FCC5DAF"/>
    <w:rsid w:val="2FD233C4"/>
    <w:rsid w:val="311B750B"/>
    <w:rsid w:val="31813D45"/>
    <w:rsid w:val="318E7031"/>
    <w:rsid w:val="31D642BD"/>
    <w:rsid w:val="32FC18D5"/>
    <w:rsid w:val="330C763F"/>
    <w:rsid w:val="331D184C"/>
    <w:rsid w:val="33D13296"/>
    <w:rsid w:val="367A11D2"/>
    <w:rsid w:val="3720190B"/>
    <w:rsid w:val="37335AE2"/>
    <w:rsid w:val="37D8510D"/>
    <w:rsid w:val="37DE4156"/>
    <w:rsid w:val="38772036"/>
    <w:rsid w:val="38FB618B"/>
    <w:rsid w:val="39B8558E"/>
    <w:rsid w:val="39E31C69"/>
    <w:rsid w:val="3C591B47"/>
    <w:rsid w:val="3C9C5A6E"/>
    <w:rsid w:val="3EB2473F"/>
    <w:rsid w:val="3F373C95"/>
    <w:rsid w:val="3F942E96"/>
    <w:rsid w:val="40AE2FDE"/>
    <w:rsid w:val="41DF2AEE"/>
    <w:rsid w:val="430B7913"/>
    <w:rsid w:val="43F717DC"/>
    <w:rsid w:val="44320494"/>
    <w:rsid w:val="448654A3"/>
    <w:rsid w:val="44A91191"/>
    <w:rsid w:val="45611A6C"/>
    <w:rsid w:val="49DA26A7"/>
    <w:rsid w:val="4AC60A47"/>
    <w:rsid w:val="4B5E2FB5"/>
    <w:rsid w:val="4C371778"/>
    <w:rsid w:val="4E0836DA"/>
    <w:rsid w:val="4E983985"/>
    <w:rsid w:val="4EEE4370"/>
    <w:rsid w:val="4F702AB6"/>
    <w:rsid w:val="510E2ECC"/>
    <w:rsid w:val="514C537E"/>
    <w:rsid w:val="51694182"/>
    <w:rsid w:val="51BA49DE"/>
    <w:rsid w:val="526861E8"/>
    <w:rsid w:val="53193986"/>
    <w:rsid w:val="532E61BA"/>
    <w:rsid w:val="57CA34A1"/>
    <w:rsid w:val="58405511"/>
    <w:rsid w:val="584857C4"/>
    <w:rsid w:val="584D55E3"/>
    <w:rsid w:val="595E20F3"/>
    <w:rsid w:val="5A1B0900"/>
    <w:rsid w:val="5AB75F5E"/>
    <w:rsid w:val="5B2D7FCE"/>
    <w:rsid w:val="5BB52BD0"/>
    <w:rsid w:val="5CC91F79"/>
    <w:rsid w:val="5D55380D"/>
    <w:rsid w:val="5E6C52B2"/>
    <w:rsid w:val="5F7C1524"/>
    <w:rsid w:val="60B91957"/>
    <w:rsid w:val="619D39D4"/>
    <w:rsid w:val="62315960"/>
    <w:rsid w:val="63E678B4"/>
    <w:rsid w:val="64AB7555"/>
    <w:rsid w:val="65030CAF"/>
    <w:rsid w:val="671B1623"/>
    <w:rsid w:val="671E6EFC"/>
    <w:rsid w:val="69C23705"/>
    <w:rsid w:val="6AB75B07"/>
    <w:rsid w:val="6B506208"/>
    <w:rsid w:val="6D8048D6"/>
    <w:rsid w:val="6E0C6169"/>
    <w:rsid w:val="6EA75E92"/>
    <w:rsid w:val="6F557F3B"/>
    <w:rsid w:val="6FB95E7D"/>
    <w:rsid w:val="705A492B"/>
    <w:rsid w:val="71463740"/>
    <w:rsid w:val="714D4ACF"/>
    <w:rsid w:val="7270316B"/>
    <w:rsid w:val="732C5ED6"/>
    <w:rsid w:val="741722EA"/>
    <w:rsid w:val="752E2A00"/>
    <w:rsid w:val="752E2E69"/>
    <w:rsid w:val="75DE78E5"/>
    <w:rsid w:val="76BB2228"/>
    <w:rsid w:val="76CE0460"/>
    <w:rsid w:val="77FD0075"/>
    <w:rsid w:val="79534C4C"/>
    <w:rsid w:val="7AF97A99"/>
    <w:rsid w:val="7B4C161C"/>
    <w:rsid w:val="7B95779E"/>
    <w:rsid w:val="7CB55845"/>
    <w:rsid w:val="7CEC4853"/>
    <w:rsid w:val="7DEF602D"/>
    <w:rsid w:val="7E424159"/>
    <w:rsid w:val="7E45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cs="Times New Roman" w:asciiTheme="minorHAnsi" w:hAnsiTheme="minorHAnsi" w:eastAsiaTheme="minorEastAsia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0" w:after="20" w:line="300" w:lineRule="auto"/>
      <w:ind w:firstLine="0" w:firstLineChars="0"/>
      <w:jc w:val="left"/>
      <w:outlineLvl w:val="0"/>
    </w:pPr>
    <w:rPr>
      <w:rFonts w:ascii="Times New Roman" w:hAnsi="Times New Roman" w:eastAsia="黑体"/>
      <w:b/>
      <w:kern w:val="44"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4">
    <w:name w:val="annotation text"/>
    <w:basedOn w:val="1"/>
    <w:link w:val="15"/>
    <w:qFormat/>
    <w:uiPriority w:val="0"/>
    <w:rPr>
      <w:sz w:val="20"/>
      <w:szCs w:val="20"/>
    </w:rPr>
  </w:style>
  <w:style w:type="paragraph" w:styleId="5">
    <w:name w:val="footer"/>
    <w:basedOn w:val="1"/>
    <w:link w:val="14"/>
    <w:qFormat/>
    <w:uiPriority w:val="0"/>
    <w:pPr>
      <w:tabs>
        <w:tab w:val="center" w:pos="4320"/>
        <w:tab w:val="right" w:pos="8640"/>
      </w:tabs>
    </w:pPr>
  </w:style>
  <w:style w:type="paragraph" w:styleId="6">
    <w:name w:val="header"/>
    <w:basedOn w:val="1"/>
    <w:link w:val="13"/>
    <w:qFormat/>
    <w:uiPriority w:val="0"/>
    <w:pPr>
      <w:tabs>
        <w:tab w:val="center" w:pos="4320"/>
        <w:tab w:val="right" w:pos="8640"/>
      </w:tabs>
    </w:pPr>
  </w:style>
  <w:style w:type="paragraph" w:styleId="7">
    <w:name w:val="annotation subject"/>
    <w:basedOn w:val="4"/>
    <w:next w:val="4"/>
    <w:link w:val="16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qFormat/>
    <w:uiPriority w:val="0"/>
    <w:rPr>
      <w:sz w:val="16"/>
      <w:szCs w:val="16"/>
    </w:rPr>
  </w:style>
  <w:style w:type="paragraph" w:customStyle="1" w:styleId="12">
    <w:name w:val="Addresses"/>
    <w:basedOn w:val="1"/>
    <w:qFormat/>
    <w:uiPriority w:val="0"/>
  </w:style>
  <w:style w:type="character" w:customStyle="1" w:styleId="13">
    <w:name w:val="页眉 字符"/>
    <w:basedOn w:val="10"/>
    <w:link w:val="6"/>
    <w:qFormat/>
    <w:uiPriority w:val="0"/>
    <w:rPr>
      <w:rFonts w:asciiTheme="minorHAnsi" w:hAnsiTheme="minorHAnsi" w:eastAsiaTheme="minorEastAsia"/>
      <w:kern w:val="2"/>
      <w:sz w:val="21"/>
      <w:szCs w:val="22"/>
    </w:rPr>
  </w:style>
  <w:style w:type="character" w:customStyle="1" w:styleId="14">
    <w:name w:val="页脚 字符"/>
    <w:basedOn w:val="10"/>
    <w:link w:val="5"/>
    <w:qFormat/>
    <w:uiPriority w:val="0"/>
    <w:rPr>
      <w:rFonts w:asciiTheme="minorHAnsi" w:hAnsiTheme="minorHAnsi" w:eastAsiaTheme="minorEastAsia"/>
      <w:kern w:val="2"/>
      <w:sz w:val="21"/>
      <w:szCs w:val="22"/>
    </w:rPr>
  </w:style>
  <w:style w:type="character" w:customStyle="1" w:styleId="15">
    <w:name w:val="批注文字 字符"/>
    <w:basedOn w:val="10"/>
    <w:link w:val="4"/>
    <w:qFormat/>
    <w:uiPriority w:val="0"/>
    <w:rPr>
      <w:rFonts w:asciiTheme="minorHAnsi" w:hAnsiTheme="minorHAnsi" w:eastAsiaTheme="minorEastAsia"/>
      <w:kern w:val="2"/>
    </w:rPr>
  </w:style>
  <w:style w:type="character" w:customStyle="1" w:styleId="16">
    <w:name w:val="批注主题 字符"/>
    <w:basedOn w:val="15"/>
    <w:link w:val="7"/>
    <w:qFormat/>
    <w:uiPriority w:val="0"/>
    <w:rPr>
      <w:rFonts w:asciiTheme="minorHAnsi" w:hAnsiTheme="minorHAnsi" w:eastAsiaTheme="minorEastAsia"/>
      <w:b/>
      <w:bCs/>
      <w:kern w:val="2"/>
    </w:rPr>
  </w:style>
  <w:style w:type="paragraph" w:customStyle="1" w:styleId="17">
    <w:name w:val="EndNote Bibliography Title"/>
    <w:basedOn w:val="1"/>
    <w:link w:val="18"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18">
    <w:name w:val="EndNote Bibliography Title 字符"/>
    <w:basedOn w:val="10"/>
    <w:link w:val="17"/>
    <w:qFormat/>
    <w:uiPriority w:val="0"/>
    <w:rPr>
      <w:rFonts w:ascii="Calibri" w:hAnsi="Calibri" w:cs="Calibri" w:eastAsiaTheme="minorEastAsia"/>
      <w:kern w:val="2"/>
      <w:szCs w:val="22"/>
    </w:rPr>
  </w:style>
  <w:style w:type="paragraph" w:customStyle="1" w:styleId="19">
    <w:name w:val="EndNote Bibliography"/>
    <w:basedOn w:val="1"/>
    <w:link w:val="20"/>
    <w:qFormat/>
    <w:uiPriority w:val="0"/>
    <w:rPr>
      <w:rFonts w:ascii="Calibri" w:hAnsi="Calibri" w:cs="Calibri"/>
      <w:sz w:val="20"/>
    </w:rPr>
  </w:style>
  <w:style w:type="character" w:customStyle="1" w:styleId="20">
    <w:name w:val="EndNote Bibliography 字符"/>
    <w:basedOn w:val="10"/>
    <w:link w:val="19"/>
    <w:qFormat/>
    <w:uiPriority w:val="0"/>
    <w:rPr>
      <w:rFonts w:ascii="Calibri" w:hAnsi="Calibri" w:cs="Calibri" w:eastAsiaTheme="minorEastAsia"/>
      <w:kern w:val="2"/>
      <w:szCs w:val="22"/>
    </w:rPr>
  </w:style>
  <w:style w:type="paragraph" w:customStyle="1" w:styleId="21">
    <w:name w:val="Authors Full"/>
    <w:basedOn w:val="1"/>
    <w:qFormat/>
    <w:uiPriority w:val="0"/>
    <w:rPr>
      <w:rFonts w:ascii="Times New Roman" w:hAnsi="Times New Roman" w:eastAsia="MS Mincho"/>
      <w:i/>
      <w:lang w:eastAsia="ja-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419</Words>
  <Characters>2242</Characters>
  <Lines>291</Lines>
  <Paragraphs>82</Paragraphs>
  <TotalTime>3</TotalTime>
  <ScaleCrop>false</ScaleCrop>
  <LinksUpToDate>false</LinksUpToDate>
  <CharactersWithSpaces>2608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2023-10-09T05:50:00Z</dcterms:created>
  <dc:creator>G-Bule</dc:creator>
  <cp:lastModifiedBy>G-Bule</cp:lastModifiedBy>
  <dcterms:modified xsi:type="dcterms:W3CDTF">2025-02-06T01:09:35Z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CFFF837511504891ACD272E8FF9C4269_12</vt:lpwstr>
  </property>
  <property fmtid="{D5CDD505-2E9C-101B-9397-08002B2CF9AE}" pid="4" name="KSOTemplateDocerSaveRecord">
    <vt:lpwstr>eyJoZGlkIjoiZTYyMThjNDJhMWMzYzg2ODI5Y2IxZWExZWViYjM0NTIiLCJ1c2VySWQiOiI0NTIzNzE1MDIifQ==</vt:lpwstr>
  </property>
</Properties>
</file>