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4242B" w14:textId="77777777" w:rsidR="00063BE7" w:rsidRPr="001064D6" w:rsidRDefault="00063BE7" w:rsidP="00063BE7">
      <w:pPr>
        <w:spacing w:after="120"/>
        <w:rPr>
          <w:rFonts w:ascii="Arial" w:hAnsi="Arial" w:cs="Arial"/>
          <w:b/>
          <w:sz w:val="22"/>
          <w:szCs w:val="22"/>
        </w:rPr>
      </w:pPr>
      <w:r w:rsidRPr="001064D6">
        <w:rPr>
          <w:rFonts w:ascii="Arial" w:hAnsi="Arial" w:cs="Arial"/>
          <w:b/>
          <w:sz w:val="22"/>
          <w:szCs w:val="22"/>
        </w:rPr>
        <w:t>EXTENDED DATA FIGURES</w:t>
      </w:r>
    </w:p>
    <w:p w14:paraId="55EC6262" w14:textId="77777777" w:rsidR="00063BE7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68871E7E" w14:textId="77777777" w:rsidR="00063BE7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22A9C043" w14:textId="77777777" w:rsidR="00063BE7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654180D0" w14:textId="77777777" w:rsidR="00063BE7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1CF7876D" w14:textId="77777777" w:rsidR="00063BE7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5F132E99" w14:textId="77777777" w:rsidR="00063BE7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7DEF80CA" w14:textId="77777777" w:rsidR="00063BE7" w:rsidRDefault="00063BE7" w:rsidP="00063BE7">
      <w:pPr>
        <w:rPr>
          <w:b/>
          <w:bCs/>
        </w:rPr>
      </w:pPr>
      <w:r>
        <w:rPr>
          <w:b/>
          <w:noProof/>
        </w:rPr>
        <w:drawing>
          <wp:inline distT="0" distB="0" distL="0" distR="0" wp14:anchorId="0CE915B6" wp14:editId="40D33068">
            <wp:extent cx="6858000" cy="3072130"/>
            <wp:effectExtent l="0" t="0" r="0" b="0"/>
            <wp:docPr id="1290466005" name="Picture 3" descr="A collage of images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ollage of images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07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CC416" w14:textId="77777777" w:rsidR="00063BE7" w:rsidRDefault="00063BE7" w:rsidP="00063BE7">
      <w:pPr>
        <w:rPr>
          <w:b/>
          <w:bCs/>
        </w:rPr>
      </w:pPr>
    </w:p>
    <w:p w14:paraId="186B5FD4" w14:textId="77777777" w:rsidR="00063BE7" w:rsidRPr="00466D5D" w:rsidRDefault="00063BE7" w:rsidP="00063BE7">
      <w:pPr>
        <w:spacing w:line="360" w:lineRule="auto"/>
        <w:rPr>
          <w:rFonts w:ascii="Arial" w:hAnsi="Arial" w:cs="Arial"/>
          <w:i/>
          <w:iCs/>
          <w:sz w:val="22"/>
          <w:szCs w:val="22"/>
        </w:rPr>
      </w:pPr>
      <w:r w:rsidRPr="00466D5D">
        <w:rPr>
          <w:rFonts w:ascii="Arial" w:hAnsi="Arial" w:cs="Arial"/>
          <w:b/>
          <w:bCs/>
          <w:i/>
          <w:iCs/>
          <w:sz w:val="22"/>
          <w:szCs w:val="22"/>
        </w:rPr>
        <w:t>Extended Data Figure 1: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</w:t>
      </w:r>
      <w:r w:rsidRPr="00466D5D">
        <w:rPr>
          <w:rFonts w:ascii="Arial" w:hAnsi="Arial" w:cs="Arial"/>
          <w:i/>
          <w:iCs/>
          <w:sz w:val="22"/>
          <w:szCs w:val="22"/>
          <w:u w:val="single"/>
        </w:rPr>
        <w:t>Gating strategy for Fig 2b</w:t>
      </w:r>
      <w:r w:rsidRPr="00466D5D">
        <w:rPr>
          <w:rFonts w:ascii="Arial" w:hAnsi="Arial" w:cs="Arial"/>
          <w:i/>
          <w:iCs/>
          <w:sz w:val="22"/>
          <w:szCs w:val="22"/>
        </w:rPr>
        <w:t>. Viable lymphocytes isolated from the spleen were first gated and subsequently selected for CD19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+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B cells or CD3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+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T cells. CD3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+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T cells were further subdivided into CD4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+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and CD8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+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T cell populations. Within the CD8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+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T cells, CD44 and CD62L expression levels were used to distinguish Naïve (CD44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low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CD62L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high</w:t>
      </w:r>
      <w:r w:rsidRPr="00466D5D">
        <w:rPr>
          <w:rFonts w:ascii="Arial" w:hAnsi="Arial" w:cs="Arial"/>
          <w:i/>
          <w:iCs/>
          <w:sz w:val="22"/>
          <w:szCs w:val="22"/>
        </w:rPr>
        <w:t>) and Activated (CD44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high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CD62L</w:t>
      </w:r>
      <w:r w:rsidRPr="00466D5D">
        <w:rPr>
          <w:rFonts w:ascii="Arial" w:hAnsi="Arial" w:cs="Arial"/>
          <w:i/>
          <w:iCs/>
          <w:sz w:val="22"/>
          <w:szCs w:val="22"/>
          <w:vertAlign w:val="superscript"/>
        </w:rPr>
        <w:t>low</w:t>
      </w:r>
      <w:r w:rsidRPr="00466D5D">
        <w:rPr>
          <w:rFonts w:ascii="Arial" w:hAnsi="Arial" w:cs="Arial"/>
          <w:i/>
          <w:iCs/>
          <w:sz w:val="22"/>
          <w:szCs w:val="22"/>
        </w:rPr>
        <w:t>) cells.</w:t>
      </w:r>
    </w:p>
    <w:p w14:paraId="6A4807B4" w14:textId="77777777" w:rsidR="00063BE7" w:rsidRDefault="00063BE7" w:rsidP="00063BE7">
      <w:pPr>
        <w:spacing w:line="360" w:lineRule="auto"/>
      </w:pPr>
    </w:p>
    <w:p w14:paraId="685C6D5D" w14:textId="77777777" w:rsidR="00063BE7" w:rsidRDefault="00063BE7" w:rsidP="00063BE7">
      <w:r w:rsidRPr="00011111">
        <w:rPr>
          <w:noProof/>
        </w:rPr>
        <w:lastRenderedPageBreak/>
        <w:drawing>
          <wp:inline distT="0" distB="0" distL="0" distR="0" wp14:anchorId="4C54F18B" wp14:editId="71C338C9">
            <wp:extent cx="6858000" cy="5667375"/>
            <wp:effectExtent l="0" t="0" r="0" b="0"/>
            <wp:docPr id="477928656" name="Picture 2" descr="A group of images of different shap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group of images of different shap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566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C74FB" w14:textId="77777777" w:rsidR="00063BE7" w:rsidRDefault="00063BE7" w:rsidP="00063BE7"/>
    <w:p w14:paraId="7080A61C" w14:textId="77777777" w:rsidR="00063BE7" w:rsidRPr="00466D5D" w:rsidRDefault="00063BE7" w:rsidP="00063BE7">
      <w:pPr>
        <w:spacing w:line="360" w:lineRule="auto"/>
        <w:rPr>
          <w:rFonts w:ascii="Arial" w:hAnsi="Arial" w:cs="Arial"/>
          <w:i/>
          <w:iCs/>
          <w:sz w:val="22"/>
          <w:szCs w:val="22"/>
        </w:rPr>
      </w:pPr>
      <w:r w:rsidRPr="00466D5D">
        <w:rPr>
          <w:rFonts w:ascii="Arial" w:hAnsi="Arial" w:cs="Arial"/>
          <w:b/>
          <w:bCs/>
          <w:i/>
          <w:iCs/>
          <w:sz w:val="22"/>
          <w:szCs w:val="22"/>
        </w:rPr>
        <w:t>Extended Data Figure 2: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</w:t>
      </w:r>
      <w:r w:rsidRPr="00466D5D">
        <w:rPr>
          <w:rFonts w:ascii="Arial" w:hAnsi="Arial" w:cs="Arial"/>
          <w:i/>
          <w:iCs/>
          <w:sz w:val="22"/>
          <w:szCs w:val="22"/>
          <w:u w:val="single"/>
        </w:rPr>
        <w:t>Gating strategy for Fig 3.</w:t>
      </w:r>
      <w:r w:rsidRPr="00466D5D">
        <w:rPr>
          <w:rFonts w:ascii="Arial" w:hAnsi="Arial" w:cs="Arial"/>
          <w:i/>
          <w:iCs/>
          <w:sz w:val="22"/>
          <w:szCs w:val="22"/>
        </w:rPr>
        <w:t xml:space="preserve"> Viable single cells isolated from the tumors were initially gated to select CD45+ leukocytes. CD3+ T cells were then identified within this population and further classified into CD4+ and CD8+ T cell subpopulations. Among the CD8+ T cells, tissue-resident memory cells (Trm cells) were identified based on the co-expression of CD69 with either CD103 or CD49a.</w:t>
      </w:r>
    </w:p>
    <w:p w14:paraId="127173B7" w14:textId="77777777" w:rsidR="00063BE7" w:rsidRPr="00F655F1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2570EA8E" w14:textId="77777777" w:rsidR="00063BE7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</w:p>
    <w:p w14:paraId="77E31077" w14:textId="77777777" w:rsidR="00063BE7" w:rsidRPr="00FB3B72" w:rsidRDefault="00063BE7" w:rsidP="00063BE7">
      <w:pPr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/>
          <w:b/>
          <w:bCs/>
        </w:rPr>
        <w:br w:type="page"/>
      </w:r>
    </w:p>
    <w:p w14:paraId="5CFB9EFD" w14:textId="77777777" w:rsidR="00063BE7" w:rsidRDefault="00063BE7" w:rsidP="00063BE7">
      <w:pPr>
        <w:tabs>
          <w:tab w:val="num" w:pos="2160"/>
        </w:tabs>
        <w:spacing w:before="240"/>
        <w:jc w:val="center"/>
        <w:rPr>
          <w:rFonts w:ascii="Arial" w:hAnsi="Arial" w:cs="Arial"/>
        </w:rPr>
      </w:pPr>
    </w:p>
    <w:p w14:paraId="3C0F3032" w14:textId="77777777" w:rsidR="00063BE7" w:rsidRDefault="00063BE7" w:rsidP="00063BE7">
      <w:pPr>
        <w:tabs>
          <w:tab w:val="num" w:pos="2160"/>
        </w:tabs>
        <w:spacing w:before="24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966684F" wp14:editId="18BC911E">
            <wp:extent cx="5010150" cy="4000500"/>
            <wp:effectExtent l="0" t="0" r="0" b="0"/>
            <wp:docPr id="5967746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8B14D" w14:textId="77777777" w:rsidR="00063BE7" w:rsidRPr="00466D5D" w:rsidRDefault="00063BE7" w:rsidP="00063BE7">
      <w:pPr>
        <w:tabs>
          <w:tab w:val="num" w:pos="2160"/>
        </w:tabs>
        <w:spacing w:before="240" w:line="360" w:lineRule="auto"/>
        <w:rPr>
          <w:rFonts w:ascii="Arial" w:hAnsi="Arial" w:cs="Arial"/>
          <w:i/>
          <w:iCs/>
          <w:color w:val="000000"/>
          <w:sz w:val="22"/>
          <w:szCs w:val="22"/>
        </w:rPr>
      </w:pPr>
      <w:r w:rsidRPr="00466D5D">
        <w:rPr>
          <w:rFonts w:ascii="Arial" w:hAnsi="Arial" w:cs="Arial"/>
          <w:b/>
          <w:bCs/>
          <w:i/>
          <w:iCs/>
          <w:sz w:val="22"/>
          <w:szCs w:val="22"/>
        </w:rPr>
        <w:t>Extended Data Figure 3.</w:t>
      </w:r>
      <w:r w:rsidRPr="00466D5D">
        <w:rPr>
          <w:rFonts w:ascii="Arial" w:hAnsi="Arial" w:cs="Arial"/>
          <w:b/>
          <w:bCs/>
          <w:i/>
          <w:iCs/>
          <w:color w:val="412AE7"/>
          <w:sz w:val="22"/>
          <w:szCs w:val="22"/>
        </w:rPr>
        <w:t xml:space="preserve"> </w:t>
      </w:r>
      <w:r w:rsidRPr="00466D5D">
        <w:rPr>
          <w:rFonts w:ascii="Arial" w:hAnsi="Arial" w:cs="Arial"/>
          <w:i/>
          <w:iCs/>
          <w:color w:val="000000"/>
          <w:sz w:val="22"/>
          <w:szCs w:val="22"/>
          <w:u w:val="single"/>
        </w:rPr>
        <w:t>KLF2 downregulation enhanced tumor inhibition is mediated by CD8+ T cells</w:t>
      </w:r>
      <w:r w:rsidRPr="00466D5D">
        <w:rPr>
          <w:rFonts w:ascii="Arial" w:hAnsi="Arial" w:cs="Arial"/>
          <w:i/>
          <w:iCs/>
          <w:color w:val="000000"/>
          <w:sz w:val="22"/>
          <w:szCs w:val="22"/>
        </w:rPr>
        <w:t xml:space="preserve">. Mice were treated weekly three times with CD8, panels a and b, or CD4, panels c and d, depleting antibodies starting 3 days post B16/F10 tumor implantation vaccinated with GVAX, and treated with either 4-1BB-Ctrl siRNA or 4-1BB-KLF2 siRNA as described in Fig. 4a. Panels a and c, tumor progression; Panels b and d, survival. </w:t>
      </w:r>
    </w:p>
    <w:p w14:paraId="2176A739" w14:textId="77777777" w:rsidR="00063BE7" w:rsidRPr="00466D5D" w:rsidRDefault="00063BE7" w:rsidP="00063BE7">
      <w:pPr>
        <w:tabs>
          <w:tab w:val="num" w:pos="2160"/>
        </w:tabs>
        <w:spacing w:before="240" w:line="360" w:lineRule="auto"/>
        <w:rPr>
          <w:rFonts w:ascii="Arial" w:hAnsi="Arial" w:cs="Arial"/>
          <w:i/>
          <w:iCs/>
          <w:color w:val="000000"/>
          <w:sz w:val="22"/>
          <w:szCs w:val="22"/>
        </w:rPr>
      </w:pPr>
      <w:r w:rsidRPr="00466D5D">
        <w:rPr>
          <w:rFonts w:ascii="Arial" w:hAnsi="Arial" w:cs="Arial"/>
          <w:i/>
          <w:iCs/>
          <w:color w:val="000000"/>
          <w:sz w:val="22"/>
          <w:szCs w:val="22"/>
        </w:rPr>
        <w:t>Statistical analysis. Comparisons of groups showing significance (p&lt;0.05) and trend to significance (p=0.05 to 0.07) are shown for survival and tumor progression. Survival. 4-1BB-KLF2 siRNA versus no treatment or 4-1BB-Ctrl siRNA, p=0.0013 and 0.029 respectively (panels b or d); 4-1BB-KLF2 siRNA versus 4-1BB KLF2 siRNA + CD8 antibody, p=0.018 (panel b); 4-1BB-KLF2 siRNA + CD4 Ab versus 4-1BB-KLF2 siRNA, p=0.015, and 4-1BB-Ctrl siRNA + CD4 antibody versus 4-1BB-Ctrl siRNA, p=0.0156 (panel d).Tumor progression. 4-1BB-KLF2 siRNA versus no treatment (panels a and c), d14 0.0299, d16 0.0198, d18, 0.0027, d20 0.0198; 4-1BB KLF2 versus 4-1BB-Ctrl siRNA, d14, 0.0399, d12, 0.072, d16, 0.0634, d18, 0.0683.; 4-1BB-KLF2 siRNA versus 4-1BB KLF2 siRNA + CD8 antibody (panel a), d16 0.0053, d18 0.0029, d20, 0.036</w:t>
      </w:r>
    </w:p>
    <w:p w14:paraId="5FF9FDC9" w14:textId="77777777" w:rsidR="00063BE7" w:rsidRPr="00D9338D" w:rsidRDefault="00063BE7" w:rsidP="00063BE7">
      <w:pPr>
        <w:tabs>
          <w:tab w:val="num" w:pos="2160"/>
        </w:tabs>
        <w:spacing w:before="240" w:after="120"/>
        <w:ind w:left="540" w:hanging="540"/>
        <w:rPr>
          <w:rFonts w:ascii="Arial" w:hAnsi="Arial" w:cs="Arial"/>
        </w:rPr>
      </w:pPr>
    </w:p>
    <w:p w14:paraId="1489FE2F" w14:textId="77777777" w:rsidR="00AC0449" w:rsidRDefault="00AC0449"/>
    <w:sectPr w:rsidR="00AC0449" w:rsidSect="00063BE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BE7"/>
    <w:rsid w:val="00063BE7"/>
    <w:rsid w:val="00383302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A5031"/>
  <w15:chartTrackingRefBased/>
  <w15:docId w15:val="{7F7F1D1B-71F1-4596-B844-A24AE760F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3BE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3BE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3BE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3BE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3BE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3BE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3BE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3BE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3BE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3BE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3B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3B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3B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3B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3B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3B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3B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3B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3B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3B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3B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3BE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3B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3BE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3B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3BE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3B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3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3B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3B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311</Words>
  <Characters>1778</Characters>
  <Application>Microsoft Office Word</Application>
  <DocSecurity>0</DocSecurity>
  <Lines>14</Lines>
  <Paragraphs>4</Paragraphs>
  <ScaleCrop>false</ScaleCrop>
  <Company>Springer Nature</Company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2025-03-13T06:19:00Z</dcterms:created>
  <dcterms:modified xsi:type="dcterms:W3CDTF">2025-03-13T06:20:00Z</dcterms:modified>
</cp:coreProperties>
</file>