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9253D1" w14:textId="77777777" w:rsidR="005030FC" w:rsidRPr="00BF6380" w:rsidRDefault="005030FC" w:rsidP="005030FC">
      <w:pPr>
        <w:pStyle w:val="berschrift1"/>
        <w:spacing w:after="240" w:line="240" w:lineRule="auto"/>
        <w:rPr>
          <w:lang w:val="en-US"/>
        </w:rPr>
      </w:pPr>
      <w:r w:rsidRPr="00BF6380">
        <w:rPr>
          <w:lang w:val="en-GB"/>
        </w:rPr>
        <w:t>Supporting information:</w:t>
      </w:r>
      <w:r>
        <w:rPr>
          <w:lang w:val="en-GB"/>
        </w:rPr>
        <w:t xml:space="preserve"> </w:t>
      </w:r>
      <w:bookmarkStart w:id="0" w:name="_Hlk35901011"/>
      <w:bookmarkStart w:id="1" w:name="_Hlk41642352"/>
      <w:r w:rsidRPr="00BF6380">
        <w:rPr>
          <w:lang w:val="en-GB"/>
        </w:rPr>
        <w:t>Conformation and dynamics of the kinase domain drive subcellular location and activation of LRRK2.</w:t>
      </w:r>
    </w:p>
    <w:p w14:paraId="0AA658EA" w14:textId="77777777" w:rsidR="005030FC" w:rsidRPr="00BF6380" w:rsidRDefault="005030FC" w:rsidP="005030FC">
      <w:pPr>
        <w:jc w:val="both"/>
        <w:rPr>
          <w:vertAlign w:val="superscript"/>
          <w:lang w:eastAsia="en-US"/>
        </w:rPr>
      </w:pPr>
      <w:bookmarkStart w:id="2" w:name="_Hlk35900894"/>
      <w:bookmarkEnd w:id="0"/>
      <w:bookmarkEnd w:id="1"/>
      <w:r w:rsidRPr="00BF6380">
        <w:rPr>
          <w:lang w:eastAsia="en-US"/>
        </w:rPr>
        <w:t>Sven H. Schmidt</w:t>
      </w:r>
      <w:r w:rsidRPr="00BF6380">
        <w:rPr>
          <w:vertAlign w:val="superscript"/>
          <w:lang w:eastAsia="en-US"/>
        </w:rPr>
        <w:t>1*</w:t>
      </w:r>
      <w:r w:rsidRPr="00BF6380">
        <w:rPr>
          <w:lang w:eastAsia="en-US"/>
        </w:rPr>
        <w:t xml:space="preserve">, </w:t>
      </w:r>
      <w:proofErr w:type="spellStart"/>
      <w:r w:rsidRPr="00BF6380">
        <w:rPr>
          <w:lang w:eastAsia="en-US"/>
        </w:rPr>
        <w:t>Jui</w:t>
      </w:r>
      <w:proofErr w:type="spellEnd"/>
      <w:r w:rsidRPr="00BF6380">
        <w:rPr>
          <w:lang w:eastAsia="en-US"/>
        </w:rPr>
        <w:t>-Hung Weng</w:t>
      </w:r>
      <w:r w:rsidRPr="00BF6380">
        <w:rPr>
          <w:vertAlign w:val="superscript"/>
          <w:lang w:eastAsia="en-US"/>
        </w:rPr>
        <w:t>2,3*</w:t>
      </w:r>
      <w:r w:rsidRPr="00BF6380">
        <w:rPr>
          <w:lang w:eastAsia="en-US"/>
        </w:rPr>
        <w:t>, Phillip C. Aoto</w:t>
      </w:r>
      <w:r w:rsidRPr="00BF6380">
        <w:rPr>
          <w:vertAlign w:val="superscript"/>
          <w:lang w:eastAsia="en-US"/>
        </w:rPr>
        <w:t>2,3*</w:t>
      </w:r>
      <w:r w:rsidRPr="00BF6380">
        <w:rPr>
          <w:lang w:eastAsia="en-US"/>
        </w:rPr>
        <w:t>, Daniela Boassa</w:t>
      </w:r>
      <w:r w:rsidRPr="00BF6380">
        <w:rPr>
          <w:vertAlign w:val="superscript"/>
          <w:lang w:eastAsia="en-US"/>
        </w:rPr>
        <w:t>4,5</w:t>
      </w:r>
      <w:r w:rsidRPr="00BF6380">
        <w:rPr>
          <w:lang w:eastAsia="en-US"/>
        </w:rPr>
        <w:t>, Sebastian Mathea</w:t>
      </w:r>
      <w:r w:rsidRPr="00BF6380">
        <w:rPr>
          <w:vertAlign w:val="superscript"/>
          <w:lang w:eastAsia="en-US"/>
        </w:rPr>
        <w:t>6</w:t>
      </w:r>
      <w:r w:rsidRPr="00BF6380">
        <w:rPr>
          <w:lang w:eastAsia="en-US"/>
        </w:rPr>
        <w:t>, Steven Silletti</w:t>
      </w:r>
      <w:r w:rsidRPr="00BF6380">
        <w:rPr>
          <w:vertAlign w:val="superscript"/>
          <w:lang w:eastAsia="en-US"/>
        </w:rPr>
        <w:t>3</w:t>
      </w:r>
      <w:r w:rsidRPr="00BF6380">
        <w:rPr>
          <w:lang w:eastAsia="en-US"/>
        </w:rPr>
        <w:t xml:space="preserve">, </w:t>
      </w:r>
      <w:proofErr w:type="spellStart"/>
      <w:r w:rsidRPr="00BF6380">
        <w:rPr>
          <w:lang w:eastAsia="en-US"/>
        </w:rPr>
        <w:t>Junru</w:t>
      </w:r>
      <w:proofErr w:type="spellEnd"/>
      <w:r w:rsidRPr="00BF6380">
        <w:rPr>
          <w:lang w:eastAsia="en-US"/>
        </w:rPr>
        <w:t xml:space="preserve"> Hu</w:t>
      </w:r>
      <w:r w:rsidRPr="00BF6380">
        <w:rPr>
          <w:vertAlign w:val="superscript"/>
          <w:lang w:eastAsia="en-US"/>
        </w:rPr>
        <w:t>4,5</w:t>
      </w:r>
      <w:r w:rsidRPr="00BF6380">
        <w:rPr>
          <w:lang w:eastAsia="en-US"/>
        </w:rPr>
        <w:t>, Maximilian Wallbott</w:t>
      </w:r>
      <w:r w:rsidRPr="00BF6380">
        <w:rPr>
          <w:vertAlign w:val="superscript"/>
          <w:lang w:eastAsia="en-US"/>
        </w:rPr>
        <w:t>1</w:t>
      </w:r>
      <w:r w:rsidRPr="00BF6380">
        <w:rPr>
          <w:lang w:eastAsia="en-US"/>
        </w:rPr>
        <w:t xml:space="preserve">, </w:t>
      </w:r>
      <w:hyperlink r:id="rId4" w:history="1">
        <w:r w:rsidRPr="00BF6380">
          <w:rPr>
            <w:lang w:eastAsia="en-US"/>
          </w:rPr>
          <w:t>Elizabeth A</w:t>
        </w:r>
        <w:r>
          <w:rPr>
            <w:lang w:eastAsia="en-US"/>
          </w:rPr>
          <w:t>.</w:t>
        </w:r>
        <w:r w:rsidRPr="00BF6380">
          <w:rPr>
            <w:lang w:eastAsia="en-US"/>
          </w:rPr>
          <w:t xml:space="preserve"> Komives</w:t>
        </w:r>
      </w:hyperlink>
      <w:r w:rsidRPr="00BF6380">
        <w:rPr>
          <w:vertAlign w:val="superscript"/>
          <w:lang w:eastAsia="en-US"/>
        </w:rPr>
        <w:t>3</w:t>
      </w:r>
      <w:r w:rsidRPr="00BF6380">
        <w:rPr>
          <w:lang w:eastAsia="en-US"/>
        </w:rPr>
        <w:t>, Stefan Knapp</w:t>
      </w:r>
      <w:r w:rsidRPr="00BF6380">
        <w:rPr>
          <w:vertAlign w:val="superscript"/>
          <w:lang w:eastAsia="en-US"/>
        </w:rPr>
        <w:t>6</w:t>
      </w:r>
      <w:r w:rsidRPr="00BF6380">
        <w:rPr>
          <w:lang w:eastAsia="en-US"/>
        </w:rPr>
        <w:t>, Friedrich W. Herberg</w:t>
      </w:r>
      <w:r w:rsidRPr="00BF6380">
        <w:rPr>
          <w:vertAlign w:val="superscript"/>
          <w:lang w:eastAsia="en-US"/>
        </w:rPr>
        <w:t>1a</w:t>
      </w:r>
      <w:r w:rsidRPr="00BF6380">
        <w:rPr>
          <w:lang w:eastAsia="en-US"/>
        </w:rPr>
        <w:t>, Susan S. Taylor</w:t>
      </w:r>
      <w:r w:rsidRPr="00BF6380">
        <w:rPr>
          <w:vertAlign w:val="superscript"/>
          <w:lang w:eastAsia="en-US"/>
        </w:rPr>
        <w:t>2,3a</w:t>
      </w:r>
    </w:p>
    <w:bookmarkEnd w:id="2"/>
    <w:p w14:paraId="2AADB046" w14:textId="77777777" w:rsidR="005030FC" w:rsidRPr="00BF6380" w:rsidRDefault="005030FC" w:rsidP="005030FC">
      <w:pPr>
        <w:spacing w:after="0" w:line="240" w:lineRule="auto"/>
        <w:jc w:val="both"/>
        <w:rPr>
          <w:lang w:eastAsia="en-US"/>
        </w:rPr>
      </w:pPr>
      <w:r w:rsidRPr="00BF6380">
        <w:rPr>
          <w:vertAlign w:val="superscript"/>
          <w:lang w:eastAsia="en-US"/>
        </w:rPr>
        <w:t>1</w:t>
      </w:r>
      <w:r w:rsidRPr="00BF6380">
        <w:t xml:space="preserve"> </w:t>
      </w:r>
      <w:r w:rsidRPr="00BF6380">
        <w:rPr>
          <w:lang w:eastAsia="en-US"/>
        </w:rPr>
        <w:t>Department of Biochemistry, University of Kassel, 34132 Kassel, Germany</w:t>
      </w:r>
    </w:p>
    <w:p w14:paraId="645027CC" w14:textId="77777777" w:rsidR="005030FC" w:rsidRPr="00BF6380" w:rsidRDefault="005030FC" w:rsidP="005030FC">
      <w:pPr>
        <w:spacing w:after="0" w:line="240" w:lineRule="auto"/>
        <w:jc w:val="both"/>
        <w:rPr>
          <w:lang w:eastAsia="en-US"/>
        </w:rPr>
      </w:pPr>
      <w:r w:rsidRPr="00BF6380">
        <w:rPr>
          <w:vertAlign w:val="superscript"/>
          <w:lang w:eastAsia="en-US"/>
        </w:rPr>
        <w:t>2</w:t>
      </w:r>
      <w:r w:rsidRPr="00BF6380">
        <w:t xml:space="preserve"> </w:t>
      </w:r>
      <w:r w:rsidRPr="00BF6380">
        <w:rPr>
          <w:lang w:eastAsia="en-US"/>
        </w:rPr>
        <w:t>Department of Pharmacology, University of California, San Diego, La Jolla, California 92093, USA</w:t>
      </w:r>
    </w:p>
    <w:p w14:paraId="7213AA0D" w14:textId="77777777" w:rsidR="005030FC" w:rsidRPr="00BF6380" w:rsidRDefault="005030FC" w:rsidP="005030FC">
      <w:pPr>
        <w:pStyle w:val="KeinLeerraum"/>
        <w:jc w:val="both"/>
        <w:rPr>
          <w:rFonts w:cstheme="minorHAnsi"/>
        </w:rPr>
      </w:pPr>
      <w:r w:rsidRPr="00BF6380">
        <w:rPr>
          <w:rFonts w:cstheme="minorHAnsi"/>
          <w:vertAlign w:val="superscript"/>
        </w:rPr>
        <w:t>3</w:t>
      </w:r>
      <w:r w:rsidRPr="00BF6380">
        <w:rPr>
          <w:rFonts w:cstheme="minorHAnsi"/>
        </w:rPr>
        <w:t xml:space="preserve"> Department of Chemistry and Biochemistry, University of California, San Diego, La Jolla, California 92093,</w:t>
      </w:r>
    </w:p>
    <w:p w14:paraId="776FB8F8" w14:textId="77777777" w:rsidR="005030FC" w:rsidRPr="00BF6380" w:rsidRDefault="005030FC" w:rsidP="005030FC">
      <w:pPr>
        <w:pStyle w:val="KeinLeerraum"/>
        <w:jc w:val="both"/>
        <w:rPr>
          <w:rFonts w:cstheme="minorHAnsi"/>
        </w:rPr>
      </w:pPr>
      <w:r w:rsidRPr="00BF6380">
        <w:rPr>
          <w:rFonts w:cstheme="minorHAnsi"/>
        </w:rPr>
        <w:t xml:space="preserve">  USA</w:t>
      </w:r>
    </w:p>
    <w:p w14:paraId="1417F2DD" w14:textId="77777777" w:rsidR="005030FC" w:rsidRPr="00BF6380" w:rsidRDefault="005030FC" w:rsidP="005030FC">
      <w:pPr>
        <w:pStyle w:val="KeinLeerraum"/>
        <w:jc w:val="both"/>
        <w:rPr>
          <w:rFonts w:eastAsia="Times New Roman" w:cstheme="minorHAnsi"/>
          <w:lang w:eastAsia="en-GB"/>
        </w:rPr>
      </w:pPr>
      <w:r w:rsidRPr="00BF6380">
        <w:rPr>
          <w:vertAlign w:val="superscript"/>
          <w:lang w:eastAsia="en-US"/>
        </w:rPr>
        <w:t>4</w:t>
      </w:r>
      <w:r w:rsidRPr="00BF6380">
        <w:rPr>
          <w:lang w:eastAsia="en-US"/>
        </w:rPr>
        <w:t xml:space="preserve"> </w:t>
      </w:r>
      <w:r w:rsidRPr="00BF6380">
        <w:rPr>
          <w:rFonts w:eastAsia="Times New Roman" w:cstheme="minorHAnsi"/>
          <w:lang w:eastAsia="en-GB"/>
        </w:rPr>
        <w:t>National Center for Microscopy and Imaging Research, University of California, San Diego, La Jolla,</w:t>
      </w:r>
    </w:p>
    <w:p w14:paraId="75CCC9FF" w14:textId="77777777" w:rsidR="005030FC" w:rsidRPr="00BF6380" w:rsidRDefault="005030FC" w:rsidP="005030FC">
      <w:pPr>
        <w:pStyle w:val="KeinLeerraum"/>
        <w:jc w:val="both"/>
        <w:rPr>
          <w:rFonts w:eastAsia="Times New Roman" w:cstheme="minorHAnsi"/>
          <w:lang w:eastAsia="en-GB"/>
        </w:rPr>
      </w:pPr>
      <w:r w:rsidRPr="00BF6380">
        <w:rPr>
          <w:rFonts w:eastAsia="Times New Roman" w:cstheme="minorHAnsi"/>
          <w:lang w:eastAsia="en-GB"/>
        </w:rPr>
        <w:t xml:space="preserve">  California 92093, USA</w:t>
      </w:r>
    </w:p>
    <w:p w14:paraId="4C6E20F0" w14:textId="77777777" w:rsidR="005030FC" w:rsidRPr="00BF6380" w:rsidRDefault="005030FC" w:rsidP="005030FC">
      <w:pPr>
        <w:spacing w:after="0" w:line="240" w:lineRule="auto"/>
        <w:jc w:val="both"/>
        <w:rPr>
          <w:rFonts w:eastAsia="Times New Roman" w:cstheme="minorHAnsi"/>
          <w:lang w:eastAsia="en-GB"/>
        </w:rPr>
      </w:pPr>
      <w:r w:rsidRPr="00BF6380">
        <w:rPr>
          <w:rFonts w:eastAsia="Times New Roman" w:cstheme="minorHAnsi"/>
          <w:vertAlign w:val="superscript"/>
          <w:lang w:eastAsia="en-GB"/>
        </w:rPr>
        <w:t>5</w:t>
      </w:r>
      <w:r w:rsidRPr="00BF6380">
        <w:rPr>
          <w:rFonts w:eastAsia="Times New Roman" w:cstheme="minorHAnsi"/>
          <w:lang w:eastAsia="en-GB"/>
        </w:rPr>
        <w:t xml:space="preserve"> Department of Neurosciences, University of California, San Diego, La Jolla, California 92093, USA</w:t>
      </w:r>
    </w:p>
    <w:p w14:paraId="37F28735" w14:textId="77777777" w:rsidR="005030FC" w:rsidRPr="00BF6380" w:rsidRDefault="005030FC" w:rsidP="005030FC">
      <w:pPr>
        <w:spacing w:line="240" w:lineRule="auto"/>
        <w:jc w:val="both"/>
        <w:rPr>
          <w:lang w:eastAsia="en-US"/>
        </w:rPr>
      </w:pPr>
      <w:r w:rsidRPr="00BF6380">
        <w:rPr>
          <w:vertAlign w:val="superscript"/>
          <w:lang w:eastAsia="en-US"/>
        </w:rPr>
        <w:t>6</w:t>
      </w:r>
      <w:r w:rsidRPr="00BF6380">
        <w:rPr>
          <w:lang w:eastAsia="en-US"/>
        </w:rPr>
        <w:t xml:space="preserve"> Institute for Pharmaceutical Chemistry, Goethe University Frankfurt, </w:t>
      </w:r>
      <w:r w:rsidRPr="00BF6380">
        <w:t xml:space="preserve">60438 </w:t>
      </w:r>
      <w:r w:rsidRPr="00BF6380">
        <w:rPr>
          <w:lang w:eastAsia="en-US"/>
        </w:rPr>
        <w:t>Frankfurt am Main, Germany</w:t>
      </w:r>
    </w:p>
    <w:p w14:paraId="6E39C4EF" w14:textId="77777777" w:rsidR="005030FC" w:rsidRPr="00BF6380" w:rsidRDefault="005030FC" w:rsidP="005030FC">
      <w:pPr>
        <w:spacing w:after="0"/>
        <w:jc w:val="both"/>
        <w:rPr>
          <w:lang w:eastAsia="en-US"/>
        </w:rPr>
      </w:pPr>
      <w:r w:rsidRPr="00BF6380">
        <w:rPr>
          <w:vertAlign w:val="superscript"/>
          <w:lang w:eastAsia="en-US"/>
        </w:rPr>
        <w:t>*</w:t>
      </w:r>
      <w:r w:rsidRPr="00BF6380">
        <w:rPr>
          <w:lang w:eastAsia="en-US"/>
        </w:rPr>
        <w:t xml:space="preserve"> Authors contributed equally</w:t>
      </w:r>
    </w:p>
    <w:p w14:paraId="1E25771E" w14:textId="3944E602" w:rsidR="005030FC" w:rsidRPr="005030FC" w:rsidRDefault="005030FC" w:rsidP="005030FC">
      <w:pPr>
        <w:pStyle w:val="berschrift1"/>
        <w:rPr>
          <w:b w:val="0"/>
          <w:bCs/>
          <w:sz w:val="22"/>
          <w:szCs w:val="20"/>
          <w:lang w:val="en-GB"/>
        </w:rPr>
      </w:pPr>
      <w:r w:rsidRPr="005030FC">
        <w:rPr>
          <w:b w:val="0"/>
          <w:bCs/>
          <w:sz w:val="22"/>
          <w:szCs w:val="20"/>
          <w:vertAlign w:val="superscript"/>
          <w:lang w:val="en-GB"/>
        </w:rPr>
        <w:t>a</w:t>
      </w:r>
      <w:r w:rsidRPr="005030FC">
        <w:rPr>
          <w:b w:val="0"/>
          <w:bCs/>
          <w:sz w:val="22"/>
          <w:szCs w:val="20"/>
          <w:lang w:val="en-GB"/>
        </w:rPr>
        <w:t xml:space="preserve"> </w:t>
      </w:r>
      <w:proofErr w:type="gramStart"/>
      <w:r w:rsidRPr="005030FC">
        <w:rPr>
          <w:b w:val="0"/>
          <w:bCs/>
          <w:sz w:val="22"/>
          <w:szCs w:val="20"/>
          <w:lang w:val="en-GB"/>
        </w:rPr>
        <w:t>Co-corresponding authors</w:t>
      </w:r>
      <w:proofErr w:type="gramEnd"/>
    </w:p>
    <w:tbl>
      <w:tblPr>
        <w:tblStyle w:val="Tabellenraster"/>
        <w:tblW w:w="0" w:type="auto"/>
        <w:tblLook w:val="04A0" w:firstRow="1" w:lastRow="0" w:firstColumn="1" w:lastColumn="0" w:noHBand="0" w:noVBand="1"/>
      </w:tblPr>
      <w:tblGrid>
        <w:gridCol w:w="9062"/>
      </w:tblGrid>
      <w:tr w:rsidR="005030FC" w:rsidRPr="00BF6380" w14:paraId="1DA3CFAD" w14:textId="77777777" w:rsidTr="004A7433">
        <w:tc>
          <w:tcPr>
            <w:tcW w:w="0" w:type="auto"/>
          </w:tcPr>
          <w:p w14:paraId="1E577EAF" w14:textId="77777777" w:rsidR="005030FC" w:rsidRPr="00BF6380" w:rsidRDefault="005030FC" w:rsidP="004A7433">
            <w:pPr>
              <w:jc w:val="both"/>
              <w:rPr>
                <w:rFonts w:cstheme="minorHAnsi"/>
                <w:b/>
                <w:sz w:val="20"/>
                <w:szCs w:val="20"/>
              </w:rPr>
            </w:pPr>
            <w:r w:rsidRPr="00BF6380">
              <w:rPr>
                <w:rFonts w:cstheme="minorHAnsi"/>
                <w:b/>
                <w:noProof/>
                <w:sz w:val="20"/>
                <w:szCs w:val="20"/>
                <w:lang w:eastAsia="en-US"/>
              </w:rPr>
              <w:drawing>
                <wp:inline distT="0" distB="0" distL="0" distR="0" wp14:anchorId="5D6979CF" wp14:editId="3272F070">
                  <wp:extent cx="5943600" cy="3344545"/>
                  <wp:effectExtent l="0" t="0" r="0" b="825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Figure S1.tif"/>
                          <pic:cNvPicPr/>
                        </pic:nvPicPr>
                        <pic:blipFill>
                          <a:blip r:embed="rId5" cstate="print">
                            <a:extLst>
                              <a:ext uri="{28A0092B-C50C-407E-A947-70E740481C1C}">
                                <a14:useLocalDpi xmlns:a14="http://schemas.microsoft.com/office/drawing/2010/main" val="0"/>
                              </a:ext>
                            </a:extLst>
                          </a:blip>
                          <a:stretch>
                            <a:fillRect/>
                          </a:stretch>
                        </pic:blipFill>
                        <pic:spPr>
                          <a:xfrm>
                            <a:off x="0" y="0"/>
                            <a:ext cx="5943600" cy="3344545"/>
                          </a:xfrm>
                          <a:prstGeom prst="rect">
                            <a:avLst/>
                          </a:prstGeom>
                        </pic:spPr>
                      </pic:pic>
                    </a:graphicData>
                  </a:graphic>
                </wp:inline>
              </w:drawing>
            </w:r>
          </w:p>
        </w:tc>
      </w:tr>
      <w:tr w:rsidR="005030FC" w:rsidRPr="00BF6380" w14:paraId="5B51BD50" w14:textId="77777777" w:rsidTr="004A7433">
        <w:tc>
          <w:tcPr>
            <w:tcW w:w="0" w:type="auto"/>
          </w:tcPr>
          <w:p w14:paraId="3062D9FE" w14:textId="77777777" w:rsidR="005030FC" w:rsidRPr="00BF6380" w:rsidRDefault="005030FC" w:rsidP="004A7433">
            <w:pPr>
              <w:jc w:val="both"/>
              <w:rPr>
                <w:rFonts w:cstheme="minorHAnsi"/>
                <w:sz w:val="20"/>
                <w:szCs w:val="20"/>
              </w:rPr>
            </w:pPr>
            <w:r w:rsidRPr="00BF6380">
              <w:rPr>
                <w:rFonts w:cstheme="minorHAnsi"/>
                <w:b/>
                <w:sz w:val="20"/>
                <w:szCs w:val="20"/>
              </w:rPr>
              <w:t xml:space="preserve">Figure S1. The type-2 kinase inhibitor </w:t>
            </w:r>
            <w:proofErr w:type="spellStart"/>
            <w:r w:rsidRPr="00BF6380">
              <w:rPr>
                <w:rFonts w:cstheme="minorHAnsi"/>
                <w:b/>
                <w:sz w:val="20"/>
                <w:szCs w:val="20"/>
              </w:rPr>
              <w:t>rebastinib</w:t>
            </w:r>
            <w:proofErr w:type="spellEnd"/>
            <w:r w:rsidRPr="00BF6380">
              <w:rPr>
                <w:rFonts w:cstheme="minorHAnsi"/>
                <w:b/>
                <w:sz w:val="20"/>
                <w:szCs w:val="20"/>
              </w:rPr>
              <w:t xml:space="preserve"> binds to the LRRK2 kinase domain.</w:t>
            </w:r>
            <w:r w:rsidRPr="00BF6380">
              <w:rPr>
                <w:rFonts w:cstheme="minorHAnsi"/>
                <w:sz w:val="20"/>
                <w:szCs w:val="20"/>
              </w:rPr>
              <w:t xml:space="preserve"> Shown are the 1st derivatives of the LRRK2 melting curves with or without </w:t>
            </w:r>
            <w:proofErr w:type="spellStart"/>
            <w:r w:rsidRPr="00BF6380">
              <w:rPr>
                <w:rFonts w:cstheme="minorHAnsi"/>
                <w:sz w:val="20"/>
                <w:szCs w:val="20"/>
              </w:rPr>
              <w:t>rebastinib</w:t>
            </w:r>
            <w:proofErr w:type="spellEnd"/>
            <w:r w:rsidRPr="00BF6380">
              <w:rPr>
                <w:rFonts w:cstheme="minorHAnsi"/>
                <w:sz w:val="20"/>
                <w:szCs w:val="20"/>
              </w:rPr>
              <w:t xml:space="preserve">. The LRRK2 protein comprised two domains (kinase and WD40). Accordingly, there were two minima in the control curve. The addition of </w:t>
            </w:r>
            <w:proofErr w:type="spellStart"/>
            <w:r w:rsidRPr="00BF6380">
              <w:rPr>
                <w:rFonts w:cstheme="minorHAnsi"/>
                <w:sz w:val="20"/>
                <w:szCs w:val="20"/>
              </w:rPr>
              <w:t>rebastinib</w:t>
            </w:r>
            <w:proofErr w:type="spellEnd"/>
            <w:r w:rsidRPr="00BF6380">
              <w:rPr>
                <w:rFonts w:cstheme="minorHAnsi"/>
                <w:sz w:val="20"/>
                <w:szCs w:val="20"/>
              </w:rPr>
              <w:t xml:space="preserve"> stabilized the LRRK2 kinase domain and shifted its melting temperature by 14 K, indicating a binding constant &lt;1 </w:t>
            </w:r>
            <w:proofErr w:type="spellStart"/>
            <w:r w:rsidRPr="00BF6380">
              <w:rPr>
                <w:rFonts w:cstheme="minorHAnsi"/>
                <w:sz w:val="20"/>
                <w:szCs w:val="20"/>
              </w:rPr>
              <w:t>uM</w:t>
            </w:r>
            <w:proofErr w:type="spellEnd"/>
            <w:r w:rsidRPr="00BF6380">
              <w:rPr>
                <w:rFonts w:cstheme="minorHAnsi"/>
                <w:sz w:val="20"/>
                <w:szCs w:val="20"/>
              </w:rPr>
              <w:t>.</w:t>
            </w:r>
          </w:p>
        </w:tc>
      </w:tr>
    </w:tbl>
    <w:p w14:paraId="69D8904F" w14:textId="77777777" w:rsidR="005030FC" w:rsidRPr="00BF6380" w:rsidRDefault="005030FC" w:rsidP="005030FC">
      <w:pPr>
        <w:jc w:val="both"/>
        <w:rPr>
          <w:rFonts w:cstheme="minorHAnsi"/>
          <w:b/>
          <w:sz w:val="20"/>
          <w:szCs w:val="20"/>
        </w:rPr>
      </w:pPr>
    </w:p>
    <w:p w14:paraId="34251645" w14:textId="77777777" w:rsidR="005030FC" w:rsidRPr="00BF6380" w:rsidRDefault="005030FC" w:rsidP="005030FC">
      <w:pPr>
        <w:jc w:val="both"/>
        <w:rPr>
          <w:b/>
        </w:rPr>
      </w:pPr>
    </w:p>
    <w:tbl>
      <w:tblPr>
        <w:tblStyle w:val="Tabellenraster"/>
        <w:tblW w:w="0" w:type="auto"/>
        <w:tblLook w:val="04A0" w:firstRow="1" w:lastRow="0" w:firstColumn="1" w:lastColumn="0" w:noHBand="0" w:noVBand="1"/>
      </w:tblPr>
      <w:tblGrid>
        <w:gridCol w:w="9062"/>
      </w:tblGrid>
      <w:tr w:rsidR="005030FC" w:rsidRPr="00BF6380" w14:paraId="1D01CF85" w14:textId="77777777" w:rsidTr="004A7433">
        <w:tc>
          <w:tcPr>
            <w:tcW w:w="0" w:type="auto"/>
          </w:tcPr>
          <w:p w14:paraId="0DD41A4E" w14:textId="77777777" w:rsidR="005030FC" w:rsidRPr="00BF6380" w:rsidRDefault="005030FC" w:rsidP="004A7433">
            <w:pPr>
              <w:jc w:val="both"/>
              <w:rPr>
                <w:b/>
              </w:rPr>
            </w:pPr>
            <w:r>
              <w:rPr>
                <w:b/>
                <w:noProof/>
                <w:lang w:eastAsia="en-US"/>
              </w:rPr>
              <w:lastRenderedPageBreak/>
              <w:drawing>
                <wp:inline distT="0" distB="0" distL="0" distR="0" wp14:anchorId="7E7ECFC0" wp14:editId="61F4FB80">
                  <wp:extent cx="5984875" cy="6040755"/>
                  <wp:effectExtent l="0" t="0" r="0" b="0"/>
                  <wp:docPr id="2"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extLst>
                              <a:ext uri="{28A0092B-C50C-407E-A947-70E740481C1C}">
                                <a14:useLocalDpi xmlns:a14="http://schemas.microsoft.com/office/drawing/2010/main" val="0"/>
                              </a:ext>
                            </a:extLst>
                          </a:blip>
                          <a:srcRect b="29657"/>
                          <a:stretch>
                            <a:fillRect/>
                          </a:stretch>
                        </pic:blipFill>
                        <pic:spPr bwMode="auto">
                          <a:xfrm>
                            <a:off x="0" y="0"/>
                            <a:ext cx="5984875" cy="6040755"/>
                          </a:xfrm>
                          <a:prstGeom prst="rect">
                            <a:avLst/>
                          </a:prstGeom>
                          <a:noFill/>
                          <a:ln>
                            <a:noFill/>
                          </a:ln>
                        </pic:spPr>
                      </pic:pic>
                    </a:graphicData>
                  </a:graphic>
                </wp:inline>
              </w:drawing>
            </w:r>
          </w:p>
        </w:tc>
      </w:tr>
      <w:tr w:rsidR="005030FC" w:rsidRPr="00BF6380" w14:paraId="5E353E5E" w14:textId="77777777" w:rsidTr="004A7433">
        <w:tc>
          <w:tcPr>
            <w:tcW w:w="0" w:type="auto"/>
          </w:tcPr>
          <w:p w14:paraId="6982E918" w14:textId="77777777" w:rsidR="005030FC" w:rsidRPr="00BF6380" w:rsidRDefault="005030FC" w:rsidP="004A7433">
            <w:pPr>
              <w:jc w:val="both"/>
              <w:rPr>
                <w:rFonts w:cstheme="minorHAnsi"/>
                <w:sz w:val="20"/>
                <w:szCs w:val="20"/>
              </w:rPr>
            </w:pPr>
            <w:r w:rsidRPr="00BF6380">
              <w:rPr>
                <w:b/>
              </w:rPr>
              <w:t>Figure S2.</w:t>
            </w:r>
            <w:r w:rsidRPr="00BF6380">
              <w:rPr>
                <w:rFonts w:cstheme="minorHAnsi"/>
                <w:b/>
                <w:noProof/>
                <w:sz w:val="20"/>
                <w:szCs w:val="20"/>
              </w:rPr>
              <w:t xml:space="preserve"> The identified HDX-MS peptides of LRRK2</w:t>
            </w:r>
            <w:r w:rsidRPr="00BF6380">
              <w:rPr>
                <w:rFonts w:cstheme="minorHAnsi"/>
                <w:b/>
                <w:noProof/>
                <w:sz w:val="20"/>
                <w:szCs w:val="20"/>
                <w:vertAlign w:val="subscript"/>
              </w:rPr>
              <w:t>RCKW</w:t>
            </w:r>
            <w:r w:rsidRPr="00BF6380">
              <w:rPr>
                <w:rFonts w:cstheme="minorHAnsi"/>
                <w:noProof/>
                <w:sz w:val="20"/>
                <w:szCs w:val="20"/>
              </w:rPr>
              <w:t xml:space="preserve"> . </w:t>
            </w:r>
            <w:r w:rsidRPr="00BF6380">
              <w:rPr>
                <w:rFonts w:eastAsia="PMingLiU" w:cstheme="minorHAnsi"/>
                <w:b/>
                <w:color w:val="000000" w:themeColor="text1"/>
                <w:kern w:val="24"/>
                <w:sz w:val="20"/>
                <w:szCs w:val="20"/>
              </w:rPr>
              <w:t>(A)</w:t>
            </w:r>
            <w:r w:rsidRPr="00BF6380">
              <w:rPr>
                <w:rFonts w:eastAsia="PMingLiU" w:cstheme="minorHAnsi"/>
                <w:color w:val="000000" w:themeColor="text1"/>
                <w:kern w:val="24"/>
                <w:sz w:val="20"/>
                <w:szCs w:val="20"/>
              </w:rPr>
              <w:t xml:space="preserve"> The relative deuterium exchange for each peptide detected from the N to C terminus of LRRK2 at 2 min, apo condition. </w:t>
            </w:r>
            <w:r w:rsidRPr="00BF6380">
              <w:rPr>
                <w:rFonts w:cstheme="minorHAnsi"/>
                <w:b/>
                <w:noProof/>
                <w:sz w:val="20"/>
                <w:szCs w:val="20"/>
              </w:rPr>
              <w:t xml:space="preserve">(B) </w:t>
            </w:r>
            <w:r w:rsidRPr="00BF6380">
              <w:rPr>
                <w:rFonts w:cstheme="minorHAnsi"/>
                <w:noProof/>
                <w:sz w:val="20"/>
                <w:szCs w:val="20"/>
              </w:rPr>
              <w:t xml:space="preserve">Each line in the coverage map represents an identified peptide (exchanged 2 min) and the color indicates the relative </w:t>
            </w:r>
            <w:r w:rsidRPr="00BF6380">
              <w:rPr>
                <w:rFonts w:cstheme="minorHAnsi"/>
                <w:sz w:val="20"/>
                <w:szCs w:val="20"/>
              </w:rPr>
              <w:t xml:space="preserve">deuterium uptake. Location of each domain is indicated. The map identifies folded regions as well as solvent exposed regions such as the activation loop in the kinase domain. The coverage is 96.3% and the redundancy is 3.72, which is successful for a protein this large. </w:t>
            </w:r>
            <w:r w:rsidRPr="00BF6380">
              <w:rPr>
                <w:rFonts w:cstheme="minorHAnsi"/>
                <w:b/>
                <w:sz w:val="20"/>
                <w:szCs w:val="20"/>
              </w:rPr>
              <w:t>(C)</w:t>
            </w:r>
            <w:r w:rsidRPr="00BF6380">
              <w:rPr>
                <w:rFonts w:cstheme="minorHAnsi"/>
                <w:sz w:val="20"/>
                <w:szCs w:val="20"/>
              </w:rPr>
              <w:t xml:space="preserve"> The heat shows the relative fractional uptake by color</w:t>
            </w:r>
            <w:r>
              <w:rPr>
                <w:rFonts w:cstheme="minorHAnsi"/>
                <w:sz w:val="20"/>
                <w:szCs w:val="20"/>
              </w:rPr>
              <w:t xml:space="preserve"> at</w:t>
            </w:r>
            <w:r w:rsidRPr="00BF6380">
              <w:rPr>
                <w:rFonts w:cstheme="minorHAnsi"/>
                <w:sz w:val="20"/>
                <w:szCs w:val="20"/>
              </w:rPr>
              <w:t xml:space="preserve"> 2 min. It is colored based on the difference of </w:t>
            </w:r>
            <w:r w:rsidRPr="00BF6380">
              <w:rPr>
                <w:rFonts w:cstheme="minorHAnsi"/>
                <w:noProof/>
                <w:sz w:val="20"/>
                <w:szCs w:val="20"/>
              </w:rPr>
              <w:t xml:space="preserve">relative </w:t>
            </w:r>
            <w:r w:rsidRPr="00BF6380">
              <w:rPr>
                <w:rFonts w:cstheme="minorHAnsi"/>
                <w:sz w:val="20"/>
                <w:szCs w:val="20"/>
              </w:rPr>
              <w:t xml:space="preserve">deuterium uptake between apo and MLi-2 states. </w:t>
            </w:r>
          </w:p>
        </w:tc>
      </w:tr>
    </w:tbl>
    <w:p w14:paraId="3BA697A1" w14:textId="77777777" w:rsidR="005030FC" w:rsidRPr="00BF6380" w:rsidRDefault="005030FC" w:rsidP="005030FC">
      <w:pPr>
        <w:jc w:val="both"/>
        <w:rPr>
          <w:b/>
        </w:rPr>
      </w:pPr>
    </w:p>
    <w:tbl>
      <w:tblPr>
        <w:tblStyle w:val="Tabellenraster"/>
        <w:tblW w:w="0" w:type="auto"/>
        <w:tblLook w:val="04A0" w:firstRow="1" w:lastRow="0" w:firstColumn="1" w:lastColumn="0" w:noHBand="0" w:noVBand="1"/>
      </w:tblPr>
      <w:tblGrid>
        <w:gridCol w:w="9062"/>
      </w:tblGrid>
      <w:tr w:rsidR="005030FC" w:rsidRPr="00BF6380" w14:paraId="72E5B26C" w14:textId="77777777" w:rsidTr="004A7433">
        <w:tc>
          <w:tcPr>
            <w:tcW w:w="0" w:type="auto"/>
          </w:tcPr>
          <w:p w14:paraId="0113E285" w14:textId="77777777" w:rsidR="005030FC" w:rsidRPr="00BF6380" w:rsidRDefault="005030FC" w:rsidP="004A7433">
            <w:pPr>
              <w:jc w:val="both"/>
              <w:rPr>
                <w:rFonts w:cstheme="minorHAnsi"/>
                <w:b/>
                <w:sz w:val="20"/>
                <w:szCs w:val="20"/>
              </w:rPr>
            </w:pPr>
            <w:r w:rsidRPr="00BF6380">
              <w:rPr>
                <w:rFonts w:cstheme="minorHAnsi"/>
                <w:b/>
                <w:noProof/>
                <w:sz w:val="20"/>
                <w:szCs w:val="20"/>
                <w:lang w:eastAsia="en-US"/>
              </w:rPr>
              <w:lastRenderedPageBreak/>
              <w:drawing>
                <wp:inline distT="0" distB="0" distL="0" distR="0" wp14:anchorId="0E6135FE" wp14:editId="4261189B">
                  <wp:extent cx="5943600" cy="46736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Figure S3.tif"/>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43600" cy="4673600"/>
                          </a:xfrm>
                          <a:prstGeom prst="rect">
                            <a:avLst/>
                          </a:prstGeom>
                        </pic:spPr>
                      </pic:pic>
                    </a:graphicData>
                  </a:graphic>
                </wp:inline>
              </w:drawing>
            </w:r>
          </w:p>
        </w:tc>
      </w:tr>
      <w:tr w:rsidR="005030FC" w:rsidRPr="00BF6380" w14:paraId="62ED358A" w14:textId="77777777" w:rsidTr="004A7433">
        <w:tc>
          <w:tcPr>
            <w:tcW w:w="0" w:type="auto"/>
          </w:tcPr>
          <w:p w14:paraId="70FADC95" w14:textId="77777777" w:rsidR="005030FC" w:rsidRPr="00BF6380" w:rsidRDefault="005030FC" w:rsidP="004A7433">
            <w:pPr>
              <w:jc w:val="both"/>
              <w:rPr>
                <w:rFonts w:cstheme="minorHAnsi"/>
                <w:sz w:val="20"/>
                <w:szCs w:val="20"/>
              </w:rPr>
            </w:pPr>
            <w:r w:rsidRPr="00BF6380">
              <w:rPr>
                <w:rFonts w:cstheme="minorHAnsi"/>
                <w:b/>
                <w:sz w:val="20"/>
                <w:szCs w:val="20"/>
              </w:rPr>
              <w:t>Figure S3.</w:t>
            </w:r>
            <w:r w:rsidRPr="00BF6380">
              <w:rPr>
                <w:rFonts w:cstheme="minorHAnsi"/>
                <w:sz w:val="20"/>
                <w:szCs w:val="20"/>
              </w:rPr>
              <w:t xml:space="preserve"> </w:t>
            </w:r>
            <w:r w:rsidRPr="00BF6380">
              <w:rPr>
                <w:rFonts w:cstheme="minorHAnsi"/>
                <w:b/>
                <w:sz w:val="20"/>
                <w:szCs w:val="20"/>
              </w:rPr>
              <w:t>Y2018 has a non-ideal sidechain torsion angle that introduces disorder to the DYG loop</w:t>
            </w:r>
            <w:r w:rsidRPr="00BF6380">
              <w:rPr>
                <w:rFonts w:cstheme="minorHAnsi"/>
                <w:sz w:val="20"/>
                <w:szCs w:val="20"/>
              </w:rPr>
              <w:t xml:space="preserve">. </w:t>
            </w:r>
            <w:r w:rsidRPr="00BF6380">
              <w:rPr>
                <w:rFonts w:cstheme="minorHAnsi"/>
                <w:b/>
                <w:sz w:val="20"/>
                <w:szCs w:val="20"/>
              </w:rPr>
              <w:t>(A)</w:t>
            </w:r>
            <w:r w:rsidRPr="00BF6380">
              <w:rPr>
                <w:rFonts w:cstheme="minorHAnsi"/>
                <w:sz w:val="20"/>
                <w:szCs w:val="20"/>
              </w:rPr>
              <w:t xml:space="preserve"> Ideal Tyr χ1/ χ2 </w:t>
            </w:r>
            <w:proofErr w:type="gramStart"/>
            <w:r w:rsidRPr="00BF6380">
              <w:rPr>
                <w:rFonts w:cstheme="minorHAnsi"/>
                <w:sz w:val="20"/>
                <w:szCs w:val="20"/>
              </w:rPr>
              <w:t>gauche(</w:t>
            </w:r>
            <w:proofErr w:type="gramEnd"/>
            <w:r w:rsidRPr="00BF6380">
              <w:rPr>
                <w:rFonts w:cstheme="minorHAnsi"/>
                <w:sz w:val="20"/>
                <w:szCs w:val="20"/>
              </w:rPr>
              <w:t xml:space="preserve">-) torsions from the </w:t>
            </w:r>
            <w:proofErr w:type="spellStart"/>
            <w:r w:rsidRPr="00BF6380">
              <w:rPr>
                <w:rFonts w:cstheme="minorHAnsi"/>
                <w:sz w:val="20"/>
                <w:szCs w:val="20"/>
              </w:rPr>
              <w:t>Dunbrack</w:t>
            </w:r>
            <w:proofErr w:type="spellEnd"/>
            <w:r w:rsidRPr="00BF6380">
              <w:rPr>
                <w:rFonts w:cstheme="minorHAnsi"/>
                <w:sz w:val="20"/>
                <w:szCs w:val="20"/>
              </w:rPr>
              <w:t xml:space="preserve"> database is shown with blue-to-red color indicating increasing torsion angle preference </w:t>
            </w:r>
            <w:r>
              <w:rPr>
                <w:rFonts w:cstheme="minorHAnsi"/>
                <w:noProof/>
                <w:sz w:val="20"/>
                <w:szCs w:val="20"/>
              </w:rPr>
              <w:t>(88)</w:t>
            </w:r>
            <w:r w:rsidRPr="00BF6380">
              <w:rPr>
                <w:rFonts w:cstheme="minorHAnsi"/>
                <w:sz w:val="20"/>
                <w:szCs w:val="20"/>
              </w:rPr>
              <w:t>. The average torsion angles for wt Y2018 (magenta circle) and Y2018F (white circle) from the simulation are overlaid, showing that wt Y2018’s sidechain is in a non-preferred conformation. The χ1 / χ2 sidechain torsion angle distribution for Y2018 and Y2018F during the simulations are shown (</w:t>
            </w:r>
            <w:r w:rsidRPr="00BF6380">
              <w:rPr>
                <w:rFonts w:cstheme="minorHAnsi"/>
                <w:b/>
                <w:sz w:val="20"/>
                <w:szCs w:val="20"/>
              </w:rPr>
              <w:t>right panels</w:t>
            </w:r>
            <w:r w:rsidRPr="00BF6380">
              <w:rPr>
                <w:rFonts w:cstheme="minorHAnsi"/>
                <w:sz w:val="20"/>
                <w:szCs w:val="20"/>
              </w:rPr>
              <w:t xml:space="preserve">).  Y2018F breaks the hydrogen bonds that lock the sidechain of Y2018 in wt and leads to a more ideal side-chain conformation in the mutant. The white dashed line indicates the preferred χ1 for Tyr from the </w:t>
            </w:r>
            <w:proofErr w:type="spellStart"/>
            <w:r w:rsidRPr="00BF6380">
              <w:rPr>
                <w:rFonts w:cstheme="minorHAnsi"/>
                <w:sz w:val="20"/>
                <w:szCs w:val="20"/>
              </w:rPr>
              <w:t>Dunbrack</w:t>
            </w:r>
            <w:proofErr w:type="spellEnd"/>
            <w:r w:rsidRPr="00BF6380">
              <w:rPr>
                <w:rFonts w:cstheme="minorHAnsi"/>
                <w:sz w:val="20"/>
                <w:szCs w:val="20"/>
              </w:rPr>
              <w:t xml:space="preserve"> dataset. </w:t>
            </w:r>
            <w:r w:rsidRPr="00BF6380">
              <w:rPr>
                <w:rFonts w:cstheme="minorHAnsi"/>
                <w:b/>
                <w:sz w:val="20"/>
                <w:szCs w:val="20"/>
              </w:rPr>
              <w:t>(B)</w:t>
            </w:r>
            <w:r w:rsidRPr="00BF6380">
              <w:rPr>
                <w:rFonts w:cstheme="minorHAnsi"/>
                <w:sz w:val="20"/>
                <w:szCs w:val="20"/>
              </w:rPr>
              <w:t xml:space="preserve"> The ideal backbone dependent conformation for the gauche(-) rotamer of Tyr, derived from rotamer libraries </w:t>
            </w:r>
            <w:r>
              <w:rPr>
                <w:rFonts w:cstheme="minorHAnsi"/>
                <w:noProof/>
                <w:sz w:val="20"/>
                <w:szCs w:val="20"/>
              </w:rPr>
              <w:t>(88)</w:t>
            </w:r>
            <w:r w:rsidRPr="00BF6380">
              <w:rPr>
                <w:rFonts w:cstheme="minorHAnsi"/>
                <w:sz w:val="20"/>
                <w:szCs w:val="20"/>
              </w:rPr>
              <w:t>,  is depicted as the</w:t>
            </w:r>
            <w:r w:rsidRPr="00BF6380">
              <w:rPr>
                <w:rFonts w:cstheme="minorHAnsi"/>
                <w:sz w:val="20"/>
                <w:szCs w:val="20"/>
              </w:rPr>
              <w:sym w:font="Symbol" w:char="F020"/>
            </w:r>
            <w:r w:rsidRPr="00BF6380">
              <w:rPr>
                <w:rFonts w:cstheme="minorHAnsi"/>
                <w:sz w:val="20"/>
                <w:szCs w:val="20"/>
              </w:rPr>
              <w:t xml:space="preserve">probability of the backbone </w:t>
            </w:r>
            <w:r w:rsidRPr="00BF6380">
              <w:rPr>
                <w:rFonts w:cstheme="minorHAnsi"/>
                <w:sz w:val="20"/>
                <w:szCs w:val="20"/>
              </w:rPr>
              <w:sym w:font="Symbol" w:char="F079"/>
            </w:r>
            <w:r w:rsidRPr="00BF6380">
              <w:rPr>
                <w:rFonts w:cstheme="minorHAnsi"/>
                <w:sz w:val="20"/>
                <w:szCs w:val="20"/>
              </w:rPr>
              <w:t>-dihedral angle (</w:t>
            </w:r>
            <w:proofErr w:type="spellStart"/>
            <w:r w:rsidRPr="00BF6380">
              <w:rPr>
                <w:rFonts w:cstheme="minorHAnsi"/>
                <w:sz w:val="20"/>
                <w:szCs w:val="20"/>
                <w:vertAlign w:val="subscript"/>
              </w:rPr>
              <w:t>i</w:t>
            </w:r>
            <w:r w:rsidRPr="00BF6380">
              <w:rPr>
                <w:rFonts w:cstheme="minorHAnsi"/>
                <w:sz w:val="20"/>
                <w:szCs w:val="20"/>
              </w:rPr>
              <w:t>N</w:t>
            </w:r>
            <w:proofErr w:type="spellEnd"/>
            <w:r w:rsidRPr="00BF6380">
              <w:rPr>
                <w:rFonts w:cstheme="minorHAnsi"/>
                <w:sz w:val="20"/>
                <w:szCs w:val="20"/>
              </w:rPr>
              <w:t xml:space="preserve">- </w:t>
            </w:r>
            <w:proofErr w:type="spellStart"/>
            <w:r w:rsidRPr="00BF6380">
              <w:rPr>
                <w:rFonts w:cstheme="minorHAnsi"/>
                <w:sz w:val="20"/>
                <w:szCs w:val="20"/>
                <w:vertAlign w:val="subscript"/>
              </w:rPr>
              <w:t>i</w:t>
            </w:r>
            <w:r w:rsidRPr="00BF6380">
              <w:rPr>
                <w:rFonts w:cstheme="minorHAnsi"/>
                <w:sz w:val="20"/>
                <w:szCs w:val="20"/>
              </w:rPr>
              <w:t>C</w:t>
            </w:r>
            <w:proofErr w:type="spellEnd"/>
            <w:r w:rsidRPr="00BF6380">
              <w:rPr>
                <w:rFonts w:cstheme="minorHAnsi"/>
                <w:sz w:val="20"/>
                <w:szCs w:val="20"/>
              </w:rPr>
              <w:sym w:font="Symbol" w:char="F061"/>
            </w:r>
            <w:r w:rsidRPr="00BF6380">
              <w:rPr>
                <w:rFonts w:cstheme="minorHAnsi"/>
                <w:sz w:val="20"/>
                <w:szCs w:val="20"/>
              </w:rPr>
              <w:t xml:space="preserve">- </w:t>
            </w:r>
            <w:proofErr w:type="spellStart"/>
            <w:r w:rsidRPr="00BF6380">
              <w:rPr>
                <w:rFonts w:cstheme="minorHAnsi"/>
                <w:sz w:val="20"/>
                <w:szCs w:val="20"/>
                <w:vertAlign w:val="subscript"/>
              </w:rPr>
              <w:t>i</w:t>
            </w:r>
            <w:r w:rsidRPr="00BF6380">
              <w:rPr>
                <w:rFonts w:cstheme="minorHAnsi"/>
                <w:sz w:val="20"/>
                <w:szCs w:val="20"/>
              </w:rPr>
              <w:t>C</w:t>
            </w:r>
            <w:proofErr w:type="spellEnd"/>
            <w:r w:rsidRPr="00BF6380">
              <w:rPr>
                <w:rFonts w:cstheme="minorHAnsi"/>
                <w:sz w:val="20"/>
                <w:szCs w:val="20"/>
              </w:rPr>
              <w:t xml:space="preserve">- </w:t>
            </w:r>
            <w:r w:rsidRPr="00BF6380">
              <w:rPr>
                <w:rFonts w:cstheme="minorHAnsi"/>
                <w:sz w:val="20"/>
                <w:szCs w:val="20"/>
                <w:vertAlign w:val="subscript"/>
              </w:rPr>
              <w:t>i+1</w:t>
            </w:r>
            <w:r w:rsidRPr="00BF6380">
              <w:rPr>
                <w:rFonts w:cstheme="minorHAnsi"/>
                <w:sz w:val="20"/>
                <w:szCs w:val="20"/>
              </w:rPr>
              <w:t xml:space="preserve">N) in blue. The non-ideal Y2018 rotamer in wt adds strain to the backbone: the Tyr backbone explores non-preferred conformations (black area, arrows indicate a non-ideal backbone </w:t>
            </w:r>
            <w:r w:rsidRPr="00BF6380">
              <w:rPr>
                <w:rFonts w:cstheme="minorHAnsi"/>
                <w:sz w:val="20"/>
                <w:szCs w:val="20"/>
              </w:rPr>
              <w:sym w:font="Symbol" w:char="F079"/>
            </w:r>
            <w:r w:rsidRPr="00BF6380">
              <w:rPr>
                <w:rFonts w:cstheme="minorHAnsi"/>
                <w:sz w:val="20"/>
                <w:szCs w:val="20"/>
              </w:rPr>
              <w:t>-angle).  The backbone conformation of Y2018F populates ideal dihedral space (red area). The φ/ψ distribution of the backbone of Y/F2018 during the simulation is shown (</w:t>
            </w:r>
            <w:r w:rsidRPr="00BF6380">
              <w:rPr>
                <w:rFonts w:cstheme="minorHAnsi"/>
                <w:b/>
                <w:sz w:val="20"/>
                <w:szCs w:val="20"/>
              </w:rPr>
              <w:t>right panels</w:t>
            </w:r>
            <w:r w:rsidRPr="00BF6380">
              <w:rPr>
                <w:rFonts w:cstheme="minorHAnsi"/>
                <w:sz w:val="20"/>
                <w:szCs w:val="20"/>
              </w:rPr>
              <w:t>). The wt Y2018 backbone is more dynamic than Y2018F.  In Y2018F the sidechain is free to access the preferred rotamer torsions and the backbone conformation is stabilized in the preferred active backbone conformation. The mutation stabilizes the entire DYGI backbone as seen in the conformational ensemble from MD (</w:t>
            </w:r>
            <w:r w:rsidRPr="00BF6380">
              <w:rPr>
                <w:rFonts w:cstheme="minorHAnsi"/>
                <w:b/>
                <w:sz w:val="20"/>
                <w:szCs w:val="20"/>
              </w:rPr>
              <w:t>upper right</w:t>
            </w:r>
            <w:r w:rsidRPr="00BF6380">
              <w:rPr>
                <w:rFonts w:cstheme="minorHAnsi"/>
                <w:sz w:val="20"/>
                <w:szCs w:val="20"/>
              </w:rPr>
              <w:t xml:space="preserve">).  </w:t>
            </w:r>
          </w:p>
        </w:tc>
      </w:tr>
    </w:tbl>
    <w:p w14:paraId="412BE140" w14:textId="77777777" w:rsidR="005030FC" w:rsidRPr="00BF6380" w:rsidRDefault="005030FC" w:rsidP="005030FC">
      <w:pPr>
        <w:jc w:val="both"/>
        <w:rPr>
          <w:rFonts w:cstheme="minorHAnsi"/>
          <w:b/>
          <w:sz w:val="20"/>
          <w:szCs w:val="20"/>
        </w:rPr>
      </w:pPr>
    </w:p>
    <w:tbl>
      <w:tblPr>
        <w:tblStyle w:val="Tabellenraster"/>
        <w:tblW w:w="0" w:type="auto"/>
        <w:tblLook w:val="04A0" w:firstRow="1" w:lastRow="0" w:firstColumn="1" w:lastColumn="0" w:noHBand="0" w:noVBand="1"/>
      </w:tblPr>
      <w:tblGrid>
        <w:gridCol w:w="9062"/>
      </w:tblGrid>
      <w:tr w:rsidR="005030FC" w:rsidRPr="00BF6380" w14:paraId="347A31F4" w14:textId="77777777" w:rsidTr="004A7433">
        <w:tc>
          <w:tcPr>
            <w:tcW w:w="0" w:type="auto"/>
          </w:tcPr>
          <w:p w14:paraId="4B6D203A" w14:textId="77777777" w:rsidR="005030FC" w:rsidRPr="00BF6380" w:rsidRDefault="005030FC" w:rsidP="004A7433">
            <w:pPr>
              <w:rPr>
                <w:rFonts w:cstheme="minorHAnsi"/>
                <w:b/>
                <w:sz w:val="20"/>
                <w:szCs w:val="20"/>
              </w:rPr>
            </w:pPr>
            <w:r w:rsidRPr="00BF6380">
              <w:rPr>
                <w:rFonts w:cstheme="minorHAnsi"/>
                <w:b/>
                <w:noProof/>
                <w:sz w:val="20"/>
                <w:szCs w:val="20"/>
                <w:lang w:eastAsia="en-US"/>
              </w:rPr>
              <w:lastRenderedPageBreak/>
              <w:drawing>
                <wp:inline distT="0" distB="0" distL="0" distR="0" wp14:anchorId="21F9C927" wp14:editId="06A6A4A7">
                  <wp:extent cx="5032248" cy="5367528"/>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Figure S4.t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5032248" cy="5367528"/>
                          </a:xfrm>
                          <a:prstGeom prst="rect">
                            <a:avLst/>
                          </a:prstGeom>
                        </pic:spPr>
                      </pic:pic>
                    </a:graphicData>
                  </a:graphic>
                </wp:inline>
              </w:drawing>
            </w:r>
          </w:p>
        </w:tc>
      </w:tr>
      <w:tr w:rsidR="005030FC" w:rsidRPr="00BF6380" w14:paraId="4A20248A" w14:textId="77777777" w:rsidTr="004A7433">
        <w:tc>
          <w:tcPr>
            <w:tcW w:w="0" w:type="auto"/>
          </w:tcPr>
          <w:p w14:paraId="4EDB3229" w14:textId="77777777" w:rsidR="005030FC" w:rsidRPr="00BF6380" w:rsidRDefault="005030FC" w:rsidP="004A7433">
            <w:pPr>
              <w:rPr>
                <w:rFonts w:cstheme="minorHAnsi"/>
                <w:sz w:val="20"/>
                <w:szCs w:val="20"/>
              </w:rPr>
            </w:pPr>
            <w:r w:rsidRPr="00BF6380">
              <w:rPr>
                <w:rFonts w:cstheme="minorHAnsi"/>
                <w:b/>
                <w:sz w:val="20"/>
                <w:szCs w:val="20"/>
              </w:rPr>
              <w:t>Figure S4.</w:t>
            </w:r>
            <w:r w:rsidRPr="00BF6380">
              <w:rPr>
                <w:rFonts w:cstheme="minorHAnsi"/>
                <w:sz w:val="20"/>
                <w:szCs w:val="20"/>
              </w:rPr>
              <w:t xml:space="preserve"> </w:t>
            </w:r>
            <w:r w:rsidRPr="00BF6380">
              <w:rPr>
                <w:rFonts w:cstheme="minorHAnsi"/>
                <w:b/>
                <w:sz w:val="20"/>
                <w:szCs w:val="20"/>
              </w:rPr>
              <w:t>DYGI backbone dihedrals from MD simulations.</w:t>
            </w:r>
            <w:r w:rsidRPr="00BF6380">
              <w:rPr>
                <w:rFonts w:cstheme="minorHAnsi"/>
                <w:sz w:val="20"/>
                <w:szCs w:val="20"/>
              </w:rPr>
              <w:t xml:space="preserve">  DYGψ dihedral space that is associated with an activated kinase are circled in cyan </w:t>
            </w:r>
            <w:r>
              <w:rPr>
                <w:rFonts w:cstheme="minorHAnsi"/>
                <w:noProof/>
                <w:sz w:val="20"/>
                <w:szCs w:val="20"/>
              </w:rPr>
              <w:t>(62)</w:t>
            </w:r>
            <w:r w:rsidRPr="00BF6380">
              <w:rPr>
                <w:rFonts w:cstheme="minorHAnsi"/>
                <w:sz w:val="20"/>
                <w:szCs w:val="20"/>
              </w:rPr>
              <w:t>. The wt kinase and D2017A mutant have a dynamic DYG loop that samples conformations associated with inactive kinases.  The DYG loop of the mutants converge to a φ/ψ space that is typical of active / closed kinases.  Asterisks indicate sites of mutation.</w:t>
            </w:r>
          </w:p>
        </w:tc>
      </w:tr>
    </w:tbl>
    <w:p w14:paraId="4E268D36" w14:textId="77777777" w:rsidR="005030FC" w:rsidRPr="00BF6380" w:rsidRDefault="005030FC" w:rsidP="005030FC">
      <w:pPr>
        <w:rPr>
          <w:rFonts w:cstheme="minorHAnsi"/>
          <w:b/>
          <w:sz w:val="20"/>
          <w:szCs w:val="20"/>
        </w:rPr>
      </w:pPr>
    </w:p>
    <w:tbl>
      <w:tblPr>
        <w:tblStyle w:val="Tabellenraster"/>
        <w:tblW w:w="0" w:type="auto"/>
        <w:tblLook w:val="04A0" w:firstRow="1" w:lastRow="0" w:firstColumn="1" w:lastColumn="0" w:noHBand="0" w:noVBand="1"/>
      </w:tblPr>
      <w:tblGrid>
        <w:gridCol w:w="9062"/>
      </w:tblGrid>
      <w:tr w:rsidR="005030FC" w:rsidRPr="00BF6380" w14:paraId="12E35BEC" w14:textId="77777777" w:rsidTr="004A7433">
        <w:tc>
          <w:tcPr>
            <w:tcW w:w="0" w:type="auto"/>
          </w:tcPr>
          <w:p w14:paraId="38042A9B" w14:textId="77777777" w:rsidR="005030FC" w:rsidRPr="00BF6380" w:rsidRDefault="005030FC" w:rsidP="004A7433">
            <w:pPr>
              <w:jc w:val="both"/>
              <w:rPr>
                <w:rFonts w:cstheme="minorHAnsi"/>
                <w:b/>
                <w:sz w:val="20"/>
                <w:szCs w:val="20"/>
              </w:rPr>
            </w:pPr>
            <w:r w:rsidRPr="00BF6380">
              <w:rPr>
                <w:rFonts w:cstheme="minorHAnsi"/>
                <w:b/>
                <w:noProof/>
                <w:sz w:val="20"/>
                <w:szCs w:val="20"/>
                <w:lang w:eastAsia="en-US"/>
              </w:rPr>
              <w:lastRenderedPageBreak/>
              <w:drawing>
                <wp:inline distT="0" distB="0" distL="0" distR="0" wp14:anchorId="42075915" wp14:editId="2EF1603C">
                  <wp:extent cx="5407152" cy="5855208"/>
                  <wp:effectExtent l="0" t="0" r="3175" b="1270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Figure S5.t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5407152" cy="5855208"/>
                          </a:xfrm>
                          <a:prstGeom prst="rect">
                            <a:avLst/>
                          </a:prstGeom>
                        </pic:spPr>
                      </pic:pic>
                    </a:graphicData>
                  </a:graphic>
                </wp:inline>
              </w:drawing>
            </w:r>
          </w:p>
        </w:tc>
      </w:tr>
      <w:tr w:rsidR="005030FC" w:rsidRPr="00BF6380" w14:paraId="3075184B" w14:textId="77777777" w:rsidTr="004A7433">
        <w:trPr>
          <w:trHeight w:val="170"/>
        </w:trPr>
        <w:tc>
          <w:tcPr>
            <w:tcW w:w="0" w:type="auto"/>
          </w:tcPr>
          <w:p w14:paraId="374A1785" w14:textId="77777777" w:rsidR="005030FC" w:rsidRPr="00BF6380" w:rsidRDefault="005030FC" w:rsidP="004A7433">
            <w:pPr>
              <w:jc w:val="both"/>
              <w:rPr>
                <w:rFonts w:cstheme="minorHAnsi"/>
                <w:sz w:val="20"/>
                <w:szCs w:val="20"/>
              </w:rPr>
            </w:pPr>
            <w:r w:rsidRPr="00BF6380">
              <w:rPr>
                <w:rFonts w:cstheme="minorHAnsi"/>
                <w:b/>
                <w:sz w:val="20"/>
                <w:szCs w:val="20"/>
              </w:rPr>
              <w:t>Figure S5.</w:t>
            </w:r>
            <w:r w:rsidRPr="00BF6380">
              <w:rPr>
                <w:rFonts w:cstheme="minorHAnsi"/>
                <w:sz w:val="20"/>
                <w:szCs w:val="20"/>
              </w:rPr>
              <w:t xml:space="preserve"> </w:t>
            </w:r>
            <w:r w:rsidRPr="00BF6380">
              <w:rPr>
                <w:rFonts w:cstheme="minorHAnsi"/>
                <w:b/>
                <w:sz w:val="20"/>
                <w:szCs w:val="20"/>
              </w:rPr>
              <w:t>Activation loop stability from MD simulations</w:t>
            </w:r>
            <w:r w:rsidRPr="00BF6380">
              <w:rPr>
                <w:rFonts w:cstheme="minorHAnsi"/>
                <w:sz w:val="20"/>
                <w:szCs w:val="20"/>
              </w:rPr>
              <w:t xml:space="preserve">. </w:t>
            </w:r>
            <w:r w:rsidRPr="00BF6380">
              <w:rPr>
                <w:rFonts w:cstheme="minorHAnsi"/>
                <w:b/>
                <w:sz w:val="20"/>
                <w:szCs w:val="20"/>
              </w:rPr>
              <w:t>(A/B)</w:t>
            </w:r>
            <w:r w:rsidRPr="00BF6380">
              <w:rPr>
                <w:rFonts w:cstheme="minorHAnsi"/>
                <w:sz w:val="20"/>
                <w:szCs w:val="20"/>
              </w:rPr>
              <w:t xml:space="preserve"> The stability of the activation loop is represented as the distance between the YRD loop (R1993) and activation loop (pS2032).  The salt-bridge between YRD and activation loop couples the catalytic loop with the N- and C-lobes.  The activation loop of wt is the least stable, while activating DYGψ mutants increase stability.  </w:t>
            </w:r>
            <w:r w:rsidRPr="00BF6380">
              <w:rPr>
                <w:rFonts w:cstheme="minorHAnsi"/>
                <w:b/>
                <w:sz w:val="20"/>
                <w:szCs w:val="20"/>
              </w:rPr>
              <w:t>(C)</w:t>
            </w:r>
            <w:r w:rsidRPr="00BF6380">
              <w:rPr>
                <w:rFonts w:cstheme="minorHAnsi"/>
                <w:sz w:val="20"/>
                <w:szCs w:val="20"/>
              </w:rPr>
              <w:t xml:space="preserve"> The wt activation loop conformational ensemble is more widely distributed and more solvent accessible than </w:t>
            </w:r>
            <w:r w:rsidRPr="00BF6380">
              <w:rPr>
                <w:rFonts w:cstheme="minorHAnsi"/>
                <w:b/>
                <w:sz w:val="20"/>
                <w:szCs w:val="20"/>
              </w:rPr>
              <w:t>(D)</w:t>
            </w:r>
            <w:r w:rsidRPr="00BF6380">
              <w:rPr>
                <w:rFonts w:cstheme="minorHAnsi"/>
                <w:sz w:val="20"/>
                <w:szCs w:val="20"/>
              </w:rPr>
              <w:t xml:space="preserve"> the I2020T activation loop.  The DYGI motif is shown in blue, YRD motif in green, and activation loop in orange.</w:t>
            </w:r>
          </w:p>
        </w:tc>
      </w:tr>
    </w:tbl>
    <w:p w14:paraId="1731B9F5" w14:textId="77777777" w:rsidR="005030FC" w:rsidRPr="00BF6380" w:rsidRDefault="005030FC" w:rsidP="005030FC">
      <w:pPr>
        <w:jc w:val="both"/>
        <w:rPr>
          <w:rFonts w:cstheme="minorHAnsi"/>
          <w:b/>
          <w:sz w:val="20"/>
          <w:szCs w:val="20"/>
        </w:rPr>
      </w:pPr>
    </w:p>
    <w:p w14:paraId="69B7B522" w14:textId="77777777" w:rsidR="005030FC" w:rsidRPr="00BF6380" w:rsidRDefault="005030FC" w:rsidP="005030FC">
      <w:pPr>
        <w:rPr>
          <w:b/>
          <w:bCs/>
          <w:sz w:val="20"/>
          <w:szCs w:val="20"/>
          <w:lang w:val="en-GB"/>
        </w:rPr>
      </w:pPr>
      <w:r w:rsidRPr="00BF6380">
        <w:rPr>
          <w:b/>
          <w:bCs/>
          <w:sz w:val="20"/>
          <w:szCs w:val="20"/>
          <w:lang w:val="en-GB"/>
        </w:rPr>
        <w:t>Supplementary videos:</w:t>
      </w:r>
    </w:p>
    <w:p w14:paraId="47ACBDFB" w14:textId="77777777" w:rsidR="005030FC" w:rsidRPr="00BF6380" w:rsidRDefault="005030FC" w:rsidP="005030FC">
      <w:pPr>
        <w:jc w:val="both"/>
        <w:rPr>
          <w:lang w:eastAsia="en-US"/>
        </w:rPr>
      </w:pPr>
      <w:r w:rsidRPr="00BF6380">
        <w:rPr>
          <w:lang w:eastAsia="en-US"/>
        </w:rPr>
        <w:t>Movie 1. Time-lapse imaging of HEK293T cells transiently expressing YFP-LRRK2-G2019S. The time interval is 5 minutes. MLi-2 was added right after the second frame. Images (640x640 pixels) of YFP fluorescence (515 nm excitation/530-630 nm emission) represent 3D volume reconstructions from confocal image stacks over time.</w:t>
      </w:r>
    </w:p>
    <w:p w14:paraId="49011DD9" w14:textId="77777777" w:rsidR="005030FC" w:rsidRPr="00BF6380" w:rsidRDefault="005030FC" w:rsidP="005030FC">
      <w:pPr>
        <w:jc w:val="both"/>
        <w:rPr>
          <w:lang w:eastAsia="en-US"/>
        </w:rPr>
      </w:pPr>
      <w:r w:rsidRPr="00BF6380">
        <w:rPr>
          <w:lang w:eastAsia="en-US"/>
        </w:rPr>
        <w:t>Movie 2. Time-lapse imaging of HEK293T cells transiently expressing YFP-LRRK2-G2019S following wash-out of MLi-2. The time interval is 11 minutes. Images (640x640 pixels) of YFP fluorescence (515 nm excitation/530-630 nm emission) represent 3D volume reconstructions from confocal image stacks over time.</w:t>
      </w:r>
    </w:p>
    <w:p w14:paraId="4AE2FB9A" w14:textId="77777777" w:rsidR="005030FC" w:rsidRPr="00BF6380" w:rsidRDefault="005030FC" w:rsidP="005030FC">
      <w:pPr>
        <w:jc w:val="both"/>
        <w:rPr>
          <w:lang w:eastAsia="en-US"/>
        </w:rPr>
      </w:pPr>
      <w:r w:rsidRPr="00BF6380">
        <w:rPr>
          <w:lang w:eastAsia="en-US"/>
        </w:rPr>
        <w:lastRenderedPageBreak/>
        <w:t>Movie 3. Time-lapse imaging of HEK293T cells transiently expressing YFP-LRRK2-WT. The time interval is 5 minutes. MLi-2 was added right after the second frame. Images (640x640 pixels) of YFP fluorescence (515 nm excitation/530-630 nm emission) represent 3D volume reconstructions from confocal image stacks over time.</w:t>
      </w:r>
    </w:p>
    <w:p w14:paraId="00DB20C2" w14:textId="77777777" w:rsidR="005030FC" w:rsidRDefault="005030FC" w:rsidP="005030FC">
      <w:pPr>
        <w:jc w:val="both"/>
        <w:rPr>
          <w:lang w:eastAsia="en-US"/>
        </w:rPr>
      </w:pPr>
      <w:r w:rsidRPr="00BF6380">
        <w:rPr>
          <w:lang w:eastAsia="en-US"/>
        </w:rPr>
        <w:t>Movie 4. Time-lapse imaging of HEK293T cells transiently expressing YFP-LRRK2-WT following wash-out of MLi-2. The time interval is 11 minutes. Images (640x640 pixels) of YFP fluorescence (515 nm excitation/530-630 nm emission) represent 3D volume reconstructions from confocal image stacks over time.</w:t>
      </w:r>
    </w:p>
    <w:p w14:paraId="718475D6" w14:textId="77777777" w:rsidR="005030FC" w:rsidRPr="00E168D6" w:rsidRDefault="005030FC" w:rsidP="005030FC">
      <w:pPr>
        <w:rPr>
          <w:lang w:eastAsia="en-US"/>
        </w:rPr>
      </w:pPr>
    </w:p>
    <w:p w14:paraId="01A977E7" w14:textId="77777777" w:rsidR="005030FC" w:rsidRDefault="005030FC" w:rsidP="005030FC"/>
    <w:p w14:paraId="0C3D233A" w14:textId="77777777" w:rsidR="00794F18" w:rsidRDefault="00794F18"/>
    <w:sectPr w:rsidR="00794F18" w:rsidSect="00016081">
      <w:headerReference w:type="default" r:id="rId10"/>
      <w:footerReference w:type="default" r:id="rId11"/>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07372340"/>
      <w:docPartObj>
        <w:docPartGallery w:val="Page Numbers (Bottom of Page)"/>
        <w:docPartUnique/>
      </w:docPartObj>
    </w:sdtPr>
    <w:sdtEndPr/>
    <w:sdtContent>
      <w:p w14:paraId="36ABDEEA" w14:textId="77777777" w:rsidR="00BE170C" w:rsidRDefault="005030FC">
        <w:pPr>
          <w:pStyle w:val="Fuzeile"/>
          <w:jc w:val="right"/>
        </w:pPr>
        <w:r>
          <w:fldChar w:fldCharType="begin"/>
        </w:r>
        <w:r>
          <w:instrText>PAGE   \* MERGEFORMAT</w:instrText>
        </w:r>
        <w:r>
          <w:fldChar w:fldCharType="separate"/>
        </w:r>
        <w:r w:rsidRPr="001D0BA7">
          <w:rPr>
            <w:noProof/>
            <w:lang w:val="de-DE"/>
          </w:rPr>
          <w:t>4</w:t>
        </w:r>
        <w:r>
          <w:fldChar w:fldCharType="end"/>
        </w:r>
      </w:p>
    </w:sdtContent>
  </w:sdt>
  <w:p w14:paraId="7A9397F6" w14:textId="77777777" w:rsidR="00BE170C" w:rsidRDefault="005030FC">
    <w:pPr>
      <w:pStyle w:val="Fuzeile"/>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120"/>
      <w:gridCol w:w="3120"/>
      <w:gridCol w:w="3120"/>
    </w:tblGrid>
    <w:tr w:rsidR="00BE170C" w14:paraId="28006158" w14:textId="77777777" w:rsidTr="00981267">
      <w:tc>
        <w:tcPr>
          <w:tcW w:w="3120" w:type="dxa"/>
        </w:tcPr>
        <w:p w14:paraId="7D059CF5" w14:textId="77777777" w:rsidR="00BE170C" w:rsidRDefault="005030FC" w:rsidP="00981267">
          <w:pPr>
            <w:pStyle w:val="Kopfzeile"/>
            <w:ind w:left="-115"/>
          </w:pPr>
        </w:p>
      </w:tc>
      <w:tc>
        <w:tcPr>
          <w:tcW w:w="3120" w:type="dxa"/>
        </w:tcPr>
        <w:p w14:paraId="5B6367ED" w14:textId="77777777" w:rsidR="00BE170C" w:rsidRDefault="005030FC" w:rsidP="00981267">
          <w:pPr>
            <w:pStyle w:val="Kopfzeile"/>
            <w:jc w:val="center"/>
          </w:pPr>
        </w:p>
      </w:tc>
      <w:tc>
        <w:tcPr>
          <w:tcW w:w="3120" w:type="dxa"/>
        </w:tcPr>
        <w:p w14:paraId="0F96D1EE" w14:textId="77777777" w:rsidR="00BE170C" w:rsidRDefault="005030FC" w:rsidP="00981267">
          <w:pPr>
            <w:pStyle w:val="Kopfzeile"/>
            <w:ind w:right="-115"/>
            <w:jc w:val="right"/>
          </w:pPr>
        </w:p>
      </w:tc>
    </w:tr>
  </w:tbl>
  <w:p w14:paraId="31A32431" w14:textId="77777777" w:rsidR="00BE170C" w:rsidRDefault="005030FC">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30FC"/>
    <w:rsid w:val="005030FC"/>
    <w:rsid w:val="00794F1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06B67C"/>
  <w15:chartTrackingRefBased/>
  <w15:docId w15:val="{642A3AE4-8037-4C89-B25C-575298469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030FC"/>
    <w:rPr>
      <w:rFonts w:eastAsiaTheme="minorEastAsia"/>
      <w:lang w:val="en-US" w:eastAsia="zh-TW"/>
    </w:rPr>
  </w:style>
  <w:style w:type="paragraph" w:styleId="berschrift1">
    <w:name w:val="heading 1"/>
    <w:basedOn w:val="Standard"/>
    <w:next w:val="Standard"/>
    <w:link w:val="berschrift1Zchn"/>
    <w:uiPriority w:val="9"/>
    <w:qFormat/>
    <w:rsid w:val="005030FC"/>
    <w:pPr>
      <w:keepNext/>
      <w:keepLines/>
      <w:spacing w:before="240" w:after="0" w:line="480" w:lineRule="auto"/>
      <w:outlineLvl w:val="0"/>
    </w:pPr>
    <w:rPr>
      <w:rFonts w:eastAsiaTheme="majorEastAsia" w:cstheme="majorBidi"/>
      <w:b/>
      <w:color w:val="000000" w:themeColor="text1"/>
      <w:sz w:val="36"/>
      <w:szCs w:val="32"/>
      <w:lang w:val="de-DE"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030FC"/>
    <w:rPr>
      <w:rFonts w:eastAsiaTheme="majorEastAsia" w:cstheme="majorBidi"/>
      <w:b/>
      <w:color w:val="000000" w:themeColor="text1"/>
      <w:sz w:val="36"/>
      <w:szCs w:val="32"/>
    </w:rPr>
  </w:style>
  <w:style w:type="paragraph" w:styleId="Kopfzeile">
    <w:name w:val="header"/>
    <w:basedOn w:val="Standard"/>
    <w:link w:val="KopfzeileZchn"/>
    <w:uiPriority w:val="99"/>
    <w:unhideWhenUsed/>
    <w:rsid w:val="005030FC"/>
    <w:pPr>
      <w:tabs>
        <w:tab w:val="center" w:pos="4320"/>
        <w:tab w:val="right" w:pos="8640"/>
      </w:tabs>
      <w:spacing w:after="0" w:line="240" w:lineRule="auto"/>
    </w:pPr>
  </w:style>
  <w:style w:type="character" w:customStyle="1" w:styleId="KopfzeileZchn">
    <w:name w:val="Kopfzeile Zchn"/>
    <w:basedOn w:val="Absatz-Standardschriftart"/>
    <w:link w:val="Kopfzeile"/>
    <w:uiPriority w:val="99"/>
    <w:rsid w:val="005030FC"/>
    <w:rPr>
      <w:rFonts w:eastAsiaTheme="minorEastAsia"/>
      <w:lang w:val="en-US" w:eastAsia="zh-TW"/>
    </w:rPr>
  </w:style>
  <w:style w:type="paragraph" w:styleId="Fuzeile">
    <w:name w:val="footer"/>
    <w:basedOn w:val="Standard"/>
    <w:link w:val="FuzeileZchn"/>
    <w:uiPriority w:val="99"/>
    <w:unhideWhenUsed/>
    <w:rsid w:val="005030FC"/>
    <w:pPr>
      <w:tabs>
        <w:tab w:val="center" w:pos="4320"/>
        <w:tab w:val="right" w:pos="8640"/>
      </w:tabs>
      <w:spacing w:after="0" w:line="240" w:lineRule="auto"/>
    </w:pPr>
  </w:style>
  <w:style w:type="character" w:customStyle="1" w:styleId="FuzeileZchn">
    <w:name w:val="Fußzeile Zchn"/>
    <w:basedOn w:val="Absatz-Standardschriftart"/>
    <w:link w:val="Fuzeile"/>
    <w:uiPriority w:val="99"/>
    <w:rsid w:val="005030FC"/>
    <w:rPr>
      <w:rFonts w:eastAsiaTheme="minorEastAsia"/>
      <w:lang w:val="en-US" w:eastAsia="zh-TW"/>
    </w:rPr>
  </w:style>
  <w:style w:type="table" w:styleId="Tabellenraster">
    <w:name w:val="Table Grid"/>
    <w:basedOn w:val="NormaleTabelle"/>
    <w:uiPriority w:val="59"/>
    <w:rsid w:val="005030FC"/>
    <w:pPr>
      <w:spacing w:after="0" w:line="240" w:lineRule="auto"/>
    </w:pPr>
    <w:rPr>
      <w:rFonts w:eastAsiaTheme="minorEastAsia"/>
      <w:lang w:val="en-US" w:eastAsia="zh-TW"/>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KeinLeerraum">
    <w:name w:val="No Spacing"/>
    <w:uiPriority w:val="1"/>
    <w:qFormat/>
    <w:rsid w:val="005030FC"/>
    <w:pPr>
      <w:spacing w:after="0" w:line="240" w:lineRule="auto"/>
    </w:pPr>
    <w:rPr>
      <w:rFonts w:eastAsiaTheme="minorEastAsia"/>
      <w:lang w:val="en-US"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tiff"/><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3.tiff"/><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footer" Target="footer1.xml"/><Relationship Id="rId5" Type="http://schemas.openxmlformats.org/officeDocument/2006/relationships/image" Target="media/image1.tiff"/><Relationship Id="rId10" Type="http://schemas.openxmlformats.org/officeDocument/2006/relationships/header" Target="header1.xml"/><Relationship Id="rId4" Type="http://schemas.openxmlformats.org/officeDocument/2006/relationships/hyperlink" Target="https://pubmed.ncbi.nlm.nih.gov/?term=Komives+EA&amp;cauthor_id=31810657" TargetMode="External"/><Relationship Id="rId9" Type="http://schemas.openxmlformats.org/officeDocument/2006/relationships/image" Target="media/image5.tif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858</Words>
  <Characters>5412</Characters>
  <Application>Microsoft Office Word</Application>
  <DocSecurity>0</DocSecurity>
  <Lines>45</Lines>
  <Paragraphs>12</Paragraphs>
  <ScaleCrop>false</ScaleCrop>
  <Company/>
  <LinksUpToDate>false</LinksUpToDate>
  <CharactersWithSpaces>6258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Sven Schmidt</dc:creator>
  <cp:keywords/>
  <dc:description/>
  <cp:lastModifiedBy>Sven Schmidt</cp:lastModifiedBy>
  <cp:revision>1</cp:revision>
  <dcterms:created xsi:type="dcterms:W3CDTF">2020-08-12T08:44:00Z</dcterms:created>
  <dcterms:modified xsi:type="dcterms:W3CDTF">2020-08-12T08:47:00Z</dcterms:modified>
</cp:coreProperties>
</file>