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2DD" w:rsidRPr="00390227" w:rsidRDefault="00BE42DD" w:rsidP="00BE42DD">
      <w:pPr>
        <w:pStyle w:val="1"/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390227">
        <w:rPr>
          <w:rFonts w:ascii="Times New Roman" w:hAnsi="Times New Roman" w:cs="Times New Roman"/>
          <w:b/>
          <w:bCs/>
          <w:color w:val="auto"/>
          <w:sz w:val="24"/>
          <w:szCs w:val="24"/>
        </w:rPr>
        <w:t>Supplementary Table 2</w:t>
      </w:r>
      <w:r w:rsidRPr="00390227">
        <w:rPr>
          <w:rFonts w:ascii="Times New Roman" w:hAnsi="Times New Roman" w:cs="Times New Roman"/>
          <w:color w:val="auto"/>
          <w:sz w:val="24"/>
          <w:szCs w:val="24"/>
        </w:rPr>
        <w:t xml:space="preserve"> Admission numbers and inpatient mortality rates of each pediatric </w:t>
      </w:r>
      <w:bookmarkEnd w:id="0"/>
      <w:r w:rsidRPr="00390227">
        <w:rPr>
          <w:rFonts w:ascii="Times New Roman" w:hAnsi="Times New Roman" w:cs="Times New Roman"/>
          <w:color w:val="auto"/>
          <w:sz w:val="24"/>
          <w:szCs w:val="24"/>
        </w:rPr>
        <w:t>gastrointestinal disease according to the primary diagnosis in the fiscal year 2022–2023</w:t>
      </w:r>
    </w:p>
    <w:tbl>
      <w:tblPr>
        <w:tblStyle w:val="af1"/>
        <w:tblW w:w="9660" w:type="dxa"/>
        <w:tblLook w:val="04A0" w:firstRow="1" w:lastRow="0" w:firstColumn="1" w:lastColumn="0" w:noHBand="0" w:noVBand="1"/>
      </w:tblPr>
      <w:tblGrid>
        <w:gridCol w:w="1923"/>
        <w:gridCol w:w="717"/>
        <w:gridCol w:w="876"/>
        <w:gridCol w:w="876"/>
        <w:gridCol w:w="876"/>
        <w:gridCol w:w="876"/>
        <w:gridCol w:w="735"/>
        <w:gridCol w:w="756"/>
        <w:gridCol w:w="851"/>
        <w:gridCol w:w="850"/>
        <w:gridCol w:w="851"/>
      </w:tblGrid>
      <w:tr w:rsidR="00BE42DD" w:rsidRPr="00390227" w:rsidTr="00B84828">
        <w:trPr>
          <w:trHeight w:val="336"/>
          <w:tblHeader/>
        </w:trPr>
        <w:tc>
          <w:tcPr>
            <w:tcW w:w="1688" w:type="dxa"/>
            <w:vMerge w:val="restart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Primary diagnosis according to ICD-10</w:t>
            </w:r>
          </w:p>
        </w:tc>
        <w:tc>
          <w:tcPr>
            <w:tcW w:w="3977" w:type="dxa"/>
            <w:gridSpan w:val="5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Number of admissions </w:t>
            </w:r>
          </w:p>
        </w:tc>
        <w:tc>
          <w:tcPr>
            <w:tcW w:w="3995" w:type="dxa"/>
            <w:gridSpan w:val="5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Inpatient mortality rate (deaths per 1,000 admissions)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vMerge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&lt;1 y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1-5 y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6-12 y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13-17 y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Total 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&lt;1 y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1-5 y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6-12 y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13-17 y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Total 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C16,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Malignant neoplasm of stomach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C17,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Malignant neoplasm of small intestine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 xml:space="preserve">C18, 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Malignant neoplasm of colon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41.7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35.7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C19,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Malignant neoplasm of rectosigmoid junction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C20,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Malignant neoplasm of rectum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C22,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Malignant neoplasm of liver and intrahepatic bile ducts 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238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15.8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66.7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21.0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C23,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Malignant neoplasm of gallbladder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C25,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Malignant neoplasm of the pancreas 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K00,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Disorders of tooth development and eruption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183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K01,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Embedded and impacted teeth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43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174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lastRenderedPageBreak/>
              <w:t>K02,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Dental caries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390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253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78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721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K03,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hard tissues of teeth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K04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, Diseases of pulp and periapical tissues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281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552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K05,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Gingivitis and periodontal diseases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177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85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36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298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K06,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disorders of gingiva and edentulous alveolar ridge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K07,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Dentofacial anomalies [including malocclusion]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 xml:space="preserve">K08, 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Other disorders of teeth and supporting structures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126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78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213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K09,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Cysts of oral region, not elsewhere classified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64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52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146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K10,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jaws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K11,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Diseases of salivary glands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313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344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126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785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K12,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Stomatitis and related lesions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578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510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199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1287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5.0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0.8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K13,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lip and oral mucosa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118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200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lastRenderedPageBreak/>
              <w:t>K14,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Diseases of the tongue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46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K20,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Esophagitis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44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K21,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Gastroesophageal reflux disease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56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247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K22,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the esophagus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79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104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255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K25,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Gastric ulcer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34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60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111.1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33.3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K26,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Duodenal ulcer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K27,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Peptic ulcer, site unspecified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36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72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K28,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Gastrojejunal</w:t>
            </w:r>
            <w:proofErr w:type="spellEnd"/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ulcer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K29,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Gastritis and duodenitis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12,215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8,823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1,448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22,508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K30,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Functional dyspepsia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303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875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800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1,978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K31,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stomach and duodenum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62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K35,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Acute appendicitis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1,365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9,459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9,693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20,518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0.4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0.5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0.4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K36,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appendicitis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K37,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Unspecified appendicitis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44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59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115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K38,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appendix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 xml:space="preserve">K40, 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Inguinal hernia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1,103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545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168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1,831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lastRenderedPageBreak/>
              <w:t>K41,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Femoral hernia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K42,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Umbilical hernia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K43,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Ventral hernia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K44,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Diaphragmatic hernia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 xml:space="preserve">K45, 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Other abdominal hernia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K46,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Unspecified abdominal hernia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K50,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Crohn's disease (regional enteritis)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46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55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184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K51,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Ulcerative colitis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49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K52,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and unspecified noninfective gastroenteritis and colitis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735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482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1,443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K55,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Vascular disorders of the intestine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111.1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24.4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K56,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Paralytic ileus and intestinal obstruction without hernia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838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641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459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1,948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2.4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4.4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3.6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K57,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Diverticular disease of the intestine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K58,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Irritable bowel syndrome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37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K59,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functional 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intestinal disorders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lastRenderedPageBreak/>
              <w:t>12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1,032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986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2,231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K60,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Fissure and fistula of anal and rectal regions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32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104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171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K61,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Abscess of anal and rectal regions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340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K62,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the anus and rectum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49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190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K63,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the intestine 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33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107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30.3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9.3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K64,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Hemorrhoids and perianal venous thrombosis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52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K65,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Peritonitis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119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259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25.0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16.8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19.3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K66,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disorders of peritoneum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34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K70,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Alcoholic liver disease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K71,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Toxic liver disease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77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K72,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Hepatic failure, not elsewhere classified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47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90.9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71.4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136.4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106.4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K73,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Chronic hepatitis, not elsewhere classified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K74,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Fibrosis and cirrhosis of the liver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33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42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96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23.8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10.4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lastRenderedPageBreak/>
              <w:t>K75,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inflammatory liver diseases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79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99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213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10.1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4.7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K76,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the liver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43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90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52.6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11.1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 xml:space="preserve">K80, 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Cholelithiasis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96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297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408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K81,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Cholecystitis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96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K82,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the gallbladder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K83,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the biliary tract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66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162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K85,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Acute pancreatitis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72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157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250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41.7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6.4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16.0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K86,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the pancreas.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38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83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K90,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Intestinal malabsorption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33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K91,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Intraoperative and postprocedural complications and disorders of the digestive system, not elsewhere classified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117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130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272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8.5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3.7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K92,</w:t>
            </w: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Other diseases of the digestive system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262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347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559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1,175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3.8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1.8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1.7</w:t>
            </w:r>
          </w:p>
        </w:tc>
      </w:tr>
      <w:tr w:rsidR="00BE42DD" w:rsidRPr="00390227" w:rsidTr="00B84828">
        <w:trPr>
          <w:trHeight w:val="336"/>
        </w:trPr>
        <w:tc>
          <w:tcPr>
            <w:tcW w:w="1688" w:type="dxa"/>
            <w:noWrap/>
            <w:hideMark/>
          </w:tcPr>
          <w:p w:rsidR="00BE42DD" w:rsidRPr="00390227" w:rsidRDefault="00BE42DD" w:rsidP="00B8482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 xml:space="preserve">Total </w:t>
            </w:r>
          </w:p>
        </w:tc>
        <w:tc>
          <w:tcPr>
            <w:tcW w:w="71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307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20,792</w:t>
            </w:r>
          </w:p>
        </w:tc>
        <w:tc>
          <w:tcPr>
            <w:tcW w:w="767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25,478</w:t>
            </w:r>
          </w:p>
        </w:tc>
        <w:tc>
          <w:tcPr>
            <w:tcW w:w="876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16,511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63,088</w:t>
            </w:r>
          </w:p>
        </w:tc>
        <w:tc>
          <w:tcPr>
            <w:tcW w:w="735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0.5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0.8</w:t>
            </w:r>
          </w:p>
        </w:tc>
        <w:tc>
          <w:tcPr>
            <w:tcW w:w="850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1.0</w:t>
            </w:r>
          </w:p>
        </w:tc>
        <w:tc>
          <w:tcPr>
            <w:tcW w:w="851" w:type="dxa"/>
            <w:noWrap/>
            <w:hideMark/>
          </w:tcPr>
          <w:p w:rsidR="00BE42DD" w:rsidRPr="00390227" w:rsidRDefault="00BE42DD" w:rsidP="00B8482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9022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0.8</w:t>
            </w:r>
          </w:p>
        </w:tc>
      </w:tr>
    </w:tbl>
    <w:p w:rsidR="00BE42DD" w:rsidRPr="00390227" w:rsidRDefault="00BE42DD" w:rsidP="00BE42DD">
      <w:pPr>
        <w:spacing w:line="480" w:lineRule="auto"/>
        <w:rPr>
          <w:rFonts w:ascii="Times New Roman" w:hAnsi="Times New Roman" w:cs="Times New Roman"/>
          <w:szCs w:val="24"/>
        </w:rPr>
      </w:pPr>
    </w:p>
    <w:p w:rsidR="00BE42DD" w:rsidRPr="00390227" w:rsidRDefault="00BE42DD" w:rsidP="00BE42DD">
      <w:pPr>
        <w:pStyle w:val="1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022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Supplementary Table 3</w:t>
      </w:r>
      <w:r w:rsidRPr="00390227">
        <w:rPr>
          <w:rFonts w:ascii="Times New Roman" w:hAnsi="Times New Roman" w:cs="Times New Roman"/>
          <w:color w:val="auto"/>
          <w:sz w:val="24"/>
          <w:szCs w:val="24"/>
        </w:rPr>
        <w:t xml:space="preserve"> Admission numbers in children with gastrointestinal diseases from 2015 to 2012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1019"/>
        <w:gridCol w:w="926"/>
        <w:gridCol w:w="925"/>
        <w:gridCol w:w="925"/>
        <w:gridCol w:w="942"/>
        <w:gridCol w:w="1020"/>
        <w:gridCol w:w="944"/>
        <w:gridCol w:w="790"/>
      </w:tblGrid>
      <w:tr w:rsidR="00BE42DD" w:rsidRPr="00390227" w:rsidTr="00B84828">
        <w:trPr>
          <w:trHeight w:val="45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2018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2020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2022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Total, n (%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  <w:cs/>
                <w:lang w:bidi="th-TH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  <w:lang w:bidi="th-TH"/>
              </w:rPr>
              <w:t>of all inpatient diagnoses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252,353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(13.6)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291,797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(15.7)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243,463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(13.1)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296,040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(16.0)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282,398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(15.2)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199,769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(10.8)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134,220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(7.2)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152,672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(8.2)</w:t>
            </w:r>
          </w:p>
        </w:tc>
      </w:tr>
      <w:tr w:rsidR="00BE42DD" w:rsidRPr="00390227" w:rsidTr="00B84828">
        <w:trPr>
          <w:trHeight w:val="250"/>
        </w:trPr>
        <w:tc>
          <w:tcPr>
            <w:tcW w:w="0" w:type="auto"/>
            <w:gridSpan w:val="9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According to the diagnosis groups</w:t>
            </w:r>
            <w:r w:rsidRPr="0039022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, n (%)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A00-</w:t>
            </w: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A09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159,112</w:t>
            </w:r>
            <w:r w:rsidRPr="0039022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(63.1)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187,901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(64.4)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152,896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(62.8)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196,328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(66.3)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183,090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(64.8)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126,975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(63.6)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78,670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(58.6)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91,761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(60.1)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C15-</w:t>
            </w: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C26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498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488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(0.3)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(0.5)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411</w:t>
            </w:r>
            <w:r w:rsidRPr="0039022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(0.3)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K00-</w:t>
            </w: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K14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5,264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(2.1)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5,471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(1.9)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5,621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(2.3)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5,858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(2.0)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5,935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(2.1)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4,818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(2.4)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(2.6)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3,692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(2.4)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K20-K31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35,710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(14.2)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45,587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(15.6)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34,322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(14.1)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40,755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(13.8)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40,113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(14.2)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22,241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(11.1)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14,724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(11.0)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18,981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(12.4)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K35-K38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26,578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(10.5)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26,240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(9.0)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25,366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(10.4)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25,449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(8.6)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24,423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(8.7)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22,114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(11.1)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18,927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(14.1)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19,895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(13.0)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K40-K46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3,996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(1.6)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3,756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(1.3)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3,413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(1.4)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3,480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(1.2)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3,230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(1.1)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2,597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(1.3)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1,773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(1.3)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1,849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(1.2)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K50-K52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2,752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(1.1)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2,834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(1.0)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2,446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(1.0)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3,105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(1.1)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2,971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(1.1)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2,016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(1.0)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1,250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(0.9)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1,219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(0.8)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K55-K64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5,425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(2.2)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5,944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(2.0)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6,205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(2.6)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6,639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(2.2)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6,460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(2.3)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5,602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(2.8)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4,659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(3.5)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4,473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(2.9)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K65-K67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(0.1)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391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(0.1)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347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(0.1)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245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(0.2)</w:t>
            </w:r>
          </w:p>
        </w:tc>
      </w:tr>
      <w:tr w:rsidR="00BE42DD" w:rsidRPr="00390227" w:rsidTr="00B84828">
        <w:trPr>
          <w:trHeight w:val="172"/>
        </w:trPr>
        <w:tc>
          <w:tcPr>
            <w:tcW w:w="0" w:type="auto"/>
            <w:gridSpan w:val="9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According to age groups, n (%)</w:t>
            </w:r>
          </w:p>
        </w:tc>
      </w:tr>
      <w:tr w:rsidR="00BE42DD" w:rsidRPr="00390227" w:rsidTr="00B84828">
        <w:trPr>
          <w:trHeight w:val="170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&lt;1 year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40,840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(16.2)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44,120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(15.1)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38,074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(15.6)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42,666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(14.4)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41,723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(14.8)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30,957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(15.5)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21,059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(15.7)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8,558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(5.6)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3902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 years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114,085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(45.2)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135,186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(46.3)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107,286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(44.1)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137,061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(46.3)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128,737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(45.6)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81,782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(40.9)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48,925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(36.5)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68,880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(45.1)</w:t>
            </w:r>
          </w:p>
        </w:tc>
      </w:tr>
      <w:tr w:rsidR="00BE42DD" w:rsidRPr="00390227" w:rsidTr="00B84828">
        <w:trPr>
          <w:trHeight w:val="172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 years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59,684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(23.7)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73,455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(25.2)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62,147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(25.5)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76,762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(25.9)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73,032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(25.9)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53,970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(27.0)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37,566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(28.0)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48,058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(31.5)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 years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37,744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(15.0)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39,036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(13.4)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35,956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(14.8)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39,551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(13.4)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38,906</w:t>
            </w: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(13.8)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33,060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(16.6)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26,670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(19.9)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27,176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(17.8)</w:t>
            </w:r>
          </w:p>
        </w:tc>
      </w:tr>
      <w:tr w:rsidR="00BE42DD" w:rsidRPr="00390227" w:rsidTr="00B84828">
        <w:trPr>
          <w:trHeight w:val="173"/>
        </w:trPr>
        <w:tc>
          <w:tcPr>
            <w:tcW w:w="0" w:type="auto"/>
            <w:gridSpan w:val="9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According to sex</w:t>
            </w:r>
            <w:r w:rsidRPr="0039022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, n (%)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Male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136,509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(54.1)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157,174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(53.9)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132,037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(54.2)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160,302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(54.2)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152,516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(54.0)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106,894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(53.5)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71,388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(53.2)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80,443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(52.7)</w:t>
            </w:r>
          </w:p>
        </w:tc>
      </w:tr>
      <w:tr w:rsidR="00BE42DD" w:rsidRPr="00390227" w:rsidTr="00B84828">
        <w:trPr>
          <w:trHeight w:val="173"/>
        </w:trPr>
        <w:tc>
          <w:tcPr>
            <w:tcW w:w="0" w:type="auto"/>
            <w:gridSpan w:val="9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According to geographic regions</w:t>
            </w:r>
            <w:r w:rsidRPr="0039022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, n (%)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Bangkok metropolitan area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12,823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(5.1)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12,673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(4.3)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12,185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(5.0)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13,745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(4.6)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10,588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(3.8)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7,428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(3.7)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5,297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(4.0)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6,145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(4.0)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Central region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51,253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(20.3)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58,609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(20.1)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47,692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(19.6)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59,782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(20.2)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55,684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(19.7)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36,020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(18.0)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23,107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(17.2)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26,578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(17.4)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Eastern region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17,204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(6.8)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18,498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(6.3)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16,194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(6.7)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20,151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(6.8)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17,182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(6.1)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11,811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(5.9)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7,480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(5.6)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8,883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(5.8)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Northeastern region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86,062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(34.1)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105,889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(36.3)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84,471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(34.7)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107,701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(36.4)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105,729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(37.4)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80,873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(40.5)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55,254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(41.2)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59,305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(38.8)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Northern region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23,713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(9.4)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26,227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(9.0)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21,146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(8.7)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25,473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(8.6)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25,811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(9.1)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17,920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(9.0)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14,190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(10.6)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15,769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(10.3)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Western region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13,706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(5.4)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16,260</w:t>
            </w: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(5.6)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12,703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(5.2)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15,889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(5.4)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14,625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(5.2)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11,033</w:t>
            </w:r>
            <w:r w:rsidRPr="0039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(5.5)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7,305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(5.4)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8,368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(5.5)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Southern region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47,592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(18.9)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53,641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(18.4)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49,072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(20.2)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53,299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(18.0)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52,779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(18.7)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34,684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(17.4)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21,587</w:t>
            </w:r>
            <w:r w:rsidRPr="003902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(16.1)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27,624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(18.1)</w:t>
            </w:r>
          </w:p>
        </w:tc>
      </w:tr>
      <w:tr w:rsidR="00BE42DD" w:rsidRPr="00390227" w:rsidTr="00B84828">
        <w:trPr>
          <w:trHeight w:val="173"/>
        </w:trPr>
        <w:tc>
          <w:tcPr>
            <w:tcW w:w="0" w:type="auto"/>
            <w:gridSpan w:val="9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According to hospital levels</w:t>
            </w:r>
            <w:r w:rsidRPr="0039022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, n (%)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 hospital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17,446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(6.9)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21,565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(7.4)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19,187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(7.9)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23,242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(7.9)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22,402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(7.9)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16,304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(8.2)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11,251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(8.4)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13,058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(8.6)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 hospital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171,127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(67.8)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203,367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(69.7)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164,355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(67.5)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205,813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(69.5)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199,119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(70.5)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140,854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(70.5)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91,820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(68.4)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103,568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(67.8)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Tertiary hospital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56,142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(22.3)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58,744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(20.1)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52,783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(21.7)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58,381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(19.7)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54,480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(19.3)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39,037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(19.5)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29,127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(21.7)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33,589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(22.0)</w:t>
            </w:r>
          </w:p>
        </w:tc>
      </w:tr>
      <w:tr w:rsidR="00BE42DD" w:rsidRPr="00390227" w:rsidTr="00B84828">
        <w:trPr>
          <w:trHeight w:val="173"/>
        </w:trPr>
        <w:tc>
          <w:tcPr>
            <w:tcW w:w="1326" w:type="dxa"/>
          </w:tcPr>
          <w:p w:rsidR="00BE42DD" w:rsidRPr="00390227" w:rsidRDefault="00BE42DD" w:rsidP="00B84828">
            <w:pPr>
              <w:pStyle w:val="TableParagraph"/>
              <w:numPr>
                <w:ilvl w:val="0"/>
                <w:numId w:val="1"/>
              </w:numPr>
              <w:spacing w:line="276" w:lineRule="auto"/>
              <w:ind w:left="2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Private hospital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7,638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(3.0)</w:t>
            </w:r>
          </w:p>
        </w:tc>
        <w:tc>
          <w:tcPr>
            <w:tcW w:w="993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8,121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(2.8)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 xml:space="preserve">7,138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(2.9)</w:t>
            </w:r>
          </w:p>
        </w:tc>
        <w:tc>
          <w:tcPr>
            <w:tcW w:w="992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8,604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(2.9)</w:t>
            </w:r>
          </w:p>
        </w:tc>
        <w:tc>
          <w:tcPr>
            <w:tcW w:w="1018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6,397</w:t>
            </w:r>
            <w:r w:rsidRPr="003902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(2.3)</w:t>
            </w:r>
          </w:p>
        </w:tc>
        <w:tc>
          <w:tcPr>
            <w:tcW w:w="1134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3,574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(1.8)</w:t>
            </w:r>
          </w:p>
        </w:tc>
        <w:tc>
          <w:tcPr>
            <w:tcW w:w="1020" w:type="dxa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2,022</w:t>
            </w:r>
            <w:r w:rsidRPr="0039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(1.5)</w:t>
            </w:r>
          </w:p>
        </w:tc>
        <w:tc>
          <w:tcPr>
            <w:tcW w:w="0" w:type="auto"/>
          </w:tcPr>
          <w:p w:rsidR="00BE42DD" w:rsidRPr="00390227" w:rsidRDefault="00BE42DD" w:rsidP="00B84828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27">
              <w:rPr>
                <w:rFonts w:ascii="Times New Roman" w:hAnsi="Times New Roman" w:cs="Times New Roman"/>
                <w:sz w:val="24"/>
                <w:szCs w:val="24"/>
              </w:rPr>
              <w:t>2,457</w:t>
            </w:r>
            <w:r w:rsidRPr="003902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2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(1.6)</w:t>
            </w:r>
          </w:p>
        </w:tc>
      </w:tr>
    </w:tbl>
    <w:p w:rsidR="00BE42DD" w:rsidRPr="00390227" w:rsidRDefault="00BE42DD" w:rsidP="00BE42DD">
      <w:pPr>
        <w:spacing w:line="480" w:lineRule="auto"/>
        <w:rPr>
          <w:rFonts w:ascii="Times New Roman" w:eastAsia="Times New Roman" w:hAnsi="Times New Roman" w:cs="Times New Roman"/>
          <w:szCs w:val="24"/>
        </w:rPr>
      </w:pPr>
      <w:r w:rsidRPr="00390227">
        <w:rPr>
          <w:rFonts w:ascii="Times New Roman" w:eastAsia="Times New Roman" w:hAnsi="Times New Roman" w:cs="Times New Roman"/>
          <w:szCs w:val="24"/>
        </w:rPr>
        <w:t>A00-A09, Intestinal infectious diseases; C15-C26, Malignant neoplasms of digestive organs; ICD-10, International Statistical Classification of Diseases and Related Health Problems, 10th Revision; K00-K14, Diseases of oral cavity, salivary glands and jaws; K20-K31, Diseases of esophagus, stomach, and duodenum; K35-K38, Diseases of appendix; K40-K46, Hernia; K50-K52, Noninfective enteritis and colitis; K55-K64, Other diseases of intestines; K65-K67, Diseases of peritoneum; K70-K77, Diseases of liver; K80-K87, Disorders of gallbladder, biliary tract and pancreas; K90-K93, Other diseases of the digestive system</w:t>
      </w:r>
    </w:p>
    <w:p w:rsidR="00BE42DD" w:rsidRPr="00390227" w:rsidRDefault="00BE42DD" w:rsidP="00BE42DD">
      <w:pPr>
        <w:spacing w:line="480" w:lineRule="auto"/>
        <w:rPr>
          <w:rFonts w:ascii="Times New Roman" w:eastAsia="Times New Roman" w:hAnsi="Times New Roman" w:cs="Times New Roman"/>
          <w:szCs w:val="24"/>
        </w:rPr>
      </w:pPr>
    </w:p>
    <w:p w:rsidR="00BE42DD" w:rsidRPr="00390227" w:rsidRDefault="00BE42DD" w:rsidP="00BE42DD">
      <w:pPr>
        <w:spacing w:line="480" w:lineRule="auto"/>
        <w:rPr>
          <w:rFonts w:ascii="Times New Roman" w:eastAsia="Times New Roman" w:hAnsi="Times New Roman" w:cs="Times New Roman"/>
          <w:szCs w:val="24"/>
        </w:rPr>
      </w:pPr>
    </w:p>
    <w:p w:rsidR="00BE42DD" w:rsidRPr="00390227" w:rsidRDefault="00BE42DD" w:rsidP="00BE42DD">
      <w:pPr>
        <w:spacing w:line="480" w:lineRule="auto"/>
        <w:rPr>
          <w:rFonts w:ascii="Times New Roman" w:eastAsia="Times New Roman" w:hAnsi="Times New Roman" w:cs="Times New Roman"/>
          <w:szCs w:val="24"/>
        </w:rPr>
      </w:pPr>
    </w:p>
    <w:p w:rsidR="00BE42DD" w:rsidRPr="00390227" w:rsidRDefault="00BE42DD" w:rsidP="00BE42DD">
      <w:pPr>
        <w:spacing w:line="480" w:lineRule="auto"/>
        <w:rPr>
          <w:rFonts w:ascii="Times New Roman" w:eastAsia="Times New Roman" w:hAnsi="Times New Roman" w:cs="Times New Roman"/>
          <w:szCs w:val="24"/>
        </w:rPr>
      </w:pPr>
    </w:p>
    <w:p w:rsidR="00BE42DD" w:rsidRPr="00390227" w:rsidRDefault="00BE42DD" w:rsidP="00BE42DD">
      <w:pPr>
        <w:spacing w:line="480" w:lineRule="auto"/>
        <w:rPr>
          <w:rFonts w:ascii="Times New Roman" w:eastAsia="Times New Roman" w:hAnsi="Times New Roman" w:cs="Times New Roman"/>
          <w:szCs w:val="24"/>
        </w:rPr>
      </w:pPr>
    </w:p>
    <w:p w:rsidR="00BE42DD" w:rsidRPr="00390227" w:rsidRDefault="00BE42DD" w:rsidP="00BE42DD">
      <w:pPr>
        <w:spacing w:line="480" w:lineRule="auto"/>
        <w:rPr>
          <w:rFonts w:ascii="Times New Roman" w:eastAsia="Times New Roman" w:hAnsi="Times New Roman" w:cs="Times New Roman"/>
          <w:szCs w:val="24"/>
        </w:rPr>
      </w:pPr>
    </w:p>
    <w:p w:rsidR="00CF7116" w:rsidRDefault="00CF7116"/>
    <w:sectPr w:rsidR="00CF7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F0B19"/>
    <w:multiLevelType w:val="multilevel"/>
    <w:tmpl w:val="D10C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037B8"/>
    <w:multiLevelType w:val="hybridMultilevel"/>
    <w:tmpl w:val="39A8413C"/>
    <w:lvl w:ilvl="0" w:tplc="8E3AD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61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4E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4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4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C28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49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8E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CA9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DD"/>
    <w:rsid w:val="00BE42DD"/>
    <w:rsid w:val="00C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7A27C-27C5-4FD1-A13C-25A1024D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DD"/>
    <w:pPr>
      <w:spacing w:line="278" w:lineRule="auto"/>
    </w:pPr>
    <w:rPr>
      <w:kern w:val="2"/>
      <w:sz w:val="24"/>
      <w:szCs w:val="30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E4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BE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42D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character" w:customStyle="1" w:styleId="20">
    <w:name w:val="หัวเรื่อง 2 อักขระ"/>
    <w:basedOn w:val="a0"/>
    <w:link w:val="2"/>
    <w:uiPriority w:val="9"/>
    <w:rsid w:val="00BE42D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42DD"/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42DD"/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42DD"/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42DD"/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42DD"/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42DD"/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42DD"/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BE4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E42DD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BE4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42DD"/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paragraph" w:styleId="a7">
    <w:name w:val="Quote"/>
    <w:basedOn w:val="a"/>
    <w:next w:val="a"/>
    <w:link w:val="a8"/>
    <w:uiPriority w:val="29"/>
    <w:qFormat/>
    <w:rsid w:val="00BE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E42DD"/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paragraph" w:styleId="a9">
    <w:name w:val="List Paragraph"/>
    <w:basedOn w:val="a"/>
    <w:uiPriority w:val="34"/>
    <w:qFormat/>
    <w:rsid w:val="00BE4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E42DD"/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styleId="ad">
    <w:name w:val="Intense Reference"/>
    <w:basedOn w:val="a0"/>
    <w:uiPriority w:val="32"/>
    <w:qFormat/>
    <w:rsid w:val="00BE42DD"/>
    <w:rPr>
      <w:b/>
      <w:bCs/>
      <w:smallCaps/>
      <w:color w:val="2F5496" w:themeColor="accent1" w:themeShade="BF"/>
      <w:spacing w:val="5"/>
    </w:rPr>
  </w:style>
  <w:style w:type="table" w:styleId="ae">
    <w:name w:val="Grid Table Light"/>
    <w:basedOn w:val="a1"/>
    <w:uiPriority w:val="40"/>
    <w:rsid w:val="00BE42D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Hyperlink"/>
    <w:basedOn w:val="a0"/>
    <w:uiPriority w:val="99"/>
    <w:unhideWhenUsed/>
    <w:rsid w:val="00BE42DD"/>
    <w:rPr>
      <w:color w:val="467886"/>
      <w:u w:val="single"/>
    </w:rPr>
  </w:style>
  <w:style w:type="character" w:styleId="af0">
    <w:name w:val="FollowedHyperlink"/>
    <w:basedOn w:val="a0"/>
    <w:uiPriority w:val="99"/>
    <w:semiHidden/>
    <w:unhideWhenUsed/>
    <w:rsid w:val="00BE42DD"/>
    <w:rPr>
      <w:color w:val="96607D"/>
      <w:u w:val="single"/>
    </w:rPr>
  </w:style>
  <w:style w:type="paragraph" w:customStyle="1" w:styleId="msonormal0">
    <w:name w:val="msonormal"/>
    <w:basedOn w:val="a"/>
    <w:rsid w:val="00BE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65">
    <w:name w:val="xl65"/>
    <w:basedOn w:val="a"/>
    <w:rsid w:val="00BE42D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68">
    <w:name w:val="xl68"/>
    <w:basedOn w:val="a"/>
    <w:rsid w:val="00BE42DD"/>
    <w:pP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69">
    <w:name w:val="xl69"/>
    <w:basedOn w:val="a"/>
    <w:rsid w:val="00BE42DD"/>
    <w:pP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0">
    <w:name w:val="xl70"/>
    <w:basedOn w:val="a"/>
    <w:rsid w:val="00BE42DD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1">
    <w:name w:val="xl71"/>
    <w:basedOn w:val="a"/>
    <w:rsid w:val="00BE42DD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xl72">
    <w:name w:val="xl72"/>
    <w:basedOn w:val="a"/>
    <w:rsid w:val="00BE42DD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af1">
    <w:name w:val="Table Grid"/>
    <w:basedOn w:val="a1"/>
    <w:uiPriority w:val="39"/>
    <w:rsid w:val="00BE42D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BE42DD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BE42DD"/>
    <w:rPr>
      <w:rFonts w:ascii="Aptos" w:hAnsi="Aptos"/>
      <w:noProof/>
      <w:kern w:val="2"/>
      <w:sz w:val="24"/>
      <w:szCs w:val="30"/>
      <w14:ligatures w14:val="standardContextual"/>
    </w:rPr>
  </w:style>
  <w:style w:type="paragraph" w:customStyle="1" w:styleId="EndNoteBibliography">
    <w:name w:val="EndNote Bibliography"/>
    <w:basedOn w:val="a"/>
    <w:link w:val="EndNoteBibliographyChar"/>
    <w:rsid w:val="00BE42DD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a0"/>
    <w:link w:val="EndNoteBibliography"/>
    <w:rsid w:val="00BE42DD"/>
    <w:rPr>
      <w:rFonts w:ascii="Aptos" w:hAnsi="Aptos"/>
      <w:noProof/>
      <w:kern w:val="2"/>
      <w:sz w:val="24"/>
      <w:szCs w:val="30"/>
      <w14:ligatures w14:val="standardContextual"/>
    </w:rPr>
  </w:style>
  <w:style w:type="character" w:styleId="af2">
    <w:name w:val="Unresolved Mention"/>
    <w:basedOn w:val="a0"/>
    <w:uiPriority w:val="99"/>
    <w:semiHidden/>
    <w:unhideWhenUsed/>
    <w:rsid w:val="00BE42DD"/>
    <w:rPr>
      <w:color w:val="605E5C"/>
      <w:shd w:val="clear" w:color="auto" w:fill="E1DFDD"/>
    </w:rPr>
  </w:style>
  <w:style w:type="character" w:styleId="af3">
    <w:name w:val="line number"/>
    <w:basedOn w:val="a0"/>
    <w:uiPriority w:val="99"/>
    <w:semiHidden/>
    <w:unhideWhenUsed/>
    <w:rsid w:val="00BE42DD"/>
  </w:style>
  <w:style w:type="paragraph" w:styleId="af4">
    <w:name w:val="header"/>
    <w:basedOn w:val="a"/>
    <w:link w:val="af5"/>
    <w:uiPriority w:val="99"/>
    <w:unhideWhenUsed/>
    <w:rsid w:val="00BE4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หัวกระดาษ อักขระ"/>
    <w:basedOn w:val="a0"/>
    <w:link w:val="af4"/>
    <w:uiPriority w:val="99"/>
    <w:rsid w:val="00BE42DD"/>
    <w:rPr>
      <w:kern w:val="2"/>
      <w:sz w:val="24"/>
      <w:szCs w:val="30"/>
      <w14:ligatures w14:val="standardContextual"/>
    </w:rPr>
  </w:style>
  <w:style w:type="paragraph" w:styleId="af6">
    <w:name w:val="footer"/>
    <w:basedOn w:val="a"/>
    <w:link w:val="af7"/>
    <w:uiPriority w:val="99"/>
    <w:unhideWhenUsed/>
    <w:rsid w:val="00BE4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ท้ายกระดาษ อักขระ"/>
    <w:basedOn w:val="a0"/>
    <w:link w:val="af6"/>
    <w:uiPriority w:val="99"/>
    <w:rsid w:val="00BE42DD"/>
    <w:rPr>
      <w:kern w:val="2"/>
      <w:sz w:val="24"/>
      <w:szCs w:val="30"/>
      <w14:ligatures w14:val="standardContextual"/>
    </w:rPr>
  </w:style>
  <w:style w:type="paragraph" w:styleId="af8">
    <w:name w:val="Normal (Web)"/>
    <w:basedOn w:val="a"/>
    <w:uiPriority w:val="99"/>
    <w:unhideWhenUsed/>
    <w:rsid w:val="00BE42DD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paragraph" w:customStyle="1" w:styleId="Body">
    <w:name w:val="Body"/>
    <w:link w:val="BodyChar"/>
    <w:rsid w:val="00BE42DD"/>
    <w:pPr>
      <w:pBdr>
        <w:top w:val="nil"/>
        <w:left w:val="nil"/>
        <w:bottom w:val="nil"/>
        <w:right w:val="nil"/>
        <w:between w:val="nil"/>
        <w:bar w:val="nil"/>
      </w:pBd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Cs w:val="22"/>
      <w:u w:color="000000"/>
      <w:bdr w:val="nil"/>
    </w:rPr>
  </w:style>
  <w:style w:type="character" w:customStyle="1" w:styleId="BodyChar">
    <w:name w:val="Body Char"/>
    <w:basedOn w:val="a0"/>
    <w:link w:val="Body"/>
    <w:rsid w:val="00BE42DD"/>
    <w:rPr>
      <w:rFonts w:ascii="Calibri" w:eastAsia="Calibri" w:hAnsi="Calibri" w:cs="Calibri"/>
      <w:color w:val="000000"/>
      <w:szCs w:val="22"/>
      <w:u w:color="000000"/>
      <w:bdr w:val="nil"/>
    </w:rPr>
  </w:style>
  <w:style w:type="paragraph" w:customStyle="1" w:styleId="TableParagraph">
    <w:name w:val="Table Paragraph"/>
    <w:basedOn w:val="a"/>
    <w:uiPriority w:val="1"/>
    <w:qFormat/>
    <w:rsid w:val="00BE42DD"/>
    <w:pPr>
      <w:widowControl w:val="0"/>
      <w:autoSpaceDE w:val="0"/>
      <w:autoSpaceDN w:val="0"/>
      <w:spacing w:after="0" w:line="152" w:lineRule="exact"/>
      <w:ind w:left="100"/>
    </w:pPr>
    <w:rPr>
      <w:rFonts w:ascii="Arial" w:eastAsia="Arial" w:hAnsi="Arial" w:cs="Arial"/>
      <w:kern w:val="0"/>
      <w:sz w:val="22"/>
      <w:szCs w:val="22"/>
      <w:lang w:bidi="ar-SA"/>
      <w14:ligatures w14:val="none"/>
    </w:rPr>
  </w:style>
  <w:style w:type="character" w:styleId="af9">
    <w:name w:val="Strong"/>
    <w:basedOn w:val="a0"/>
    <w:uiPriority w:val="22"/>
    <w:qFormat/>
    <w:rsid w:val="00BE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busara charoenwat</dc:creator>
  <cp:keywords/>
  <dc:description/>
  <cp:lastModifiedBy>busara charoenwat</cp:lastModifiedBy>
  <cp:revision>1</cp:revision>
  <dcterms:created xsi:type="dcterms:W3CDTF">2024-11-18T14:12:00Z</dcterms:created>
  <dcterms:modified xsi:type="dcterms:W3CDTF">2024-11-18T14:13:00Z</dcterms:modified>
</cp:coreProperties>
</file>