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883C1" w14:textId="77777777" w:rsidR="00422EFB" w:rsidRPr="00422EFB" w:rsidRDefault="00422EFB" w:rsidP="00422EFB">
      <w:pPr>
        <w:rPr>
          <w:lang w:val="en-GB"/>
        </w:rPr>
      </w:pPr>
    </w:p>
    <w:p w14:paraId="1F533817" w14:textId="77777777" w:rsidR="00422EFB" w:rsidRPr="00422EFB" w:rsidRDefault="00422EFB" w:rsidP="00422EFB">
      <w:pPr>
        <w:rPr>
          <w:lang w:val="en-GB"/>
        </w:rPr>
      </w:pPr>
    </w:p>
    <w:p w14:paraId="569B8DF1" w14:textId="78DF0FB6" w:rsidR="00422EFB" w:rsidRPr="00422EFB" w:rsidRDefault="00422EFB" w:rsidP="00422EFB">
      <w:pPr>
        <w:rPr>
          <w:lang w:val="en-GB"/>
        </w:rPr>
      </w:pPr>
      <w:r w:rsidRPr="00422EFB">
        <w:rPr>
          <w:lang w:val="en-GB"/>
        </w:rPr>
        <w:drawing>
          <wp:inline distT="0" distB="0" distL="0" distR="0" wp14:anchorId="1213E3B4" wp14:editId="326BEE09">
            <wp:extent cx="5943600" cy="3045460"/>
            <wp:effectExtent l="0" t="0" r="0" b="2540"/>
            <wp:docPr id="2141855707" name="Picture 4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855707" name="Picture 4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12A3F" w14:textId="77777777" w:rsidR="00422EFB" w:rsidRPr="00422EFB" w:rsidRDefault="00422EFB" w:rsidP="00422EFB">
      <w:pPr>
        <w:rPr>
          <w:lang w:val="en-GB"/>
        </w:rPr>
      </w:pPr>
      <w:r w:rsidRPr="00422EFB">
        <w:rPr>
          <w:b/>
          <w:bCs/>
          <w:lang w:val="en-GB"/>
        </w:rPr>
        <w:t xml:space="preserve">Supplementary Figure 1.(A) </w:t>
      </w:r>
      <w:r w:rsidRPr="00422EFB">
        <w:rPr>
          <w:lang w:val="en-GB"/>
        </w:rPr>
        <w:t xml:space="preserve">RNA-seq analysis  </w:t>
      </w:r>
      <w:r w:rsidRPr="00422EFB">
        <w:rPr>
          <w:i/>
          <w:iCs/>
          <w:lang w:val="en-GB"/>
        </w:rPr>
        <w:t>sacs</w:t>
      </w:r>
      <w:r w:rsidRPr="00422EFB">
        <w:rPr>
          <w:i/>
          <w:iCs/>
          <w:vertAlign w:val="superscript"/>
          <w:lang w:val="en-GB"/>
        </w:rPr>
        <w:t>-/-</w:t>
      </w:r>
      <w:r w:rsidRPr="00422EFB">
        <w:rPr>
          <w:i/>
          <w:iCs/>
          <w:lang w:val="en-GB"/>
        </w:rPr>
        <w:t>-</w:t>
      </w:r>
      <w:r w:rsidRPr="00422EFB">
        <w:rPr>
          <w:lang w:val="en-GB"/>
        </w:rPr>
        <w:t>treated vs. WT adult zebrafish; Top20 enriched Biological Processes GO categories were plotted. (</w:t>
      </w:r>
      <w:r w:rsidRPr="00422EFB">
        <w:rPr>
          <w:b/>
          <w:bCs/>
          <w:lang w:val="en-GB"/>
        </w:rPr>
        <w:t>B)</w:t>
      </w:r>
      <w:r w:rsidRPr="00422EFB">
        <w:rPr>
          <w:lang w:val="en-GB"/>
        </w:rPr>
        <w:t xml:space="preserve"> Protein-protein interaction analysis using the STRING bioinformatic suite (</w:t>
      </w:r>
      <w:hyperlink r:id="rId5" w:history="1">
        <w:r w:rsidRPr="00422EFB">
          <w:rPr>
            <w:rStyle w:val="Hyperlink"/>
            <w:lang w:val="en-GB"/>
          </w:rPr>
          <w:t>https://string-db.org/</w:t>
        </w:r>
      </w:hyperlink>
      <w:r w:rsidRPr="00422EFB">
        <w:rPr>
          <w:lang w:val="en-GB"/>
        </w:rPr>
        <w:t xml:space="preserve">). </w:t>
      </w:r>
      <w:r w:rsidRPr="00422EFB">
        <w:rPr>
          <w:i/>
          <w:iCs/>
          <w:lang w:val="en-GB"/>
        </w:rPr>
        <w:t>Cell cycle and cytoskeleton organization</w:t>
      </w:r>
      <w:r w:rsidRPr="00422EFB">
        <w:rPr>
          <w:lang w:val="en-GB"/>
        </w:rPr>
        <w:t xml:space="preserve"> (highlighted in Yellow), </w:t>
      </w:r>
      <w:r w:rsidRPr="00422EFB">
        <w:rPr>
          <w:i/>
          <w:iCs/>
          <w:lang w:val="en-GB"/>
        </w:rPr>
        <w:t>Central nervous system development</w:t>
      </w:r>
      <w:r w:rsidRPr="00422EFB">
        <w:rPr>
          <w:lang w:val="en-GB"/>
        </w:rPr>
        <w:t xml:space="preserve"> (highlighted in green), Mitophagy (highlighted in violet), Homeobox (highlighted in light green), </w:t>
      </w:r>
      <w:r w:rsidRPr="00422EFB">
        <w:rPr>
          <w:i/>
          <w:iCs/>
          <w:lang w:val="en-GB"/>
        </w:rPr>
        <w:t>Nucleosome and structural constituent of chromatin</w:t>
      </w:r>
      <w:r w:rsidRPr="00422EFB">
        <w:rPr>
          <w:lang w:val="en-GB"/>
        </w:rPr>
        <w:t xml:space="preserve"> (highlighted in red) and </w:t>
      </w:r>
      <w:r w:rsidRPr="00422EFB">
        <w:rPr>
          <w:i/>
          <w:iCs/>
          <w:lang w:val="en-GB"/>
        </w:rPr>
        <w:t xml:space="preserve">chromosome condensation </w:t>
      </w:r>
      <w:r w:rsidRPr="00422EFB">
        <w:rPr>
          <w:lang w:val="en-GB"/>
        </w:rPr>
        <w:t>(highlighted in blue). Network nodes represent proteins and each node represents all the proteins produced by a single, protein-coding gene locus. The edges represent protein-protein associations, with thickness indicating the strength of data support. PPI enrichment p-value:&lt; 1.0e-16.</w:t>
      </w:r>
    </w:p>
    <w:p w14:paraId="49DE889B" w14:textId="77777777" w:rsidR="00422EFB" w:rsidRPr="00422EFB" w:rsidRDefault="00422EFB" w:rsidP="00422EFB">
      <w:pPr>
        <w:rPr>
          <w:lang w:val="en-GB"/>
        </w:rPr>
      </w:pPr>
    </w:p>
    <w:p w14:paraId="792B745A" w14:textId="77777777" w:rsidR="00422EFB" w:rsidRPr="00422EFB" w:rsidRDefault="00422EFB" w:rsidP="00422EFB">
      <w:pPr>
        <w:rPr>
          <w:lang w:val="en-GB"/>
        </w:rPr>
      </w:pPr>
    </w:p>
    <w:p w14:paraId="131B9CEE" w14:textId="5F85C639" w:rsidR="00422EFB" w:rsidRPr="00422EFB" w:rsidRDefault="00422EFB" w:rsidP="00422EFB">
      <w:pPr>
        <w:rPr>
          <w:lang w:val="en-GB"/>
        </w:rPr>
      </w:pPr>
      <w:r w:rsidRPr="00422EFB">
        <w:rPr>
          <w:lang w:val="en-GB"/>
        </w:rPr>
        <w:lastRenderedPageBreak/>
        <w:drawing>
          <wp:inline distT="0" distB="0" distL="0" distR="0" wp14:anchorId="2013296A" wp14:editId="71978FDB">
            <wp:extent cx="5943600" cy="3120390"/>
            <wp:effectExtent l="0" t="0" r="0" b="3810"/>
            <wp:docPr id="1722585119" name="Picture 3" descr="A diagram of a netwo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585119" name="Picture 3" descr="A diagram of a networ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0103C" w14:textId="77777777" w:rsidR="00422EFB" w:rsidRPr="00422EFB" w:rsidRDefault="00422EFB" w:rsidP="00422EFB">
      <w:pPr>
        <w:rPr>
          <w:lang w:val="en-GB"/>
        </w:rPr>
      </w:pPr>
      <w:r w:rsidRPr="00422EFB">
        <w:rPr>
          <w:b/>
          <w:bCs/>
          <w:lang w:val="en-GB"/>
        </w:rPr>
        <w:t xml:space="preserve">Supplementary Figure 2.  </w:t>
      </w:r>
      <w:r w:rsidRPr="00422EFB">
        <w:rPr>
          <w:lang w:val="en-GB"/>
        </w:rPr>
        <w:t>Protein-protein interaction analysis using the STRING bioinformatic suite (</w:t>
      </w:r>
      <w:hyperlink r:id="rId7" w:history="1">
        <w:r w:rsidRPr="00422EFB">
          <w:rPr>
            <w:rStyle w:val="Hyperlink"/>
            <w:lang w:val="en-GB"/>
          </w:rPr>
          <w:t>https://string-db.org/</w:t>
        </w:r>
      </w:hyperlink>
      <w:r w:rsidRPr="00422EFB">
        <w:rPr>
          <w:lang w:val="en-GB"/>
        </w:rPr>
        <w:t xml:space="preserve">). </w:t>
      </w:r>
      <w:r w:rsidRPr="00422EFB">
        <w:rPr>
          <w:b/>
          <w:bCs/>
          <w:lang w:val="en-GB"/>
        </w:rPr>
        <w:t>(A</w:t>
      </w:r>
      <w:r w:rsidRPr="00422EFB">
        <w:rPr>
          <w:b/>
          <w:bCs/>
          <w:i/>
          <w:iCs/>
          <w:lang w:val="en-GB"/>
        </w:rPr>
        <w:t>)</w:t>
      </w:r>
      <w:r w:rsidRPr="00422EFB">
        <w:rPr>
          <w:i/>
          <w:iCs/>
          <w:lang w:val="en-GB"/>
        </w:rPr>
        <w:t xml:space="preserve"> RNA splicing</w:t>
      </w:r>
      <w:r w:rsidRPr="00422EFB">
        <w:rPr>
          <w:lang w:val="en-GB"/>
        </w:rPr>
        <w:t xml:space="preserve">, </w:t>
      </w:r>
      <w:r w:rsidRPr="00422EFB">
        <w:rPr>
          <w:i/>
          <w:iCs/>
          <w:lang w:val="en-GB"/>
        </w:rPr>
        <w:t>RNA processing</w:t>
      </w:r>
      <w:r w:rsidRPr="00422EFB">
        <w:rPr>
          <w:lang w:val="en-GB"/>
        </w:rPr>
        <w:t xml:space="preserve">, </w:t>
      </w:r>
      <w:r w:rsidRPr="00422EFB">
        <w:rPr>
          <w:i/>
          <w:iCs/>
          <w:lang w:val="en-GB"/>
        </w:rPr>
        <w:t xml:space="preserve">mRNA metabolic process (highlighted in green). </w:t>
      </w:r>
      <w:r w:rsidRPr="00422EFB">
        <w:rPr>
          <w:b/>
          <w:bCs/>
          <w:lang w:val="en-GB"/>
        </w:rPr>
        <w:t xml:space="preserve">(B) </w:t>
      </w:r>
      <w:r w:rsidRPr="00422EFB">
        <w:rPr>
          <w:i/>
          <w:iCs/>
          <w:lang w:val="en-GB"/>
        </w:rPr>
        <w:t>Regulation of cytokine production</w:t>
      </w:r>
      <w:r w:rsidRPr="00422EFB">
        <w:rPr>
          <w:lang w:val="en-GB"/>
        </w:rPr>
        <w:t xml:space="preserve">, </w:t>
      </w:r>
      <w:r w:rsidRPr="00422EFB">
        <w:rPr>
          <w:i/>
          <w:iCs/>
          <w:lang w:val="en-GB"/>
        </w:rPr>
        <w:t>Positive regulation of cytokine production</w:t>
      </w:r>
      <w:r w:rsidRPr="00422EFB">
        <w:rPr>
          <w:lang w:val="en-GB"/>
        </w:rPr>
        <w:t xml:space="preserve">, </w:t>
      </w:r>
      <w:r w:rsidRPr="00422EFB">
        <w:rPr>
          <w:i/>
          <w:iCs/>
          <w:lang w:val="en-GB"/>
        </w:rPr>
        <w:t>immune response-regulating signaling pathway (highlighted in red</w:t>
      </w:r>
      <w:r w:rsidRPr="00422EFB">
        <w:rPr>
          <w:lang w:val="en-GB"/>
        </w:rPr>
        <w:t>). Network nodes represent proteins and each node represents all the proteins produced by a single, protein-coding gene locus. The edges represent protein-protein associations, with thickness indicating the strength of data support. PPI enrichment p-value:&lt; 1.0e-16.</w:t>
      </w:r>
    </w:p>
    <w:p w14:paraId="455866FD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EFB"/>
    <w:rsid w:val="00422EFB"/>
    <w:rsid w:val="00732981"/>
    <w:rsid w:val="00750AF4"/>
    <w:rsid w:val="00AC0449"/>
    <w:rsid w:val="00AD604E"/>
    <w:rsid w:val="00AF04EA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DF6E7"/>
  <w15:chartTrackingRefBased/>
  <w15:docId w15:val="{3058B3D6-5D02-45AD-8038-2B46F396A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2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E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E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E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E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E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E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EF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2EF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E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tring-db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string-db.org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1314</Characters>
  <Application>Microsoft Office Word</Application>
  <DocSecurity>0</DocSecurity>
  <Lines>10</Lines>
  <Paragraphs>3</Paragraphs>
  <ScaleCrop>false</ScaleCrop>
  <Company>Springer Nature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2025-04-16T05:01:00Z</dcterms:created>
  <dcterms:modified xsi:type="dcterms:W3CDTF">2025-04-16T05:02:00Z</dcterms:modified>
</cp:coreProperties>
</file>