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3B07B" w14:textId="77777777" w:rsidR="002E094D" w:rsidRPr="00F1649D" w:rsidRDefault="002E094D" w:rsidP="002E094D">
      <w:pPr>
        <w:adjustRightInd w:val="0"/>
        <w:spacing w:line="480" w:lineRule="auto"/>
        <w:contextualSpacing/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F1649D">
        <w:rPr>
          <w:rFonts w:ascii="Arial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Additional information</w:t>
      </w:r>
    </w:p>
    <w:p w14:paraId="5FE64A6E" w14:textId="77777777" w:rsidR="002E094D" w:rsidRDefault="002E094D" w:rsidP="002E094D">
      <w:pPr>
        <w:adjustRightInd w:val="0"/>
        <w:spacing w:line="480" w:lineRule="auto"/>
        <w:contextualSpacing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F1649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Supplementary </w:t>
      </w:r>
      <w:r w:rsidRPr="00F1649D">
        <w:rPr>
          <w:rFonts w:ascii="Arial" w:hAnsi="Arial" w:cs="Arial"/>
          <w:b/>
          <w:bCs/>
          <w:color w:val="000000"/>
          <w:sz w:val="24"/>
          <w:szCs w:val="24"/>
        </w:rPr>
        <w:t xml:space="preserve">Figure 1. </w:t>
      </w:r>
      <w:r w:rsidRPr="00F1649D">
        <w:rPr>
          <w:rFonts w:ascii="Arial" w:hAnsi="Arial" w:cs="Arial"/>
          <w:color w:val="000000"/>
          <w:sz w:val="24"/>
          <w:szCs w:val="24"/>
        </w:rPr>
        <w:t>Correlations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among CD9, CD81 and PDCD6IP levels.</w:t>
      </w:r>
    </w:p>
    <w:p w14:paraId="20C23F98" w14:textId="77777777" w:rsidR="002E094D" w:rsidRPr="00F1649D" w:rsidRDefault="002E094D" w:rsidP="002E094D">
      <w:pPr>
        <w:adjustRightInd w:val="0"/>
        <w:spacing w:line="480" w:lineRule="auto"/>
        <w:contextualSpacing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010456">
        <w:rPr>
          <w:rFonts w:ascii="Arial" w:hAnsi="Arial" w:cs="Arial"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 wp14:anchorId="36055810" wp14:editId="06101B55">
            <wp:extent cx="5731510" cy="4406900"/>
            <wp:effectExtent l="0" t="0" r="0" b="0"/>
            <wp:docPr id="26473203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73203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E77B2" w14:textId="77777777" w:rsidR="002E094D" w:rsidRPr="00F1649D" w:rsidRDefault="002E094D" w:rsidP="002E094D">
      <w:pPr>
        <w:adjustRightInd w:val="0"/>
        <w:spacing w:line="48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(a) </w:t>
      </w:r>
      <w:r w:rsidRPr="00F1649D">
        <w:rPr>
          <w:rFonts w:ascii="Arial" w:hAnsi="Arial" w:cs="Arial"/>
          <w:color w:val="000000"/>
          <w:sz w:val="24"/>
          <w:szCs w:val="24"/>
        </w:rPr>
        <w:t>Correlations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among CD9, CD81 and PDCD6IP protein levels in CSF-derived </w:t>
      </w:r>
      <w:r w:rsidRPr="00F1649D">
        <w:rPr>
          <w:rFonts w:ascii="Arial" w:hAnsi="Arial" w:cs="Arial"/>
          <w:color w:val="000000"/>
          <w:sz w:val="24"/>
          <w:szCs w:val="24"/>
        </w:rPr>
        <w:t>EVs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. Significant correlations were found between the levels of CD9, CD81 and PDCD6IP, </w:t>
      </w:r>
      <w:r w:rsidRPr="00F1649D">
        <w:rPr>
          <w:rFonts w:ascii="Arial" w:hAnsi="Arial" w:cs="Arial"/>
          <w:color w:val="000000"/>
          <w:sz w:val="24"/>
          <w:szCs w:val="24"/>
        </w:rPr>
        <w:t xml:space="preserve">which are 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marker proteins of </w:t>
      </w:r>
      <w:r w:rsidRPr="00F1649D">
        <w:rPr>
          <w:rFonts w:ascii="Arial" w:hAnsi="Arial" w:cs="Arial"/>
          <w:color w:val="000000"/>
          <w:sz w:val="24"/>
          <w:szCs w:val="24"/>
        </w:rPr>
        <w:t>EVs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.</w:t>
      </w:r>
    </w:p>
    <w:p w14:paraId="6112BA75" w14:textId="77777777" w:rsidR="002E094D" w:rsidRDefault="002E094D" w:rsidP="002E094D">
      <w:pPr>
        <w:adjustRightInd w:val="0"/>
        <w:spacing w:line="480" w:lineRule="auto"/>
        <w:contextualSpacing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F1649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Supplementary </w:t>
      </w:r>
      <w:r w:rsidRPr="00F1649D">
        <w:rPr>
          <w:rFonts w:ascii="Arial" w:hAnsi="Arial" w:cs="Arial"/>
          <w:b/>
          <w:bCs/>
          <w:color w:val="000000"/>
          <w:sz w:val="24"/>
          <w:szCs w:val="24"/>
        </w:rPr>
        <w:t xml:space="preserve">Figure 2. </w:t>
      </w:r>
      <w:r w:rsidRPr="00F1649D">
        <w:rPr>
          <w:rFonts w:ascii="Arial" w:hAnsi="Arial" w:cs="Arial"/>
          <w:color w:val="000000"/>
          <w:sz w:val="24"/>
          <w:szCs w:val="24"/>
        </w:rPr>
        <w:t>Correlation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between ITGAX and P2RX7 levels.</w:t>
      </w:r>
    </w:p>
    <w:p w14:paraId="26880FB2" w14:textId="77777777" w:rsidR="002E094D" w:rsidRPr="00F1649D" w:rsidRDefault="002E094D" w:rsidP="002E094D">
      <w:pPr>
        <w:adjustRightInd w:val="0"/>
        <w:spacing w:line="480" w:lineRule="auto"/>
        <w:contextualSpacing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010456">
        <w:rPr>
          <w:rFonts w:ascii="Arial" w:hAnsi="Arial" w:cs="Arial"/>
          <w:noProof/>
          <w:color w:val="000000" w:themeColor="text1"/>
          <w:sz w:val="24"/>
          <w:szCs w:val="24"/>
          <w:shd w:val="clear" w:color="auto" w:fill="FFFFFF"/>
        </w:rPr>
        <w:lastRenderedPageBreak/>
        <w:drawing>
          <wp:inline distT="0" distB="0" distL="0" distR="0" wp14:anchorId="32F5443A" wp14:editId="06472F54">
            <wp:extent cx="4711700" cy="5041900"/>
            <wp:effectExtent l="0" t="0" r="0" b="0"/>
            <wp:docPr id="194596237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9623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11700" cy="504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ED670" w14:textId="77777777" w:rsidR="002E094D" w:rsidRPr="00F1649D" w:rsidRDefault="002E094D" w:rsidP="002E094D">
      <w:pPr>
        <w:adjustRightInd w:val="0"/>
        <w:spacing w:line="480" w:lineRule="auto"/>
        <w:contextualSpacing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(a)</w:t>
      </w:r>
      <w:r w:rsidRPr="00F1649D">
        <w:rPr>
          <w:rFonts w:ascii="Arial" w:hAnsi="Arial" w:cs="Arial"/>
          <w:color w:val="000000"/>
          <w:sz w:val="24"/>
          <w:szCs w:val="24"/>
        </w:rPr>
        <w:t xml:space="preserve"> 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Correlation of ITGAX and P2RY12 protein levels in CSF-derived </w:t>
      </w:r>
      <w:r w:rsidRPr="00F1649D">
        <w:rPr>
          <w:rFonts w:ascii="Arial" w:hAnsi="Arial" w:cs="Arial"/>
          <w:color w:val="000000"/>
          <w:sz w:val="24"/>
          <w:szCs w:val="24"/>
        </w:rPr>
        <w:t>EVs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. ITGAX and P2RY12 levels </w:t>
      </w:r>
      <w:r w:rsidRPr="00F1649D">
        <w:rPr>
          <w:rFonts w:ascii="Arial" w:hAnsi="Arial" w:cs="Arial"/>
          <w:color w:val="000000"/>
          <w:sz w:val="24"/>
          <w:szCs w:val="24"/>
        </w:rPr>
        <w:t>were significantly but weakly correlated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(</w:t>
      </w:r>
      <w:r w:rsidRPr="00F1649D">
        <w:rPr>
          <w:rFonts w:ascii="Arial" w:hAnsi="Arial" w:cs="Arial"/>
          <w:i/>
          <w:iCs/>
          <w:color w:val="000000" w:themeColor="text1"/>
          <w:sz w:val="24"/>
          <w:szCs w:val="24"/>
          <w:shd w:val="clear" w:color="auto" w:fill="FFFFFF"/>
        </w:rPr>
        <w:t>p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= 0.0009, r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vertAlign w:val="superscript"/>
        </w:rPr>
        <w:t xml:space="preserve">2 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= 0.1385). (b) Correlation of ITGAX and P2RX7 protein levels in CSF-derived </w:t>
      </w:r>
      <w:r w:rsidRPr="00F1649D">
        <w:rPr>
          <w:rFonts w:ascii="Arial" w:hAnsi="Arial" w:cs="Arial"/>
          <w:color w:val="000000"/>
          <w:sz w:val="24"/>
          <w:szCs w:val="24"/>
        </w:rPr>
        <w:t>EVs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. ITGAX and P2RX7 levels </w:t>
      </w:r>
      <w:r w:rsidRPr="00F1649D">
        <w:rPr>
          <w:rFonts w:ascii="Arial" w:hAnsi="Arial" w:cs="Arial"/>
          <w:color w:val="000000"/>
          <w:sz w:val="24"/>
          <w:szCs w:val="24"/>
        </w:rPr>
        <w:t>were significantly and moderately correlated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(</w:t>
      </w:r>
      <w:r w:rsidRPr="00F1649D">
        <w:rPr>
          <w:rFonts w:ascii="Arial" w:hAnsi="Arial" w:cs="Arial"/>
          <w:i/>
          <w:iCs/>
          <w:color w:val="000000" w:themeColor="text1"/>
          <w:sz w:val="24"/>
          <w:szCs w:val="24"/>
          <w:shd w:val="clear" w:color="auto" w:fill="FFFFFF"/>
        </w:rPr>
        <w:t xml:space="preserve">p 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&lt; 0.0001, r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vertAlign w:val="superscript"/>
        </w:rPr>
        <w:t xml:space="preserve">2 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= 0.2477). </w:t>
      </w:r>
      <w:r w:rsidRPr="00F1649D">
        <w:rPr>
          <w:rFonts w:ascii="Arial" w:hAnsi="Arial" w:cs="Arial"/>
          <w:color w:val="000000" w:themeColor="text1"/>
          <w:sz w:val="24"/>
          <w:szCs w:val="24"/>
        </w:rPr>
        <w:t xml:space="preserve">(c) 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Bar graph of </w:t>
      </w:r>
      <w:r w:rsidRPr="00F1649D">
        <w:rPr>
          <w:rFonts w:ascii="Arial" w:hAnsi="Arial" w:cs="Arial"/>
          <w:color w:val="000000"/>
          <w:sz w:val="24"/>
          <w:szCs w:val="24"/>
        </w:rPr>
        <w:t xml:space="preserve">the relative 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intensity </w:t>
      </w:r>
      <w:r w:rsidRPr="00F1649D">
        <w:rPr>
          <w:rFonts w:ascii="Arial" w:hAnsi="Arial" w:cs="Arial"/>
          <w:color w:val="000000"/>
          <w:sz w:val="24"/>
          <w:szCs w:val="24"/>
        </w:rPr>
        <w:t xml:space="preserve">of P2RX7 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as measured by mass spectrometry. One-way ANOVA followed by Tukey’s</w:t>
      </w:r>
      <w:r w:rsidRPr="00F1649D">
        <w:rPr>
          <w:rFonts w:ascii="Arial" w:hAnsi="Arial" w:cs="Arial"/>
          <w:color w:val="000000"/>
          <w:sz w:val="24"/>
          <w:szCs w:val="24"/>
        </w:rPr>
        <w:t xml:space="preserve"> 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HSD multiple test (</w:t>
      </w:r>
      <w:r w:rsidRPr="00F1649D">
        <w:rPr>
          <w:rFonts w:ascii="Arial" w:hAnsi="Arial" w:cs="Arial"/>
          <w:color w:val="000000" w:themeColor="text1"/>
          <w:sz w:val="24"/>
          <w:szCs w:val="24"/>
        </w:rPr>
        <w:t>ns; not significant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). </w:t>
      </w:r>
      <w:r w:rsidRPr="00F1649D">
        <w:rPr>
          <w:rFonts w:ascii="Arial" w:hAnsi="Arial" w:cs="Arial"/>
          <w:color w:val="000000" w:themeColor="text1"/>
          <w:sz w:val="24"/>
          <w:szCs w:val="24"/>
        </w:rPr>
        <w:t xml:space="preserve">(d) 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Bar graph of </w:t>
      </w:r>
      <w:r w:rsidRPr="00F1649D">
        <w:rPr>
          <w:rFonts w:ascii="Arial" w:hAnsi="Arial" w:cs="Arial"/>
          <w:color w:val="000000"/>
          <w:sz w:val="24"/>
          <w:szCs w:val="24"/>
        </w:rPr>
        <w:t xml:space="preserve">the relative 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intensity </w:t>
      </w:r>
      <w:r w:rsidRPr="00F1649D">
        <w:rPr>
          <w:rFonts w:ascii="Arial" w:hAnsi="Arial" w:cs="Arial"/>
          <w:color w:val="000000"/>
          <w:sz w:val="24"/>
          <w:szCs w:val="24"/>
        </w:rPr>
        <w:t xml:space="preserve">of P2RX7 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as measured by mass spectrometry</w:t>
      </w:r>
      <w:r w:rsidRPr="00F1649D">
        <w:rPr>
          <w:rFonts w:ascii="Arial" w:hAnsi="Arial" w:cs="Arial"/>
          <w:color w:val="000000"/>
          <w:sz w:val="24"/>
          <w:szCs w:val="24"/>
        </w:rPr>
        <w:t xml:space="preserve">. Student’s t </w:t>
      </w:r>
      <w:r w:rsidRPr="00F1649D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test was used to statistically confirm significance.</w:t>
      </w:r>
    </w:p>
    <w:p w14:paraId="7F7EC479" w14:textId="77777777" w:rsidR="0061741B" w:rsidRDefault="0061741B"/>
    <w:sectPr w:rsidR="0061741B" w:rsidSect="002E094D"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94D"/>
    <w:rsid w:val="002E094D"/>
    <w:rsid w:val="00312617"/>
    <w:rsid w:val="0061741B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F7187"/>
  <w15:chartTrackingRefBased/>
  <w15:docId w15:val="{30A25298-3813-402B-B5C1-DB17EEDC6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94D"/>
    <w:pPr>
      <w:spacing w:after="0" w:line="240" w:lineRule="auto"/>
    </w:pPr>
    <w:rPr>
      <w:rFonts w:eastAsiaTheme="minorEastAsia"/>
      <w:sz w:val="21"/>
      <w:szCs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094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094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094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094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094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094D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094D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094D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094D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9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09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09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09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09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09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09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09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09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094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E09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094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E09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094D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E09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094D"/>
    <w:pPr>
      <w:spacing w:after="160" w:line="278" w:lineRule="auto"/>
      <w:ind w:left="720"/>
      <w:contextualSpacing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E09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09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09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094D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2E09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2025-02-06T17:10:00Z</dcterms:created>
  <dcterms:modified xsi:type="dcterms:W3CDTF">2025-02-06T17:10:00Z</dcterms:modified>
</cp:coreProperties>
</file>