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CC4F1" w14:textId="77777777" w:rsidR="00B42BD0" w:rsidRDefault="00B42BD0" w:rsidP="00B42BD0">
      <w:pPr>
        <w:pStyle w:val="006BodyText"/>
        <w:spacing w:line="276" w:lineRule="auto"/>
        <w:ind w:firstLine="0"/>
      </w:pPr>
      <w:bookmarkStart w:id="0" w:name="_Hlk188875779"/>
      <w:r w:rsidRPr="00B42BD0">
        <w:rPr>
          <w:b/>
        </w:rPr>
        <w:t>Manuscript:</w:t>
      </w:r>
      <w:r>
        <w:t xml:space="preserve"> </w:t>
      </w:r>
    </w:p>
    <w:p w14:paraId="122FB73A" w14:textId="304DACD9" w:rsidR="00246496" w:rsidRPr="00583157" w:rsidRDefault="00246496" w:rsidP="00B42BD0">
      <w:pPr>
        <w:pStyle w:val="006BodyText"/>
        <w:spacing w:line="276" w:lineRule="auto"/>
        <w:ind w:firstLine="0"/>
        <w:rPr>
          <w:sz w:val="26"/>
          <w:szCs w:val="26"/>
        </w:rPr>
      </w:pPr>
      <w:r w:rsidRPr="00583157">
        <w:rPr>
          <w:sz w:val="26"/>
          <w:szCs w:val="26"/>
        </w:rPr>
        <w:t>Vector Potential Index: Bridging competence and contribution as an integrative measure of relative transmission capability</w:t>
      </w:r>
      <w:bookmarkEnd w:id="0"/>
    </w:p>
    <w:p w14:paraId="1ED03307" w14:textId="77777777" w:rsidR="00B42BD0" w:rsidRPr="00246496" w:rsidRDefault="00B42BD0" w:rsidP="00246496">
      <w:pPr>
        <w:pStyle w:val="006BodyText"/>
        <w:ind w:firstLine="0"/>
        <w:rPr>
          <w:b/>
          <w:bCs/>
        </w:rPr>
      </w:pPr>
    </w:p>
    <w:p w14:paraId="0CE224A5" w14:textId="77777777" w:rsidR="00C35761" w:rsidRDefault="00C35761" w:rsidP="00C35761"/>
    <w:p w14:paraId="18041532" w14:textId="77777777" w:rsidR="00583157" w:rsidRDefault="00583157" w:rsidP="00C35761"/>
    <w:p w14:paraId="79DE561A" w14:textId="77777777" w:rsidR="00583157" w:rsidRDefault="00583157" w:rsidP="00C35761"/>
    <w:p w14:paraId="6F84BE00" w14:textId="77777777" w:rsidR="00583157" w:rsidRDefault="00583157" w:rsidP="00C35761"/>
    <w:p w14:paraId="2BD746E3" w14:textId="77777777" w:rsidR="00583157" w:rsidRDefault="00583157" w:rsidP="00C35761"/>
    <w:p w14:paraId="76CBB799" w14:textId="77777777" w:rsidR="00C35761" w:rsidRPr="00C35761" w:rsidRDefault="00C35761" w:rsidP="00C35761"/>
    <w:p w14:paraId="4F9A3B61" w14:textId="196D6805" w:rsidR="00246496" w:rsidRPr="00C35761" w:rsidRDefault="00246496" w:rsidP="00246496">
      <w:pPr>
        <w:spacing w:after="40" w:line="360" w:lineRule="auto"/>
        <w:jc w:val="center"/>
        <w:rPr>
          <w:rFonts w:cs="Arial"/>
          <w:b/>
        </w:rPr>
      </w:pPr>
      <w:r w:rsidRPr="00C35761">
        <w:rPr>
          <w:rFonts w:cs="Arial"/>
          <w:b/>
        </w:rPr>
        <w:t>Table of Content</w:t>
      </w:r>
    </w:p>
    <w:tbl>
      <w:tblPr>
        <w:tblStyle w:val="TableGrid"/>
        <w:tblW w:w="9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  <w:gridCol w:w="7588"/>
        <w:gridCol w:w="750"/>
      </w:tblGrid>
      <w:tr w:rsidR="00C35761" w:rsidRPr="002B5609" w14:paraId="4059C4A4" w14:textId="77777777" w:rsidTr="002B5609">
        <w:tc>
          <w:tcPr>
            <w:tcW w:w="1440" w:type="dxa"/>
          </w:tcPr>
          <w:p w14:paraId="42DB3046" w14:textId="1226A053" w:rsidR="00C35761" w:rsidRPr="002B5609" w:rsidRDefault="00C35761" w:rsidP="00B12CFE">
            <w:pPr>
              <w:spacing w:after="40" w:line="360" w:lineRule="auto"/>
              <w:rPr>
                <w:rFonts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7588" w:type="dxa"/>
          </w:tcPr>
          <w:p w14:paraId="6DD7CBC3" w14:textId="26B0B534" w:rsidR="00C35761" w:rsidRPr="002B5609" w:rsidRDefault="00C35761" w:rsidP="00B12CFE">
            <w:pPr>
              <w:spacing w:after="40" w:line="36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750" w:type="dxa"/>
          </w:tcPr>
          <w:p w14:paraId="0AB0EBFB" w14:textId="77777777" w:rsidR="00C35761" w:rsidRPr="002B5609" w:rsidRDefault="00C35761" w:rsidP="00B12CFE">
            <w:pPr>
              <w:spacing w:after="40" w:line="360" w:lineRule="auto"/>
              <w:jc w:val="right"/>
              <w:rPr>
                <w:rFonts w:cs="Arial"/>
                <w:bCs/>
                <w:sz w:val="24"/>
                <w:szCs w:val="24"/>
              </w:rPr>
            </w:pPr>
            <w:r w:rsidRPr="002B5609">
              <w:rPr>
                <w:rFonts w:cs="Arial"/>
                <w:bCs/>
                <w:sz w:val="24"/>
                <w:szCs w:val="24"/>
              </w:rPr>
              <w:t>page</w:t>
            </w:r>
          </w:p>
        </w:tc>
      </w:tr>
      <w:tr w:rsidR="00C35761" w:rsidRPr="002B5609" w14:paraId="20C545FE" w14:textId="77777777" w:rsidTr="00413A82">
        <w:tc>
          <w:tcPr>
            <w:tcW w:w="1440" w:type="dxa"/>
          </w:tcPr>
          <w:p w14:paraId="4ED993DB" w14:textId="2FD0C790" w:rsidR="00C35761" w:rsidRPr="002B5609" w:rsidRDefault="00C35761" w:rsidP="002B5609">
            <w:pPr>
              <w:spacing w:after="120"/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</w:pP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fldChar w:fldCharType="begin"/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instrText xml:space="preserve"> REF Figure_S1 \h </w:instrText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instrText xml:space="preserve"> \* MERGEFORMAT </w:instrText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fldChar w:fldCharType="separate"/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t xml:space="preserve">Figure </w:t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t>S</w:t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t>1</w:t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fldChar w:fldCharType="end"/>
            </w:r>
          </w:p>
        </w:tc>
        <w:tc>
          <w:tcPr>
            <w:tcW w:w="7588" w:type="dxa"/>
          </w:tcPr>
          <w:p w14:paraId="0C0A0EF4" w14:textId="7B258A92" w:rsidR="00C35761" w:rsidRPr="002B5609" w:rsidRDefault="00272C32" w:rsidP="002B5609">
            <w:pPr>
              <w:spacing w:after="120"/>
              <w:rPr>
                <w:rFonts w:cs="Arial"/>
                <w:b/>
                <w:sz w:val="24"/>
                <w:szCs w:val="24"/>
              </w:rPr>
            </w:pPr>
            <w:r w:rsidRPr="002B5609">
              <w:rPr>
                <w:sz w:val="24"/>
                <w:szCs w:val="24"/>
              </w:rPr>
              <w:t>Geographic extent of the Eastern Temperate Forests terrestrial ecological region of North America</w:t>
            </w:r>
          </w:p>
        </w:tc>
        <w:tc>
          <w:tcPr>
            <w:tcW w:w="750" w:type="dxa"/>
            <w:vAlign w:val="center"/>
          </w:tcPr>
          <w:p w14:paraId="78EC6AAC" w14:textId="77777777" w:rsidR="00C35761" w:rsidRPr="002B5609" w:rsidRDefault="00C35761" w:rsidP="00413A82">
            <w:pPr>
              <w:spacing w:after="40" w:line="360" w:lineRule="auto"/>
              <w:jc w:val="right"/>
              <w:rPr>
                <w:rFonts w:cs="Arial"/>
                <w:bCs/>
                <w:sz w:val="24"/>
                <w:szCs w:val="24"/>
              </w:rPr>
            </w:pPr>
            <w:r w:rsidRPr="002B5609">
              <w:rPr>
                <w:rFonts w:cs="Arial"/>
                <w:bCs/>
                <w:sz w:val="24"/>
                <w:szCs w:val="24"/>
              </w:rPr>
              <w:t>2</w:t>
            </w:r>
          </w:p>
        </w:tc>
      </w:tr>
      <w:tr w:rsidR="00272C32" w:rsidRPr="002B5609" w14:paraId="5F492BD1" w14:textId="77777777" w:rsidTr="002B5609">
        <w:tc>
          <w:tcPr>
            <w:tcW w:w="1440" w:type="dxa"/>
          </w:tcPr>
          <w:p w14:paraId="56008E1E" w14:textId="77777777" w:rsidR="00272C32" w:rsidRPr="002B5609" w:rsidRDefault="00272C32" w:rsidP="002B5609">
            <w:pPr>
              <w:spacing w:after="120"/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</w:pPr>
          </w:p>
        </w:tc>
        <w:tc>
          <w:tcPr>
            <w:tcW w:w="7588" w:type="dxa"/>
          </w:tcPr>
          <w:p w14:paraId="6E590956" w14:textId="77777777" w:rsidR="00272C32" w:rsidRPr="002B5609" w:rsidRDefault="00272C32" w:rsidP="002B5609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750" w:type="dxa"/>
          </w:tcPr>
          <w:p w14:paraId="68C817E2" w14:textId="77777777" w:rsidR="00272C32" w:rsidRPr="002B5609" w:rsidRDefault="00272C32" w:rsidP="00B12CFE">
            <w:pPr>
              <w:spacing w:after="40" w:line="360" w:lineRule="auto"/>
              <w:jc w:val="right"/>
              <w:rPr>
                <w:rFonts w:cs="Arial"/>
                <w:bCs/>
                <w:sz w:val="24"/>
                <w:szCs w:val="24"/>
              </w:rPr>
            </w:pPr>
          </w:p>
        </w:tc>
      </w:tr>
      <w:tr w:rsidR="00272C32" w:rsidRPr="002B5609" w14:paraId="0FE1C68A" w14:textId="77777777" w:rsidTr="002B5609">
        <w:tc>
          <w:tcPr>
            <w:tcW w:w="1440" w:type="dxa"/>
          </w:tcPr>
          <w:p w14:paraId="58D30AF5" w14:textId="6E54063A" w:rsidR="00272C32" w:rsidRPr="002B5609" w:rsidRDefault="00272C32" w:rsidP="002B5609">
            <w:pPr>
              <w:spacing w:after="120"/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</w:pPr>
          </w:p>
        </w:tc>
        <w:tc>
          <w:tcPr>
            <w:tcW w:w="7588" w:type="dxa"/>
          </w:tcPr>
          <w:p w14:paraId="33583F22" w14:textId="5203A0D3" w:rsidR="00272C32" w:rsidRPr="002B5609" w:rsidRDefault="00272C32" w:rsidP="002B5609">
            <w:pPr>
              <w:spacing w:after="120"/>
              <w:rPr>
                <w:b/>
                <w:bCs/>
                <w:sz w:val="24"/>
                <w:szCs w:val="24"/>
              </w:rPr>
            </w:pPr>
            <w:r w:rsidRPr="002B5609">
              <w:rPr>
                <w:b/>
                <w:bCs/>
                <w:sz w:val="24"/>
                <w:szCs w:val="24"/>
              </w:rPr>
              <w:t>Absolute VPI of select North American WNV vector species</w:t>
            </w:r>
          </w:p>
        </w:tc>
        <w:tc>
          <w:tcPr>
            <w:tcW w:w="750" w:type="dxa"/>
          </w:tcPr>
          <w:p w14:paraId="5B7AC4EE" w14:textId="77777777" w:rsidR="00272C32" w:rsidRPr="002B5609" w:rsidRDefault="00272C32" w:rsidP="00B12CFE">
            <w:pPr>
              <w:spacing w:after="40" w:line="360" w:lineRule="auto"/>
              <w:jc w:val="right"/>
              <w:rPr>
                <w:rFonts w:cs="Arial"/>
                <w:bCs/>
                <w:sz w:val="24"/>
                <w:szCs w:val="24"/>
              </w:rPr>
            </w:pPr>
          </w:p>
        </w:tc>
      </w:tr>
      <w:tr w:rsidR="00C35761" w:rsidRPr="002B5609" w14:paraId="3F2830F9" w14:textId="77777777" w:rsidTr="00413A82">
        <w:tc>
          <w:tcPr>
            <w:tcW w:w="1440" w:type="dxa"/>
          </w:tcPr>
          <w:p w14:paraId="543D200F" w14:textId="287FE21F" w:rsidR="00C35761" w:rsidRPr="002B5609" w:rsidRDefault="002B5609" w:rsidP="00413A82">
            <w:pPr>
              <w:spacing w:after="120"/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</w:pP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fldChar w:fldCharType="begin"/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instrText xml:space="preserve"> REF Material_S1 \h </w:instrText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instrText xml:space="preserve"> \* MERGEFORMAT </w:instrText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fldChar w:fldCharType="separate"/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t>Material S1</w:t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fldChar w:fldCharType="end"/>
            </w:r>
          </w:p>
        </w:tc>
        <w:tc>
          <w:tcPr>
            <w:tcW w:w="7588" w:type="dxa"/>
          </w:tcPr>
          <w:p w14:paraId="4803B47E" w14:textId="55BEE0ED" w:rsidR="00C35761" w:rsidRPr="002B5609" w:rsidRDefault="002B5609" w:rsidP="00413A82">
            <w:pPr>
              <w:spacing w:after="120"/>
              <w:rPr>
                <w:rFonts w:cs="Arial"/>
                <w:b/>
                <w:sz w:val="24"/>
                <w:szCs w:val="24"/>
              </w:rPr>
            </w:pPr>
            <w:r w:rsidRPr="002B5609">
              <w:rPr>
                <w:rFonts w:cs="Arial"/>
                <w:sz w:val="24"/>
                <w:szCs w:val="24"/>
              </w:rPr>
              <w:t xml:space="preserve">Description of included data and </w:t>
            </w:r>
            <w:r w:rsidRPr="002B5609">
              <w:rPr>
                <w:rFonts w:cs="Arial"/>
                <w:sz w:val="24"/>
                <w:szCs w:val="24"/>
              </w:rPr>
              <w:t>distribution of variance across study outcomes</w:t>
            </w:r>
            <w:r w:rsidRPr="002B5609">
              <w:rPr>
                <w:rFonts w:cs="Arial"/>
                <w:sz w:val="24"/>
                <w:szCs w:val="24"/>
              </w:rPr>
              <w:t xml:space="preserve">, </w:t>
            </w:r>
            <w:r w:rsidRPr="002B5609">
              <w:rPr>
                <w:rFonts w:cs="Arial"/>
                <w:sz w:val="24"/>
                <w:szCs w:val="24"/>
              </w:rPr>
              <w:t xml:space="preserve">as quantified by </w:t>
            </w:r>
            <w:r w:rsidRPr="002B5609">
              <w:rPr>
                <w:rFonts w:cs="Arial"/>
                <w:i/>
                <w:iCs/>
                <w:sz w:val="24"/>
                <w:szCs w:val="24"/>
              </w:rPr>
              <w:t>I</w:t>
            </w:r>
            <w:r w:rsidRPr="002B5609">
              <w:rPr>
                <w:rFonts w:cs="Arial"/>
                <w:i/>
                <w:i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50" w:type="dxa"/>
            <w:vAlign w:val="bottom"/>
          </w:tcPr>
          <w:p w14:paraId="513025D5" w14:textId="5BC2208D" w:rsidR="00C35761" w:rsidRPr="002B5609" w:rsidRDefault="002B5609" w:rsidP="00413A82">
            <w:pPr>
              <w:spacing w:after="120" w:line="360" w:lineRule="auto"/>
              <w:jc w:val="right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3</w:t>
            </w:r>
          </w:p>
        </w:tc>
      </w:tr>
      <w:tr w:rsidR="00C35761" w:rsidRPr="002B5609" w14:paraId="30FE3697" w14:textId="77777777" w:rsidTr="00413A82">
        <w:tc>
          <w:tcPr>
            <w:tcW w:w="1440" w:type="dxa"/>
          </w:tcPr>
          <w:p w14:paraId="03EB9D13" w14:textId="3A4CB881" w:rsidR="00C35761" w:rsidRPr="002B5609" w:rsidRDefault="00C35761" w:rsidP="00413A82">
            <w:pPr>
              <w:spacing w:after="120"/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</w:pP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fldChar w:fldCharType="begin"/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instrText xml:space="preserve"> REF Table_S1 \h </w:instrText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instrText xml:space="preserve"> \* MERGEFORMAT </w:instrText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fldChar w:fldCharType="separate"/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t>Table S</w:t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t>1</w:t>
            </w:r>
            <w:r w:rsidRPr="002B5609">
              <w:rPr>
                <w:rFonts w:cs="Arial"/>
                <w:bCs/>
                <w:color w:val="215E99" w:themeColor="text2" w:themeTint="BF"/>
                <w:sz w:val="24"/>
                <w:szCs w:val="24"/>
                <w:u w:val="single"/>
              </w:rPr>
              <w:fldChar w:fldCharType="end"/>
            </w:r>
          </w:p>
        </w:tc>
        <w:tc>
          <w:tcPr>
            <w:tcW w:w="7588" w:type="dxa"/>
          </w:tcPr>
          <w:p w14:paraId="00F58280" w14:textId="2D29ABFA" w:rsidR="00C35761" w:rsidRPr="002B5609" w:rsidRDefault="002B5609" w:rsidP="00413A82">
            <w:pPr>
              <w:spacing w:after="120"/>
              <w:rPr>
                <w:rFonts w:cs="Arial"/>
                <w:b/>
                <w:sz w:val="24"/>
                <w:szCs w:val="24"/>
              </w:rPr>
            </w:pPr>
            <w:r w:rsidRPr="002B5609">
              <w:rPr>
                <w:rFonts w:cs="Arial"/>
                <w:sz w:val="24"/>
                <w:szCs w:val="24"/>
              </w:rPr>
              <w:t>Absolute enzootic and epizootic WNV VPI of select mosquito vector species of North America.</w:t>
            </w:r>
          </w:p>
        </w:tc>
        <w:tc>
          <w:tcPr>
            <w:tcW w:w="750" w:type="dxa"/>
            <w:vAlign w:val="bottom"/>
          </w:tcPr>
          <w:p w14:paraId="659C1C80" w14:textId="3E7B0912" w:rsidR="00C35761" w:rsidRPr="002B5609" w:rsidRDefault="002B5609" w:rsidP="00413A82">
            <w:pPr>
              <w:spacing w:after="120" w:line="360" w:lineRule="auto"/>
              <w:jc w:val="right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4</w:t>
            </w:r>
          </w:p>
        </w:tc>
      </w:tr>
      <w:tr w:rsidR="00C35761" w:rsidRPr="002B5609" w14:paraId="04C136D2" w14:textId="77777777" w:rsidTr="00413A82">
        <w:tc>
          <w:tcPr>
            <w:tcW w:w="1440" w:type="dxa"/>
          </w:tcPr>
          <w:p w14:paraId="238106DD" w14:textId="2236EA8C" w:rsidR="00C35761" w:rsidRPr="002B5609" w:rsidRDefault="00C35761" w:rsidP="00413A82">
            <w:pPr>
              <w:spacing w:after="120"/>
              <w:rPr>
                <w:rFonts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7588" w:type="dxa"/>
          </w:tcPr>
          <w:p w14:paraId="27F1151E" w14:textId="04B7BE68" w:rsidR="00C35761" w:rsidRPr="002B5609" w:rsidRDefault="002B5609" w:rsidP="00413A82">
            <w:pPr>
              <w:spacing w:after="120"/>
              <w:rPr>
                <w:rFonts w:cs="Arial"/>
                <w:sz w:val="24"/>
                <w:szCs w:val="24"/>
              </w:rPr>
            </w:pPr>
            <w:r w:rsidRPr="002B5609">
              <w:rPr>
                <w:rFonts w:cs="Arial"/>
                <w:sz w:val="24"/>
                <w:szCs w:val="24"/>
              </w:rPr>
              <w:t xml:space="preserve">References </w:t>
            </w:r>
            <w:proofErr w:type="gramStart"/>
            <w:r w:rsidR="00413A82">
              <w:rPr>
                <w:rFonts w:cs="Arial"/>
                <w:sz w:val="24"/>
                <w:szCs w:val="24"/>
              </w:rPr>
              <w:t>of</w:t>
            </w:r>
            <w:proofErr w:type="gramEnd"/>
            <w:r w:rsidRPr="002B5609">
              <w:rPr>
                <w:rFonts w:cs="Arial"/>
                <w:sz w:val="24"/>
                <w:szCs w:val="24"/>
              </w:rPr>
              <w:t xml:space="preserve"> </w:t>
            </w:r>
            <w:r w:rsidR="00413A82">
              <w:rPr>
                <w:rFonts w:cs="Arial"/>
                <w:sz w:val="24"/>
                <w:szCs w:val="24"/>
              </w:rPr>
              <w:t xml:space="preserve">additional </w:t>
            </w:r>
            <w:r w:rsidRPr="002B5609">
              <w:rPr>
                <w:rFonts w:cs="Arial"/>
                <w:sz w:val="24"/>
                <w:szCs w:val="24"/>
              </w:rPr>
              <w:t xml:space="preserve">data </w:t>
            </w:r>
            <w:r w:rsidR="00413A82">
              <w:rPr>
                <w:rFonts w:cs="Arial"/>
                <w:sz w:val="24"/>
                <w:szCs w:val="24"/>
              </w:rPr>
              <w:t>sources</w:t>
            </w:r>
          </w:p>
        </w:tc>
        <w:tc>
          <w:tcPr>
            <w:tcW w:w="750" w:type="dxa"/>
            <w:vAlign w:val="bottom"/>
          </w:tcPr>
          <w:p w14:paraId="66C3E8A7" w14:textId="5A917EDB" w:rsidR="00C35761" w:rsidRPr="002B5609" w:rsidRDefault="002B5609" w:rsidP="00413A82">
            <w:pPr>
              <w:spacing w:after="120" w:line="360" w:lineRule="auto"/>
              <w:jc w:val="right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5</w:t>
            </w:r>
          </w:p>
        </w:tc>
      </w:tr>
    </w:tbl>
    <w:p w14:paraId="24FC7910" w14:textId="77777777" w:rsidR="00C35761" w:rsidRDefault="00C35761" w:rsidP="00246496">
      <w:pPr>
        <w:spacing w:after="40" w:line="360" w:lineRule="auto"/>
        <w:jc w:val="center"/>
        <w:rPr>
          <w:rFonts w:ascii="Times New Roman" w:hAnsi="Times New Roman"/>
          <w:b/>
        </w:rPr>
      </w:pPr>
    </w:p>
    <w:p w14:paraId="40C9680B" w14:textId="77777777" w:rsidR="00141A13" w:rsidRDefault="00141A13">
      <w:pPr>
        <w:spacing w:after="160" w:line="278" w:lineRule="auto"/>
        <w:rPr>
          <w:b/>
        </w:rPr>
      </w:pPr>
      <w:r>
        <w:rPr>
          <w:b/>
        </w:rPr>
        <w:br w:type="page"/>
      </w:r>
    </w:p>
    <w:p w14:paraId="6FFC17FD" w14:textId="77777777" w:rsidR="00EA7B72" w:rsidRDefault="00EA7B72">
      <w:pPr>
        <w:spacing w:after="160" w:line="278" w:lineRule="auto"/>
        <w:rPr>
          <w:b/>
        </w:rPr>
      </w:pPr>
      <w:r>
        <w:rPr>
          <w:b/>
          <w:noProof/>
          <w14:ligatures w14:val="standardContextual"/>
        </w:rPr>
        <w:lastRenderedPageBreak/>
        <w:drawing>
          <wp:inline distT="0" distB="0" distL="0" distR="0" wp14:anchorId="666A26AF" wp14:editId="00EF1377">
            <wp:extent cx="5854458" cy="3413005"/>
            <wp:effectExtent l="0" t="0" r="0" b="0"/>
            <wp:docPr id="1469516084" name="Picture 1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516084" name="Picture 1" descr="A map of the united state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4458" cy="341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55D69" w14:textId="4E3A81EA" w:rsidR="00CC030D" w:rsidRDefault="00EA7B72" w:rsidP="00F92B5D">
      <w:pPr>
        <w:ind w:left="1080" w:hanging="1080"/>
        <w:rPr>
          <w:b/>
        </w:rPr>
      </w:pPr>
      <w:bookmarkStart w:id="1" w:name="Figure_S1"/>
      <w:r>
        <w:t xml:space="preserve">Figure </w:t>
      </w:r>
      <w:r>
        <w:t>S</w:t>
      </w:r>
      <w:r>
        <w:t>1</w:t>
      </w:r>
      <w:bookmarkEnd w:id="1"/>
      <w:r>
        <w:t xml:space="preserve">. </w:t>
      </w:r>
      <w:r>
        <w:t xml:space="preserve">Geographic extent of the </w:t>
      </w:r>
      <w:r>
        <w:t xml:space="preserve">Eastern Temperate Forests terrestrial ecological </w:t>
      </w:r>
      <w:r w:rsidRPr="00C35761">
        <w:t>region of North America</w:t>
      </w:r>
      <w:r w:rsidRPr="00C35761">
        <w:t>. L</w:t>
      </w:r>
      <w:r w:rsidRPr="00C35761">
        <w:t xml:space="preserve">evel I ecological region </w:t>
      </w:r>
      <w:r w:rsidRPr="00C35761">
        <w:t>shapefile available through</w:t>
      </w:r>
      <w:r w:rsidRPr="00C35761">
        <w:t xml:space="preserve"> the Commission for Environmental Cooperation</w:t>
      </w:r>
      <w:r w:rsidRPr="00C35761">
        <w:t xml:space="preserve">’s </w:t>
      </w:r>
      <w:r w:rsidRPr="00C35761">
        <w:t>North American Environmental Atlas</w:t>
      </w:r>
      <w:r w:rsidRPr="00C35761">
        <w:t xml:space="preserve"> (</w:t>
      </w:r>
      <w:hyperlink r:id="rId8" w:history="1">
        <w:r w:rsidR="00C35761" w:rsidRPr="00393B72">
          <w:rPr>
            <w:rStyle w:val="Hyperlink"/>
          </w:rPr>
          <w:t>http://www.cec.org</w:t>
        </w:r>
      </w:hyperlink>
      <w:r w:rsidR="00C35761" w:rsidRPr="00C35761">
        <w:t>).</w:t>
      </w:r>
      <w:r w:rsidR="00C35761">
        <w:t xml:space="preserve"> </w:t>
      </w:r>
      <w:r w:rsidRPr="00EA7B72">
        <w:t>Background aerial map</w:t>
      </w:r>
      <w:r w:rsidR="00C35761" w:rsidRPr="00C35761">
        <w:t xml:space="preserve"> </w:t>
      </w:r>
      <w:r w:rsidRPr="00EA7B72">
        <w:t>Earth Start Geographics SIO, Microsoft Corporation</w:t>
      </w:r>
      <w:r w:rsidR="00C35761" w:rsidRPr="00C35761">
        <w:t xml:space="preserve"> </w:t>
      </w:r>
      <w:r w:rsidRPr="00EA7B72">
        <w:t>© 2024, available through Bing Maps and accessed through</w:t>
      </w:r>
      <w:r w:rsidR="00C35761" w:rsidRPr="00C35761">
        <w:t xml:space="preserve"> </w:t>
      </w:r>
      <w:r w:rsidRPr="00C35761">
        <w:t>QGIS v 3.16.16.</w:t>
      </w:r>
      <w:r w:rsidR="00CC030D">
        <w:rPr>
          <w:b/>
        </w:rPr>
        <w:br w:type="page"/>
      </w:r>
    </w:p>
    <w:p w14:paraId="23777520" w14:textId="64F7BAC8" w:rsidR="00033EA4" w:rsidRDefault="00033EA4" w:rsidP="00033EA4">
      <w:pPr>
        <w:pStyle w:val="013TableCaption"/>
        <w:spacing w:line="480" w:lineRule="auto"/>
        <w:rPr>
          <w:b/>
        </w:rPr>
      </w:pPr>
      <w:bookmarkStart w:id="2" w:name="Material_S2"/>
      <w:bookmarkStart w:id="3" w:name="Material_S1"/>
      <w:r w:rsidRPr="000B7AC0">
        <w:rPr>
          <w:b/>
        </w:rPr>
        <w:lastRenderedPageBreak/>
        <w:t>Material</w:t>
      </w:r>
      <w:r w:rsidR="00B42BD0">
        <w:rPr>
          <w:b/>
        </w:rPr>
        <w:t xml:space="preserve"> S</w:t>
      </w:r>
      <w:bookmarkEnd w:id="2"/>
      <w:r w:rsidR="00C35761">
        <w:rPr>
          <w:b/>
        </w:rPr>
        <w:t>1</w:t>
      </w:r>
      <w:bookmarkEnd w:id="3"/>
      <w:r>
        <w:rPr>
          <w:b/>
        </w:rPr>
        <w:t>: Absolute VPI of select North American WNV vector species</w:t>
      </w:r>
    </w:p>
    <w:p w14:paraId="62ECA384" w14:textId="402C13C1" w:rsidR="00033EA4" w:rsidRDefault="00033EA4" w:rsidP="00033EA4">
      <w:pPr>
        <w:spacing w:line="480" w:lineRule="auto"/>
      </w:pPr>
      <w:r w:rsidRPr="000B7AC0">
        <w:t>To</w:t>
      </w:r>
      <w:r>
        <w:t xml:space="preserve"> compare WNV vector potential of </w:t>
      </w:r>
      <w:r>
        <w:rPr>
          <w:i/>
          <w:iCs/>
        </w:rPr>
        <w:t xml:space="preserve">Culex tarsalis </w:t>
      </w:r>
      <w:r>
        <w:t xml:space="preserve">with vector species of the Eastern </w:t>
      </w:r>
      <w:r w:rsidRPr="00B42BD0">
        <w:t>Temperate Forests ecoregion, we quantified VPI</w:t>
      </w:r>
      <w:r w:rsidR="00B42BD0" w:rsidRPr="00B42BD0">
        <w:rPr>
          <w:vertAlign w:val="subscript"/>
        </w:rPr>
        <w:t>10</w:t>
      </w:r>
      <w:r w:rsidRPr="00B42BD0">
        <w:t xml:space="preserve"> of these species (Table S</w:t>
      </w:r>
      <w:r w:rsidR="00B42BD0" w:rsidRPr="00B42BD0">
        <w:t>1</w:t>
      </w:r>
      <w:r w:rsidRPr="00B42BD0">
        <w:t xml:space="preserve">). Overall proportions of host use were calculated using blood-meal analysis data that met all inclusion criteria outlined in the methods except population origin, where we expanded the acceptable area of origin to </w:t>
      </w:r>
      <w:r w:rsidR="00CC030D">
        <w:t xml:space="preserve">the contiguous United States. </w:t>
      </w:r>
      <w:r w:rsidRPr="00B42BD0">
        <w:t xml:space="preserve">Additional </w:t>
      </w:r>
      <w:r w:rsidR="00246496" w:rsidRPr="00B42BD0">
        <w:t>data sources</w:t>
      </w:r>
      <w:r w:rsidRPr="00B42BD0">
        <w:t xml:space="preserve"> included in the analysis are identified </w:t>
      </w:r>
      <w:r w:rsidR="00246496" w:rsidRPr="00B42BD0">
        <w:t>below</w:t>
      </w:r>
      <w:r w:rsidRPr="00B42BD0">
        <w:t xml:space="preserve"> Table S</w:t>
      </w:r>
      <w:r w:rsidR="00B42BD0" w:rsidRPr="00B42BD0">
        <w:t>1</w:t>
      </w:r>
      <w:r w:rsidRPr="00B42BD0">
        <w:t>.</w:t>
      </w:r>
      <w:r>
        <w:t xml:space="preserve"> Heterogeneity across included host use studies and overall proportions for each vector species were quantified as described in the main manuscript. </w:t>
      </w:r>
    </w:p>
    <w:p w14:paraId="38B5E9D3" w14:textId="1CEEB50D" w:rsidR="00871BA0" w:rsidRDefault="00033EA4" w:rsidP="00B63A10">
      <w:pPr>
        <w:spacing w:line="480" w:lineRule="auto"/>
        <w:ind w:firstLine="720"/>
      </w:pPr>
      <w:r w:rsidRPr="000B7AC0">
        <w:t>A substantial amount of variance in the host use data set was not attributed to chance (</w:t>
      </w:r>
      <w:r w:rsidRPr="000B7AC0">
        <w:rPr>
          <w:i/>
          <w:iCs/>
        </w:rPr>
        <w:t>I</w:t>
      </w:r>
      <w:r w:rsidRPr="000B7AC0">
        <w:rPr>
          <w:i/>
          <w:iCs/>
          <w:vertAlign w:val="superscript"/>
        </w:rPr>
        <w:t>2</w:t>
      </w:r>
      <w:r w:rsidRPr="000B7AC0">
        <w:t> </w:t>
      </w:r>
      <w:r w:rsidR="00141A13">
        <w:rPr>
          <w:rFonts w:cs="Arial"/>
        </w:rPr>
        <w:t>=</w:t>
      </w:r>
      <w:r w:rsidRPr="000B7AC0">
        <w:t xml:space="preserve"> 99%). For both the avian and mammalian host use subset, </w:t>
      </w:r>
      <w:r w:rsidR="00871BA0">
        <w:t xml:space="preserve">this variance </w:t>
      </w:r>
      <w:r w:rsidRPr="000B7AC0">
        <w:t>was largely explained by differences in the mosquito species investigated (</w:t>
      </w:r>
      <w:r w:rsidRPr="000B7AC0">
        <w:rPr>
          <w:i/>
          <w:iCs/>
        </w:rPr>
        <w:t>I</w:t>
      </w:r>
      <w:r w:rsidRPr="000B7AC0">
        <w:rPr>
          <w:i/>
          <w:iCs/>
          <w:vertAlign w:val="superscript"/>
        </w:rPr>
        <w:t>2</w:t>
      </w:r>
      <w:r w:rsidRPr="000B7AC0">
        <w:t> = </w:t>
      </w:r>
      <w:r w:rsidR="00141A13">
        <w:t>53</w:t>
      </w:r>
      <w:r w:rsidRPr="000B7AC0">
        <w:t xml:space="preserve">% and </w:t>
      </w:r>
      <w:r w:rsidRPr="000B7AC0">
        <w:rPr>
          <w:i/>
          <w:iCs/>
        </w:rPr>
        <w:t>I</w:t>
      </w:r>
      <w:r w:rsidRPr="000B7AC0">
        <w:rPr>
          <w:i/>
          <w:iCs/>
          <w:vertAlign w:val="superscript"/>
        </w:rPr>
        <w:t>2</w:t>
      </w:r>
      <w:r w:rsidRPr="000B7AC0">
        <w:t> = </w:t>
      </w:r>
      <w:r w:rsidR="00141A13">
        <w:t>57</w:t>
      </w:r>
      <w:r w:rsidRPr="000B7AC0">
        <w:t xml:space="preserve">%), </w:t>
      </w:r>
      <w:r w:rsidR="00871BA0">
        <w:t xml:space="preserve">while a lower amount of variance </w:t>
      </w:r>
      <w:r w:rsidR="00871BA0">
        <w:t xml:space="preserve">was </w:t>
      </w:r>
      <w:r w:rsidR="00871BA0">
        <w:t>explained</w:t>
      </w:r>
      <w:r w:rsidR="00871BA0">
        <w:t xml:space="preserve"> by </w:t>
      </w:r>
      <w:r w:rsidR="00871BA0">
        <w:t xml:space="preserve">between-study </w:t>
      </w:r>
      <w:r w:rsidR="00871BA0" w:rsidRPr="000B7AC0">
        <w:t>(</w:t>
      </w:r>
      <w:r w:rsidR="00871BA0" w:rsidRPr="000B7AC0">
        <w:rPr>
          <w:i/>
          <w:iCs/>
        </w:rPr>
        <w:t>I</w:t>
      </w:r>
      <w:r w:rsidR="00871BA0" w:rsidRPr="000B7AC0">
        <w:rPr>
          <w:i/>
          <w:iCs/>
          <w:vertAlign w:val="superscript"/>
        </w:rPr>
        <w:t>2</w:t>
      </w:r>
      <w:r w:rsidR="00871BA0" w:rsidRPr="000B7AC0">
        <w:t> = </w:t>
      </w:r>
      <w:r w:rsidR="00871BA0">
        <w:t>3</w:t>
      </w:r>
      <w:r w:rsidR="00871BA0">
        <w:t>5</w:t>
      </w:r>
      <w:r w:rsidR="00871BA0" w:rsidRPr="000B7AC0">
        <w:t xml:space="preserve">% and </w:t>
      </w:r>
      <w:r w:rsidR="00871BA0" w:rsidRPr="000B7AC0">
        <w:rPr>
          <w:i/>
          <w:iCs/>
        </w:rPr>
        <w:t>I</w:t>
      </w:r>
      <w:r w:rsidR="00871BA0" w:rsidRPr="000B7AC0">
        <w:rPr>
          <w:i/>
          <w:iCs/>
          <w:vertAlign w:val="superscript"/>
        </w:rPr>
        <w:t>2</w:t>
      </w:r>
      <w:r w:rsidR="00871BA0" w:rsidRPr="000B7AC0">
        <w:t> = </w:t>
      </w:r>
      <w:r w:rsidR="00871BA0">
        <w:t>26</w:t>
      </w:r>
      <w:r w:rsidR="00871BA0" w:rsidRPr="000B7AC0">
        <w:t>%)</w:t>
      </w:r>
      <w:r w:rsidR="00871BA0">
        <w:t xml:space="preserve"> </w:t>
      </w:r>
      <w:r w:rsidR="00871BA0">
        <w:t>and within</w:t>
      </w:r>
      <w:r w:rsidR="00691E3C">
        <w:t>-</w:t>
      </w:r>
      <w:r w:rsidR="00871BA0">
        <w:t>study (</w:t>
      </w:r>
      <w:r w:rsidR="00871BA0" w:rsidRPr="000B7AC0">
        <w:rPr>
          <w:i/>
          <w:iCs/>
        </w:rPr>
        <w:t>I</w:t>
      </w:r>
      <w:r w:rsidR="00871BA0" w:rsidRPr="000B7AC0">
        <w:rPr>
          <w:i/>
          <w:iCs/>
          <w:vertAlign w:val="superscript"/>
        </w:rPr>
        <w:t>2</w:t>
      </w:r>
      <w:r w:rsidR="00871BA0" w:rsidRPr="000B7AC0">
        <w:t> = 1</w:t>
      </w:r>
      <w:r w:rsidR="00871BA0">
        <w:t>2</w:t>
      </w:r>
      <w:r w:rsidR="00871BA0" w:rsidRPr="000B7AC0">
        <w:t xml:space="preserve">% and </w:t>
      </w:r>
      <w:r w:rsidR="00871BA0" w:rsidRPr="000B7AC0">
        <w:rPr>
          <w:i/>
          <w:iCs/>
        </w:rPr>
        <w:t>I</w:t>
      </w:r>
      <w:r w:rsidR="00871BA0" w:rsidRPr="000B7AC0">
        <w:rPr>
          <w:i/>
          <w:iCs/>
          <w:vertAlign w:val="superscript"/>
        </w:rPr>
        <w:t>2</w:t>
      </w:r>
      <w:r w:rsidR="00871BA0" w:rsidRPr="000B7AC0">
        <w:t> = 1</w:t>
      </w:r>
      <w:r w:rsidR="00871BA0">
        <w:t>6%)</w:t>
      </w:r>
      <w:r w:rsidR="00871BA0">
        <w:t xml:space="preserve"> differences, respectively</w:t>
      </w:r>
      <w:r w:rsidR="00CC030D">
        <w:t>.</w:t>
      </w:r>
      <w:r w:rsidR="00871BA0">
        <w:t xml:space="preserve"> </w:t>
      </w:r>
    </w:p>
    <w:p w14:paraId="1556CA88" w14:textId="43E62141" w:rsidR="004454AF" w:rsidRDefault="004454AF">
      <w:pPr>
        <w:spacing w:after="160" w:line="278" w:lineRule="auto"/>
      </w:pPr>
      <w:r>
        <w:br w:type="page"/>
      </w:r>
    </w:p>
    <w:p w14:paraId="6E968683" w14:textId="3DCE3930" w:rsidR="00691E3C" w:rsidRDefault="004454AF" w:rsidP="004454AF">
      <w:pPr>
        <w:pStyle w:val="013TableCaption"/>
      </w:pPr>
      <w:bookmarkStart w:id="4" w:name="Table_S1"/>
      <w:r w:rsidRPr="00B42BD0">
        <w:lastRenderedPageBreak/>
        <w:t>Table S</w:t>
      </w:r>
      <w:r w:rsidR="00B42BD0" w:rsidRPr="00B42BD0">
        <w:t>1</w:t>
      </w:r>
      <w:bookmarkEnd w:id="4"/>
      <w:r>
        <w:t xml:space="preserve">. Absolute enzootic and epizootic WNV VPI of select mosquito vector species of North America. </w:t>
      </w:r>
    </w:p>
    <w:tbl>
      <w:tblPr>
        <w:tblW w:w="9553" w:type="dxa"/>
        <w:tblLook w:val="04A0" w:firstRow="1" w:lastRow="0" w:firstColumn="1" w:lastColumn="0" w:noHBand="0" w:noVBand="1"/>
      </w:tblPr>
      <w:tblGrid>
        <w:gridCol w:w="2376"/>
        <w:gridCol w:w="528"/>
        <w:gridCol w:w="583"/>
        <w:gridCol w:w="773"/>
        <w:gridCol w:w="1306"/>
        <w:gridCol w:w="1006"/>
        <w:gridCol w:w="1008"/>
        <w:gridCol w:w="6"/>
        <w:gridCol w:w="955"/>
        <w:gridCol w:w="1006"/>
        <w:gridCol w:w="6"/>
      </w:tblGrid>
      <w:tr w:rsidR="008C3813" w:rsidRPr="004454AF" w14:paraId="2998340D" w14:textId="77777777" w:rsidTr="008C3813">
        <w:trPr>
          <w:trHeight w:val="300"/>
        </w:trPr>
        <w:tc>
          <w:tcPr>
            <w:tcW w:w="23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3339AA" w14:textId="77777777" w:rsidR="008C3813" w:rsidRPr="00691E3C" w:rsidRDefault="008C3813" w:rsidP="008C38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E70BC3B" w14:textId="3510ED27" w:rsidR="008C3813" w:rsidRDefault="008C3813" w:rsidP="008C38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4454AF">
              <w:rPr>
                <w:rFonts w:cs="Arial"/>
                <w:color w:val="000000"/>
                <w:sz w:val="20"/>
                <w:szCs w:val="20"/>
              </w:rPr>
              <w:t>Host use</w:t>
            </w:r>
          </w:p>
        </w:tc>
        <w:tc>
          <w:tcPr>
            <w:tcW w:w="3326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A3ECF5" w14:textId="6566C16A" w:rsidR="008C3813" w:rsidRPr="00691E3C" w:rsidRDefault="008C3813" w:rsidP="008C38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4454AF">
              <w:rPr>
                <w:rFonts w:cs="Arial"/>
                <w:color w:val="000000"/>
                <w:sz w:val="20"/>
                <w:szCs w:val="20"/>
              </w:rPr>
              <w:t>Overall proportion</w:t>
            </w:r>
          </w:p>
        </w:tc>
        <w:tc>
          <w:tcPr>
            <w:tcW w:w="1967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05C222F" w14:textId="3216EDF4" w:rsidR="008C3813" w:rsidRPr="00691E3C" w:rsidRDefault="008C3813" w:rsidP="008C38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4454AF">
              <w:rPr>
                <w:rFonts w:cs="Arial"/>
                <w:color w:val="000000"/>
                <w:sz w:val="20"/>
                <w:szCs w:val="20"/>
              </w:rPr>
              <w:t xml:space="preserve">Absolute </w:t>
            </w:r>
            <w:r w:rsidRPr="004454AF">
              <w:rPr>
                <w:sz w:val="20"/>
                <w:szCs w:val="20"/>
              </w:rPr>
              <w:t>VPI</w:t>
            </w:r>
            <w:r w:rsidRPr="004454AF">
              <w:rPr>
                <w:sz w:val="20"/>
                <w:szCs w:val="20"/>
                <w:vertAlign w:val="subscript"/>
              </w:rPr>
              <w:t>10</w:t>
            </w:r>
          </w:p>
        </w:tc>
      </w:tr>
      <w:tr w:rsidR="008C3813" w:rsidRPr="004454AF" w14:paraId="3D8A683E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010B3" w14:textId="77777777" w:rsidR="008C3813" w:rsidRPr="00691E3C" w:rsidRDefault="008C3813" w:rsidP="008C3813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5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DAAF2" w14:textId="77777777" w:rsidR="008C3813" w:rsidRPr="00691E3C" w:rsidRDefault="008C3813" w:rsidP="008C3813">
            <w:pPr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3F2EE" w14:textId="77777777" w:rsidR="008C3813" w:rsidRPr="00691E3C" w:rsidRDefault="008C3813" w:rsidP="008C3813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691E3C">
              <w:rPr>
                <w:rFonts w:cs="Arial"/>
                <w:color w:val="000000"/>
                <w:sz w:val="20"/>
                <w:szCs w:val="20"/>
              </w:rPr>
              <w:t>Obs</w:t>
            </w:r>
            <w:proofErr w:type="spellEnd"/>
          </w:p>
        </w:tc>
        <w:tc>
          <w:tcPr>
            <w:tcW w:w="773" w:type="dxa"/>
            <w:tcBorders>
              <w:bottom w:val="single" w:sz="4" w:space="0" w:color="auto"/>
            </w:tcBorders>
            <w:vAlign w:val="center"/>
          </w:tcPr>
          <w:p w14:paraId="756848E6" w14:textId="24B66386" w:rsidR="008C3813" w:rsidRPr="00691E3C" w:rsidRDefault="008C3813" w:rsidP="008C38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B9FAD" w14:textId="4A9947E7" w:rsidR="008C3813" w:rsidRPr="00691E3C" w:rsidRDefault="008C3813" w:rsidP="008C3813">
            <w:pPr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WNV vector competence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99C91" w14:textId="77777777" w:rsidR="008C3813" w:rsidRPr="00691E3C" w:rsidRDefault="008C3813" w:rsidP="008C3813">
            <w:pPr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Avian host use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85604" w14:textId="77777777" w:rsidR="008C3813" w:rsidRPr="00691E3C" w:rsidRDefault="008C3813" w:rsidP="008C3813">
            <w:pPr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Mammal host use</w:t>
            </w:r>
          </w:p>
        </w:tc>
        <w:tc>
          <w:tcPr>
            <w:tcW w:w="96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8D483" w14:textId="77777777" w:rsidR="008C3813" w:rsidRPr="00691E3C" w:rsidRDefault="008C3813" w:rsidP="008C38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enzootic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D5F37" w14:textId="77777777" w:rsidR="008C3813" w:rsidRPr="00691E3C" w:rsidRDefault="008C3813" w:rsidP="008C38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epizootic</w:t>
            </w:r>
          </w:p>
        </w:tc>
      </w:tr>
      <w:tr w:rsidR="008C3813" w:rsidRPr="004454AF" w14:paraId="5354B497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DF343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Psorophora</w:t>
            </w:r>
            <w:proofErr w:type="spellEnd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 ferox</w:t>
            </w:r>
          </w:p>
        </w:tc>
        <w:tc>
          <w:tcPr>
            <w:tcW w:w="5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9F18F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4D8D7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73" w:type="dxa"/>
            <w:tcBorders>
              <w:top w:val="single" w:sz="4" w:space="0" w:color="auto"/>
            </w:tcBorders>
          </w:tcPr>
          <w:p w14:paraId="69461C3A" w14:textId="6619DA26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743</w:t>
            </w:r>
          </w:p>
        </w:tc>
        <w:tc>
          <w:tcPr>
            <w:tcW w:w="13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6B14" w14:textId="3CC1938B" w:rsidR="008C3813" w:rsidRPr="00691E3C" w:rsidRDefault="008C3813" w:rsidP="004454AF">
            <w:pPr>
              <w:jc w:val="right"/>
              <w:rPr>
                <w:rFonts w:cs="Arial"/>
                <w:color w:val="FFFFFF" w:themeColor="background1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</w:t>
            </w:r>
            <w:r w:rsidRPr="004454AF">
              <w:rPr>
                <w:rFonts w:cs="Arial"/>
                <w:color w:val="FFFFFF" w:themeColor="background1"/>
                <w:sz w:val="20"/>
                <w:szCs w:val="20"/>
              </w:rPr>
              <w:t>.000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B8FDE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B1AEE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0.956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4E9CA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9AF3F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8C3813" w:rsidRPr="004454AF" w14:paraId="6275068D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73A0E13D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Aedes japonicus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7DEDDFEF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29B4E0EA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73" w:type="dxa"/>
          </w:tcPr>
          <w:p w14:paraId="7613D956" w14:textId="452C15DA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1B254C0C" w14:textId="41B5CA04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0.646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00E33670" w14:textId="6D3A9E1C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</w:t>
            </w:r>
            <w:r w:rsidRPr="004454AF">
              <w:rPr>
                <w:rFonts w:cs="Arial"/>
                <w:color w:val="FFFFFF" w:themeColor="background1"/>
                <w:sz w:val="20"/>
                <w:szCs w:val="20"/>
              </w:rPr>
              <w:t>.000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7AC2481" w14:textId="7CD09BF8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  <w:r w:rsidRPr="004454AF">
              <w:rPr>
                <w:rFonts w:cs="Arial"/>
                <w:color w:val="FFFFFF" w:themeColor="background1"/>
                <w:sz w:val="20"/>
                <w:szCs w:val="20"/>
              </w:rPr>
              <w:t>.000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12013D16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54913A43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8C3813" w:rsidRPr="004454AF" w14:paraId="76CB6C1D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3E892817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Aedes </w:t>
            </w:r>
            <w:proofErr w:type="spellStart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taeniorhynchus</w:t>
            </w:r>
            <w:proofErr w:type="spellEnd"/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2ED3BE2B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0C3339DC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73" w:type="dxa"/>
          </w:tcPr>
          <w:p w14:paraId="0CAEB9DC" w14:textId="717DAAE9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870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243F7647" w14:textId="7285A8EE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31A954F7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82D5309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0.965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0DD748CE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1710B3B9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52A3CA77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74FF7F4E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Coquillettidia</w:t>
            </w:r>
            <w:proofErr w:type="spellEnd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perturbans</w:t>
            </w:r>
            <w:proofErr w:type="spellEnd"/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08C3CD66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5AAB717C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73" w:type="dxa"/>
          </w:tcPr>
          <w:p w14:paraId="3E26EBBA" w14:textId="335405CE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1435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7E2D7B0F" w14:textId="261CE91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31D6E68F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C57DC62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0.882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71AE6CAC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4B8BF0DA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55542223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709B06F4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Aedes canadensis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0666A2AC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2A7B66D8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73" w:type="dxa"/>
          </w:tcPr>
          <w:p w14:paraId="5EB3A51D" w14:textId="131CC8C6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1685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5B253573" w14:textId="762E0646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3D805378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7F0F0280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0.817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7DDFD584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0F0F3440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49D00608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17AE7CF9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Culex </w:t>
            </w:r>
            <w:proofErr w:type="spellStart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coronator</w:t>
            </w:r>
            <w:proofErr w:type="spellEnd"/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1BFD1149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568CD32B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3" w:type="dxa"/>
          </w:tcPr>
          <w:p w14:paraId="148CEC96" w14:textId="3A9321E9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738DF48E" w14:textId="2CD222C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27EBE6EB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0069E9D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0.911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38FFAD53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43A91D26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13B0F0BE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4C8448D5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Culex nigripalpus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09EAEAC0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143C7349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73" w:type="dxa"/>
          </w:tcPr>
          <w:p w14:paraId="6FA86ADA" w14:textId="0FA8DF11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15992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6E1F7F73" w14:textId="7D5CE41F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49694701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0.425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66D5BE50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0.441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30F2F1CF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73335781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4345B533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06106CB0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Culex quinquefasciatus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3F26503D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3BE105C2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73" w:type="dxa"/>
          </w:tcPr>
          <w:p w14:paraId="55EF1DB4" w14:textId="1DE771E2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5083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42A6B5E6" w14:textId="2B18151F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0.088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109D0AE7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0.741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73B80B4B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7696321B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7B0D2B5E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13D89E79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64454FB3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Culex pipiens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520F6EA0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3513DFD8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73" w:type="dxa"/>
          </w:tcPr>
          <w:p w14:paraId="05E0B6CA" w14:textId="66755316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3786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567F34A3" w14:textId="51535B41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691342E1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0.879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2F9A0A2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0.088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5D943A18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1A85A35B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1B0D4F14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78443536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Culex </w:t>
            </w:r>
            <w:proofErr w:type="spellStart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restuans</w:t>
            </w:r>
            <w:proofErr w:type="spellEnd"/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6BBA4DBA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6544D52D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73" w:type="dxa"/>
          </w:tcPr>
          <w:p w14:paraId="2A9D0E1E" w14:textId="60035CC9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1993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1CB2FBE3" w14:textId="18D1259F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1975F375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0.907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D0987A0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51A4E0D6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3D52582B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3E4D22FB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689F637E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Aedes </w:t>
            </w:r>
            <w:proofErr w:type="spellStart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sollicitans</w:t>
            </w:r>
            <w:proofErr w:type="spellEnd"/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45B8BF93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5B9A4C55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73" w:type="dxa"/>
          </w:tcPr>
          <w:p w14:paraId="5D2C45D7" w14:textId="064BB34F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1922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496F423A" w14:textId="66336811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4C4C93BF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30CCD6B6" w14:textId="5EBB1C2C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0.98</w:t>
            </w:r>
            <w:r w:rsidRPr="004454AF">
              <w:rPr>
                <w:rFonts w:cs="Arial"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3D55D32B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2092E44D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14360927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3043DC30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Aedes </w:t>
            </w:r>
            <w:proofErr w:type="spellStart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cantator</w:t>
            </w:r>
            <w:proofErr w:type="spellEnd"/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3662F195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0CDABA4C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73" w:type="dxa"/>
          </w:tcPr>
          <w:p w14:paraId="7FF12B3E" w14:textId="1682BD65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3E29AEEE" w14:textId="06803801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0.137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6028B893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53DD09F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7F7928D8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6620D270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2BFFD85B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7809D74F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Aedes aegypti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2C95F01B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0F28FFC6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3" w:type="dxa"/>
          </w:tcPr>
          <w:p w14:paraId="56350374" w14:textId="524F6660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32E8F8BE" w14:textId="6214E228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2E9B5223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7AADCA3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10DF1D7A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5A7A9701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26E1D2B5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111BF07B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Aedes </w:t>
            </w:r>
            <w:proofErr w:type="spellStart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vexans</w:t>
            </w:r>
            <w:proofErr w:type="spellEnd"/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77E554DB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33F53BE9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73" w:type="dxa"/>
          </w:tcPr>
          <w:p w14:paraId="02EE4B8A" w14:textId="7DFEA32D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5207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62083847" w14:textId="4AD25AB2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0.21</w:t>
            </w:r>
            <w:r w:rsidRPr="004454AF">
              <w:rPr>
                <w:rFonts w:cs="Arial"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7063E570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365FE3C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0.965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3AD72A13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6B75F26B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634A255F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405D2985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Culiseta</w:t>
            </w:r>
            <w:proofErr w:type="spellEnd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inornata</w:t>
            </w:r>
            <w:proofErr w:type="spellEnd"/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510E9CE5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38A5E544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3" w:type="dxa"/>
          </w:tcPr>
          <w:p w14:paraId="19B23764" w14:textId="3DE2AB1F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1535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4F594701" w14:textId="0AD49DB1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0.214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2F05E162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0FA43549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0.994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299CEC57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04238FA3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220BD392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2E88A074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Aedes </w:t>
            </w:r>
            <w:proofErr w:type="spellStart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triseriatus</w:t>
            </w:r>
            <w:proofErr w:type="spellEnd"/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4A804E0B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373ED5E9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73" w:type="dxa"/>
          </w:tcPr>
          <w:p w14:paraId="5D34230F" w14:textId="554FAD02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8C3813">
              <w:rPr>
                <w:rFonts w:cs="Arial"/>
                <w:color w:val="000000"/>
                <w:sz w:val="20"/>
                <w:szCs w:val="20"/>
              </w:rPr>
              <w:t>804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00A1244A" w14:textId="6503C89D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40F9D9CA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C24E8FC" w14:textId="4B34A51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0.95</w:t>
            </w:r>
            <w:r w:rsidRPr="004454AF">
              <w:rPr>
                <w:rFonts w:cs="Arial"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3F0ADF3E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1F23233E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266692B0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3AC05DE8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Aedes albopictus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00DF6D45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166F9755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73" w:type="dxa"/>
          </w:tcPr>
          <w:p w14:paraId="7A7FE578" w14:textId="54B8447E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1512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520D5240" w14:textId="3431EDE3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64193355" w14:textId="5C7DBCA6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0.02</w:t>
            </w:r>
            <w:r w:rsidRPr="004454AF">
              <w:rPr>
                <w:rFonts w:cs="Arial"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35D33060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0.968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01F3AD51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7C4CB91D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8C3813" w:rsidRPr="004454AF" w14:paraId="424B0D46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48162BCD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Culex </w:t>
            </w:r>
            <w:proofErr w:type="spellStart"/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salinarius</w:t>
            </w:r>
            <w:proofErr w:type="spellEnd"/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159B245A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7BCE521B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73" w:type="dxa"/>
          </w:tcPr>
          <w:p w14:paraId="019DDD24" w14:textId="56DDAF6C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3530C59A" w14:textId="17931BCA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0.509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2B197F16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0C2D362D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0.806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3D842541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1195FE57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</w:tr>
      <w:tr w:rsidR="008C3813" w:rsidRPr="004454AF" w14:paraId="36831CD6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shd w:val="clear" w:color="auto" w:fill="auto"/>
            <w:noWrap/>
            <w:vAlign w:val="center"/>
            <w:hideMark/>
          </w:tcPr>
          <w:p w14:paraId="5448FCB6" w14:textId="77777777" w:rsidR="008C3813" w:rsidRPr="00691E3C" w:rsidRDefault="008C3813" w:rsidP="004454AF">
            <w:pPr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000000"/>
                <w:sz w:val="20"/>
                <w:szCs w:val="20"/>
              </w:rPr>
              <w:t>Culex tarsalis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14:paraId="0F13BA7F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02E64E97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73" w:type="dxa"/>
          </w:tcPr>
          <w:p w14:paraId="56855D8F" w14:textId="71FD5BF5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14744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5861B006" w14:textId="20396FDE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0.394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36AAC6BA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0.763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096914E" w14:textId="77777777" w:rsidR="008C3813" w:rsidRPr="00691E3C" w:rsidRDefault="008C3813" w:rsidP="004454AF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0.202</w:t>
            </w:r>
          </w:p>
        </w:tc>
        <w:tc>
          <w:tcPr>
            <w:tcW w:w="961" w:type="dxa"/>
            <w:gridSpan w:val="2"/>
            <w:shd w:val="clear" w:color="auto" w:fill="auto"/>
            <w:noWrap/>
            <w:vAlign w:val="center"/>
            <w:hideMark/>
          </w:tcPr>
          <w:p w14:paraId="3B513EF8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36E97D92" w14:textId="77777777" w:rsidR="008C3813" w:rsidRPr="00691E3C" w:rsidRDefault="008C3813" w:rsidP="004454A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691E3C">
              <w:rPr>
                <w:rFonts w:cs="Arial"/>
                <w:color w:val="000000"/>
                <w:sz w:val="20"/>
                <w:szCs w:val="20"/>
              </w:rPr>
              <w:t>3</w:t>
            </w:r>
          </w:p>
        </w:tc>
      </w:tr>
      <w:tr w:rsidR="008C3813" w:rsidRPr="004454AF" w14:paraId="0B2A5CDB" w14:textId="77777777" w:rsidTr="008C3813">
        <w:trPr>
          <w:gridAfter w:val="1"/>
          <w:wAfter w:w="6" w:type="dxa"/>
          <w:trHeight w:val="300"/>
        </w:trPr>
        <w:tc>
          <w:tcPr>
            <w:tcW w:w="23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60C91" w14:textId="77777777" w:rsidR="008C3813" w:rsidRPr="00691E3C" w:rsidRDefault="008C3813" w:rsidP="004454AF">
            <w:pPr>
              <w:rPr>
                <w:rFonts w:cs="Arial"/>
                <w:i/>
                <w:iCs/>
                <w:color w:val="7F7F7F" w:themeColor="text1" w:themeTint="80"/>
                <w:sz w:val="20"/>
                <w:szCs w:val="20"/>
              </w:rPr>
            </w:pPr>
            <w:r w:rsidRPr="00691E3C">
              <w:rPr>
                <w:rFonts w:cs="Arial"/>
                <w:i/>
                <w:iCs/>
                <w:color w:val="7F7F7F" w:themeColor="text1" w:themeTint="80"/>
                <w:sz w:val="20"/>
                <w:szCs w:val="20"/>
              </w:rPr>
              <w:t>Culex erraticus</w:t>
            </w:r>
          </w:p>
        </w:tc>
        <w:tc>
          <w:tcPr>
            <w:tcW w:w="5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CF3D0" w14:textId="77777777" w:rsidR="008C3813" w:rsidRPr="00691E3C" w:rsidRDefault="008C3813" w:rsidP="004454AF">
            <w:pPr>
              <w:jc w:val="right"/>
              <w:rPr>
                <w:rFonts w:cs="Arial"/>
                <w:color w:val="7F7F7F" w:themeColor="text1" w:themeTint="80"/>
                <w:sz w:val="20"/>
                <w:szCs w:val="20"/>
              </w:rPr>
            </w:pPr>
            <w:r w:rsidRPr="00691E3C">
              <w:rPr>
                <w:rFonts w:cs="Arial"/>
                <w:color w:val="7F7F7F" w:themeColor="text1" w:themeTint="80"/>
                <w:sz w:val="20"/>
                <w:szCs w:val="20"/>
              </w:rPr>
              <w:t>9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243EF" w14:textId="77777777" w:rsidR="008C3813" w:rsidRPr="00691E3C" w:rsidRDefault="008C3813" w:rsidP="004454AF">
            <w:pPr>
              <w:jc w:val="right"/>
              <w:rPr>
                <w:rFonts w:cs="Arial"/>
                <w:color w:val="7F7F7F" w:themeColor="text1" w:themeTint="80"/>
                <w:sz w:val="20"/>
                <w:szCs w:val="20"/>
              </w:rPr>
            </w:pPr>
            <w:r w:rsidRPr="00691E3C">
              <w:rPr>
                <w:rFonts w:cs="Arial"/>
                <w:color w:val="7F7F7F" w:themeColor="text1" w:themeTint="80"/>
                <w:sz w:val="20"/>
                <w:szCs w:val="20"/>
              </w:rPr>
              <w:t>18</w:t>
            </w:r>
          </w:p>
        </w:tc>
        <w:tc>
          <w:tcPr>
            <w:tcW w:w="773" w:type="dxa"/>
            <w:tcBorders>
              <w:bottom w:val="single" w:sz="4" w:space="0" w:color="auto"/>
            </w:tcBorders>
          </w:tcPr>
          <w:p w14:paraId="53362636" w14:textId="066932E8" w:rsidR="008C3813" w:rsidRPr="00691E3C" w:rsidRDefault="008C3813" w:rsidP="004454AF">
            <w:pPr>
              <w:jc w:val="right"/>
              <w:rPr>
                <w:rFonts w:cs="Arial"/>
                <w:color w:val="7F7F7F" w:themeColor="text1" w:themeTint="80"/>
                <w:sz w:val="20"/>
                <w:szCs w:val="20"/>
              </w:rPr>
            </w:pPr>
            <w:r>
              <w:rPr>
                <w:rFonts w:cs="Arial"/>
                <w:color w:val="7F7F7F" w:themeColor="text1" w:themeTint="80"/>
                <w:sz w:val="20"/>
                <w:szCs w:val="20"/>
              </w:rPr>
              <w:t>3356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50BB3" w14:textId="556307FC" w:rsidR="008C3813" w:rsidRPr="00691E3C" w:rsidRDefault="008C3813" w:rsidP="004454AF">
            <w:pPr>
              <w:jc w:val="right"/>
              <w:rPr>
                <w:rFonts w:cs="Arial"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10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ED71A" w14:textId="77777777" w:rsidR="008C3813" w:rsidRPr="00691E3C" w:rsidRDefault="008C3813" w:rsidP="004454AF">
            <w:pPr>
              <w:jc w:val="right"/>
              <w:rPr>
                <w:rFonts w:cs="Arial"/>
                <w:color w:val="7F7F7F" w:themeColor="text1" w:themeTint="80"/>
                <w:sz w:val="20"/>
                <w:szCs w:val="20"/>
              </w:rPr>
            </w:pPr>
            <w:r w:rsidRPr="00691E3C">
              <w:rPr>
                <w:rFonts w:cs="Arial"/>
                <w:color w:val="7F7F7F" w:themeColor="text1" w:themeTint="80"/>
                <w:sz w:val="20"/>
                <w:szCs w:val="20"/>
              </w:rPr>
              <w:t>0.357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ECAB3" w14:textId="77777777" w:rsidR="008C3813" w:rsidRPr="00691E3C" w:rsidRDefault="008C3813" w:rsidP="004454AF">
            <w:pPr>
              <w:jc w:val="right"/>
              <w:rPr>
                <w:rFonts w:cs="Arial"/>
                <w:color w:val="7F7F7F" w:themeColor="text1" w:themeTint="80"/>
                <w:sz w:val="20"/>
                <w:szCs w:val="20"/>
              </w:rPr>
            </w:pPr>
            <w:r w:rsidRPr="00691E3C">
              <w:rPr>
                <w:rFonts w:cs="Arial"/>
                <w:color w:val="7F7F7F" w:themeColor="text1" w:themeTint="80"/>
                <w:sz w:val="20"/>
                <w:szCs w:val="20"/>
              </w:rPr>
              <w:t>0.411</w:t>
            </w:r>
          </w:p>
        </w:tc>
        <w:tc>
          <w:tcPr>
            <w:tcW w:w="96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30F18" w14:textId="77777777" w:rsidR="008C3813" w:rsidRPr="00691E3C" w:rsidRDefault="008C3813" w:rsidP="004454AF">
            <w:pPr>
              <w:jc w:val="center"/>
              <w:rPr>
                <w:rFonts w:cs="Arial"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10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6CBEF" w14:textId="77777777" w:rsidR="008C3813" w:rsidRPr="00691E3C" w:rsidRDefault="008C3813" w:rsidP="004454AF">
            <w:pPr>
              <w:jc w:val="center"/>
              <w:rPr>
                <w:rFonts w:cs="Arial"/>
                <w:color w:val="7F7F7F" w:themeColor="text1" w:themeTint="80"/>
                <w:sz w:val="20"/>
                <w:szCs w:val="20"/>
              </w:rPr>
            </w:pPr>
          </w:p>
        </w:tc>
      </w:tr>
    </w:tbl>
    <w:p w14:paraId="42D5825F" w14:textId="55301352" w:rsidR="00691E3C" w:rsidRPr="004454AF" w:rsidRDefault="004454AF" w:rsidP="0066427D">
      <w:pPr>
        <w:spacing w:before="60"/>
        <w:rPr>
          <w:sz w:val="18"/>
          <w:szCs w:val="18"/>
        </w:rPr>
      </w:pPr>
      <w:r w:rsidRPr="004454AF">
        <w:rPr>
          <w:sz w:val="18"/>
          <w:szCs w:val="18"/>
        </w:rPr>
        <w:t xml:space="preserve">Ref: number of identified studies, </w:t>
      </w:r>
      <w:proofErr w:type="spellStart"/>
      <w:r w:rsidRPr="004454AF">
        <w:rPr>
          <w:sz w:val="18"/>
          <w:szCs w:val="18"/>
        </w:rPr>
        <w:t>Obs</w:t>
      </w:r>
      <w:proofErr w:type="spellEnd"/>
      <w:r w:rsidRPr="004454AF">
        <w:rPr>
          <w:sz w:val="18"/>
          <w:szCs w:val="18"/>
        </w:rPr>
        <w:t>: number of observations included in proportional meta-analysis</w:t>
      </w:r>
      <w:r w:rsidR="00B42BD0">
        <w:rPr>
          <w:sz w:val="18"/>
          <w:szCs w:val="18"/>
        </w:rPr>
        <w:t>,</w:t>
      </w:r>
      <w:r w:rsidR="008C3813">
        <w:rPr>
          <w:sz w:val="18"/>
          <w:szCs w:val="18"/>
        </w:rPr>
        <w:t xml:space="preserve"> </w:t>
      </w:r>
      <w:r w:rsidR="00B42BD0">
        <w:rPr>
          <w:sz w:val="18"/>
          <w:szCs w:val="18"/>
        </w:rPr>
        <w:br/>
      </w:r>
      <w:r w:rsidR="008C3813" w:rsidRPr="008C3813">
        <w:rPr>
          <w:sz w:val="18"/>
          <w:szCs w:val="18"/>
        </w:rPr>
        <w:t>N: total number of tested specimens</w:t>
      </w:r>
    </w:p>
    <w:p w14:paraId="75E4DFCF" w14:textId="77777777" w:rsidR="00033EA4" w:rsidRDefault="00033EA4" w:rsidP="00033EA4">
      <w:pPr>
        <w:spacing w:line="480" w:lineRule="auto"/>
        <w:rPr>
          <w:sz w:val="22"/>
          <w:szCs w:val="22"/>
        </w:rPr>
      </w:pPr>
    </w:p>
    <w:p w14:paraId="3BA5992F" w14:textId="77777777" w:rsidR="002B5609" w:rsidRDefault="002B5609">
      <w:pPr>
        <w:spacing w:after="160" w:line="278" w:lineRule="auto"/>
        <w:rPr>
          <w:b/>
          <w:bCs/>
        </w:rPr>
      </w:pPr>
      <w:r>
        <w:rPr>
          <w:b/>
          <w:bCs/>
        </w:rPr>
        <w:br w:type="page"/>
      </w:r>
    </w:p>
    <w:p w14:paraId="1C1673E2" w14:textId="7EEBEB0F" w:rsidR="008E02C7" w:rsidRPr="007B38A0" w:rsidRDefault="00141A13">
      <w:pPr>
        <w:rPr>
          <w:b/>
          <w:bCs/>
        </w:rPr>
      </w:pPr>
      <w:r>
        <w:rPr>
          <w:b/>
          <w:bCs/>
        </w:rPr>
        <w:lastRenderedPageBreak/>
        <w:t>Additional d</w:t>
      </w:r>
      <w:r w:rsidR="008E02C7" w:rsidRPr="007B38A0">
        <w:rPr>
          <w:b/>
          <w:bCs/>
        </w:rPr>
        <w:t>ata sources:</w:t>
      </w:r>
    </w:p>
    <w:p w14:paraId="1A23D07B" w14:textId="77777777" w:rsidR="008E02C7" w:rsidRDefault="008E02C7"/>
    <w:p w14:paraId="6DEB3DE4" w14:textId="7E5F975F" w:rsidR="00B417F0" w:rsidRPr="00B42BD0" w:rsidRDefault="00B417F0" w:rsidP="00B417F0">
      <w:pPr>
        <w:pStyle w:val="CitaviBibliographyEntry"/>
        <w:rPr>
          <w:sz w:val="22"/>
          <w:szCs w:val="22"/>
        </w:rPr>
      </w:pPr>
      <w:bookmarkStart w:id="5" w:name="_Hlk189045702"/>
      <w:bookmarkStart w:id="6" w:name="_CTVL00107ef62a234954755b811be2d975f4d2a"/>
      <w:r w:rsidRPr="00B42BD0">
        <w:rPr>
          <w:sz w:val="22"/>
          <w:szCs w:val="22"/>
        </w:rPr>
        <w:t xml:space="preserve">Apperson, C. S., Hassan, H. K., Harrison, B. A., Savage, H. M., Aspen, S. E., </w:t>
      </w:r>
      <w:proofErr w:type="spellStart"/>
      <w:r w:rsidRPr="00B42BD0">
        <w:rPr>
          <w:sz w:val="22"/>
          <w:szCs w:val="22"/>
        </w:rPr>
        <w:t>Farajollahi</w:t>
      </w:r>
      <w:proofErr w:type="spellEnd"/>
      <w:r w:rsidRPr="00B42BD0">
        <w:rPr>
          <w:sz w:val="22"/>
          <w:szCs w:val="22"/>
        </w:rPr>
        <w:t>, A., Crans, W. J., Daniels, T. J., Falco, R. C., Benedict, M., Anderson, M., McMillen, L., &amp; Unnasch, T. R. (2004). Host Feeding Patterns of Established and Potential Mosquito Vectors of West Nile Virus in the Eastern United States.</w:t>
      </w:r>
      <w:bookmarkEnd w:id="6"/>
      <w:r w:rsidRPr="00B42BD0">
        <w:rPr>
          <w:sz w:val="22"/>
          <w:szCs w:val="22"/>
        </w:rPr>
        <w:t xml:space="preserve"> </w:t>
      </w:r>
      <w:r w:rsidRPr="00B42BD0">
        <w:rPr>
          <w:i/>
          <w:sz w:val="22"/>
          <w:szCs w:val="22"/>
        </w:rPr>
        <w:t>Vector Borne and Zoonotic Diseases</w:t>
      </w:r>
      <w:r w:rsidRPr="00B42BD0">
        <w:rPr>
          <w:sz w:val="22"/>
          <w:szCs w:val="22"/>
        </w:rPr>
        <w:t xml:space="preserve">, </w:t>
      </w:r>
      <w:r w:rsidRPr="00B42BD0">
        <w:rPr>
          <w:i/>
          <w:sz w:val="22"/>
          <w:szCs w:val="22"/>
        </w:rPr>
        <w:t>4</w:t>
      </w:r>
      <w:r w:rsidRPr="00B42BD0">
        <w:rPr>
          <w:sz w:val="22"/>
          <w:szCs w:val="22"/>
        </w:rPr>
        <w:t xml:space="preserve">(1), 71–82. </w:t>
      </w:r>
      <w:hyperlink r:id="rId9" w:history="1">
        <w:r w:rsidR="008E2C8E" w:rsidRPr="00B42BD0">
          <w:rPr>
            <w:rStyle w:val="Hyperlink"/>
            <w:sz w:val="22"/>
            <w:szCs w:val="22"/>
          </w:rPr>
          <w:t>https://doi.org/10.1089/153036604773083013</w:t>
        </w:r>
      </w:hyperlink>
    </w:p>
    <w:p w14:paraId="023D052B" w14:textId="64063BCC" w:rsidR="00B417F0" w:rsidRPr="00B42BD0" w:rsidRDefault="00B417F0" w:rsidP="00B417F0">
      <w:pPr>
        <w:pStyle w:val="CitaviBibliographyEntry"/>
        <w:rPr>
          <w:sz w:val="22"/>
          <w:szCs w:val="22"/>
        </w:rPr>
      </w:pPr>
      <w:bookmarkStart w:id="7" w:name="_CTVL001670a8bd75ada446293efedbeb5c2f7a7"/>
      <w:r w:rsidRPr="00B42BD0">
        <w:rPr>
          <w:sz w:val="22"/>
          <w:szCs w:val="22"/>
        </w:rPr>
        <w:t>Campbell, R., Thiemann, T. C., Lemenager, D., &amp; Reisen, W. K. (2013). Host-Selection Patterns o</w:t>
      </w:r>
      <w:bookmarkEnd w:id="7"/>
      <w:r w:rsidRPr="00B42BD0">
        <w:rPr>
          <w:sz w:val="22"/>
          <w:szCs w:val="22"/>
        </w:rPr>
        <w:t>f</w:t>
      </w:r>
      <w:r w:rsidRPr="00B42BD0">
        <w:rPr>
          <w:i/>
          <w:sz w:val="22"/>
          <w:szCs w:val="22"/>
        </w:rPr>
        <w:t xml:space="preserve"> Culex tarsalis </w:t>
      </w:r>
      <w:r w:rsidRPr="00B42BD0">
        <w:rPr>
          <w:sz w:val="22"/>
          <w:szCs w:val="22"/>
        </w:rPr>
        <w:t xml:space="preserve">(Diptera: Culicidae) Determine the Spatial Heterogeneity of West Nile Virus Enzootic Activity in Northern California. </w:t>
      </w:r>
      <w:r w:rsidRPr="00B42BD0">
        <w:rPr>
          <w:i/>
          <w:sz w:val="22"/>
          <w:szCs w:val="22"/>
        </w:rPr>
        <w:t>Journal of Medical Entomology</w:t>
      </w:r>
      <w:r w:rsidRPr="00B42BD0">
        <w:rPr>
          <w:sz w:val="22"/>
          <w:szCs w:val="22"/>
        </w:rPr>
        <w:t xml:space="preserve">, </w:t>
      </w:r>
      <w:r w:rsidRPr="00B42BD0">
        <w:rPr>
          <w:i/>
          <w:sz w:val="22"/>
          <w:szCs w:val="22"/>
        </w:rPr>
        <w:t>50</w:t>
      </w:r>
      <w:r w:rsidRPr="00B42BD0">
        <w:rPr>
          <w:sz w:val="22"/>
          <w:szCs w:val="22"/>
        </w:rPr>
        <w:t xml:space="preserve">(6), 1303–1309. </w:t>
      </w:r>
      <w:hyperlink r:id="rId10" w:history="1">
        <w:r w:rsidR="008E2C8E" w:rsidRPr="00B42BD0">
          <w:rPr>
            <w:rStyle w:val="Hyperlink"/>
            <w:sz w:val="22"/>
            <w:szCs w:val="22"/>
          </w:rPr>
          <w:t>https://doi.org/10.1603/ME13089</w:t>
        </w:r>
      </w:hyperlink>
    </w:p>
    <w:p w14:paraId="502E4486" w14:textId="77777777" w:rsidR="00B417F0" w:rsidRPr="00B42BD0" w:rsidRDefault="00B417F0" w:rsidP="00B417F0">
      <w:pPr>
        <w:pStyle w:val="CitaviBibliographyEntry"/>
        <w:rPr>
          <w:sz w:val="22"/>
          <w:szCs w:val="22"/>
        </w:rPr>
      </w:pPr>
      <w:bookmarkStart w:id="8" w:name="_CTVL001ada583771f85457c8f6bf936df30934d"/>
      <w:r w:rsidRPr="00B42BD0">
        <w:rPr>
          <w:sz w:val="22"/>
          <w:szCs w:val="22"/>
        </w:rPr>
        <w:t xml:space="preserve">Cupp, E. W., Zhang, D., Yue, X., Cupp, M. S., Guyer, C., Sprenger, T. R., &amp; Unnasch, T. R. (2004). Identification of Reptilian and Amphibian Blood Meals from Mosquitoes in an Eastern Equine Encephalomyelitis Virus Focus </w:t>
      </w:r>
      <w:proofErr w:type="gramStart"/>
      <w:r w:rsidRPr="00B42BD0">
        <w:rPr>
          <w:sz w:val="22"/>
          <w:szCs w:val="22"/>
        </w:rPr>
        <w:t>in</w:t>
      </w:r>
      <w:proofErr w:type="gramEnd"/>
      <w:r w:rsidRPr="00B42BD0">
        <w:rPr>
          <w:sz w:val="22"/>
          <w:szCs w:val="22"/>
        </w:rPr>
        <w:t xml:space="preserve"> Central Alabama.</w:t>
      </w:r>
      <w:bookmarkEnd w:id="8"/>
      <w:r w:rsidRPr="00B42BD0">
        <w:rPr>
          <w:sz w:val="22"/>
          <w:szCs w:val="22"/>
        </w:rPr>
        <w:t xml:space="preserve"> </w:t>
      </w:r>
      <w:r w:rsidRPr="00B42BD0">
        <w:rPr>
          <w:i/>
          <w:sz w:val="22"/>
          <w:szCs w:val="22"/>
        </w:rPr>
        <w:t>American Journal of Tropical Medicine and Hygiene</w:t>
      </w:r>
      <w:r w:rsidRPr="00B42BD0">
        <w:rPr>
          <w:sz w:val="22"/>
          <w:szCs w:val="22"/>
        </w:rPr>
        <w:t xml:space="preserve">, </w:t>
      </w:r>
      <w:r w:rsidRPr="00B42BD0">
        <w:rPr>
          <w:i/>
          <w:sz w:val="22"/>
          <w:szCs w:val="22"/>
        </w:rPr>
        <w:t>71</w:t>
      </w:r>
      <w:r w:rsidRPr="00B42BD0">
        <w:rPr>
          <w:sz w:val="22"/>
          <w:szCs w:val="22"/>
        </w:rPr>
        <w:t>(3), 272–276.</w:t>
      </w:r>
    </w:p>
    <w:p w14:paraId="25B230CF" w14:textId="12C18A35" w:rsidR="00B417F0" w:rsidRPr="00B42BD0" w:rsidRDefault="00B417F0" w:rsidP="00B417F0">
      <w:pPr>
        <w:pStyle w:val="CitaviBibliographyEntry"/>
        <w:rPr>
          <w:sz w:val="22"/>
          <w:szCs w:val="22"/>
        </w:rPr>
      </w:pPr>
      <w:bookmarkStart w:id="9" w:name="_CTVL0017713ef1c4a7a459fa9a4630a2dd7d1f2"/>
      <w:r w:rsidRPr="00B42BD0">
        <w:rPr>
          <w:sz w:val="22"/>
          <w:szCs w:val="22"/>
        </w:rPr>
        <w:t xml:space="preserve">Greenberg, J. A., Lujan, D. A., DiMenna, M. A., Wearing, H. J., &amp; </w:t>
      </w:r>
      <w:proofErr w:type="spellStart"/>
      <w:r w:rsidRPr="00B42BD0">
        <w:rPr>
          <w:sz w:val="22"/>
          <w:szCs w:val="22"/>
        </w:rPr>
        <w:t>Hofkin</w:t>
      </w:r>
      <w:proofErr w:type="spellEnd"/>
      <w:r w:rsidRPr="00B42BD0">
        <w:rPr>
          <w:sz w:val="22"/>
          <w:szCs w:val="22"/>
        </w:rPr>
        <w:t>, B. V. (2013). Identification of Blood Meal Sources in</w:t>
      </w:r>
      <w:bookmarkEnd w:id="9"/>
      <w:r w:rsidRPr="00B42BD0">
        <w:rPr>
          <w:sz w:val="22"/>
          <w:szCs w:val="22"/>
        </w:rPr>
        <w:t xml:space="preserve"> </w:t>
      </w:r>
      <w:r w:rsidRPr="00B42BD0">
        <w:rPr>
          <w:i/>
          <w:sz w:val="22"/>
          <w:szCs w:val="22"/>
        </w:rPr>
        <w:t xml:space="preserve">Aedes </w:t>
      </w:r>
      <w:proofErr w:type="spellStart"/>
      <w:r w:rsidRPr="00B42BD0">
        <w:rPr>
          <w:i/>
          <w:sz w:val="22"/>
          <w:szCs w:val="22"/>
        </w:rPr>
        <w:t>vexans</w:t>
      </w:r>
      <w:proofErr w:type="spellEnd"/>
      <w:r w:rsidRPr="00B42BD0">
        <w:rPr>
          <w:i/>
          <w:sz w:val="22"/>
          <w:szCs w:val="22"/>
        </w:rPr>
        <w:t xml:space="preserve"> </w:t>
      </w:r>
      <w:r w:rsidRPr="00B42BD0">
        <w:rPr>
          <w:sz w:val="22"/>
          <w:szCs w:val="22"/>
        </w:rPr>
        <w:t xml:space="preserve">and </w:t>
      </w:r>
      <w:r w:rsidRPr="00B42BD0">
        <w:rPr>
          <w:i/>
          <w:sz w:val="22"/>
          <w:szCs w:val="22"/>
        </w:rPr>
        <w:t xml:space="preserve">Culex quinquefasciatus </w:t>
      </w:r>
      <w:r w:rsidRPr="00B42BD0">
        <w:rPr>
          <w:sz w:val="22"/>
          <w:szCs w:val="22"/>
        </w:rPr>
        <w:t xml:space="preserve">in Bernalillo County, New Mexico. </w:t>
      </w:r>
      <w:r w:rsidRPr="00B42BD0">
        <w:rPr>
          <w:i/>
          <w:sz w:val="22"/>
          <w:szCs w:val="22"/>
        </w:rPr>
        <w:t>Journal of Insect Science (Online)</w:t>
      </w:r>
      <w:r w:rsidRPr="00B42BD0">
        <w:rPr>
          <w:sz w:val="22"/>
          <w:szCs w:val="22"/>
        </w:rPr>
        <w:t xml:space="preserve">, </w:t>
      </w:r>
      <w:r w:rsidRPr="00B42BD0">
        <w:rPr>
          <w:i/>
          <w:sz w:val="22"/>
          <w:szCs w:val="22"/>
        </w:rPr>
        <w:t>13</w:t>
      </w:r>
      <w:r w:rsidRPr="00B42BD0">
        <w:rPr>
          <w:sz w:val="22"/>
          <w:szCs w:val="22"/>
        </w:rPr>
        <w:t xml:space="preserve">, 75. </w:t>
      </w:r>
      <w:hyperlink r:id="rId11" w:history="1">
        <w:r w:rsidR="008E2C8E" w:rsidRPr="00B42BD0">
          <w:rPr>
            <w:rStyle w:val="Hyperlink"/>
            <w:sz w:val="22"/>
            <w:szCs w:val="22"/>
          </w:rPr>
          <w:t>https://doi.org/10.1673/031.013.7501</w:t>
        </w:r>
      </w:hyperlink>
    </w:p>
    <w:p w14:paraId="2501DB71" w14:textId="46A7866E" w:rsidR="00B417F0" w:rsidRPr="00B42BD0" w:rsidRDefault="00B417F0" w:rsidP="00B417F0">
      <w:pPr>
        <w:pStyle w:val="CitaviBibliographyEntry"/>
        <w:rPr>
          <w:sz w:val="22"/>
          <w:szCs w:val="22"/>
        </w:rPr>
      </w:pPr>
      <w:bookmarkStart w:id="10" w:name="_CTVL0014e8b61edc06940a6be0dee9dbf17a9c2"/>
      <w:r w:rsidRPr="00B42BD0">
        <w:rPr>
          <w:sz w:val="22"/>
          <w:szCs w:val="22"/>
        </w:rPr>
        <w:t>Guinn, A., Su, T., Thieme, J., Cheng, </w:t>
      </w:r>
      <w:proofErr w:type="gramStart"/>
      <w:r w:rsidRPr="00B42BD0">
        <w:rPr>
          <w:sz w:val="22"/>
          <w:szCs w:val="22"/>
        </w:rPr>
        <w:t>M.</w:t>
      </w:r>
      <w:r w:rsidRPr="00B42BD0">
        <w:rPr>
          <w:rFonts w:ascii="Cambria Math" w:hAnsi="Cambria Math" w:cs="Cambria Math"/>
          <w:sz w:val="22"/>
          <w:szCs w:val="22"/>
        </w:rPr>
        <w:t>‑</w:t>
      </w:r>
      <w:proofErr w:type="gramEnd"/>
      <w:r w:rsidRPr="00B42BD0">
        <w:rPr>
          <w:sz w:val="22"/>
          <w:szCs w:val="22"/>
        </w:rPr>
        <w:t>L., Brown,</w:t>
      </w:r>
      <w:r w:rsidRPr="00B42BD0">
        <w:rPr>
          <w:rFonts w:cs="Arial"/>
          <w:sz w:val="22"/>
          <w:szCs w:val="22"/>
        </w:rPr>
        <w:t> </w:t>
      </w:r>
      <w:r w:rsidRPr="00B42BD0">
        <w:rPr>
          <w:sz w:val="22"/>
          <w:szCs w:val="22"/>
        </w:rPr>
        <w:t>M.</w:t>
      </w:r>
      <w:r w:rsidRPr="00B42BD0">
        <w:rPr>
          <w:rFonts w:cs="Arial"/>
          <w:sz w:val="22"/>
          <w:szCs w:val="22"/>
        </w:rPr>
        <w:t> </w:t>
      </w:r>
      <w:r w:rsidRPr="00B42BD0">
        <w:rPr>
          <w:sz w:val="22"/>
          <w:szCs w:val="22"/>
        </w:rPr>
        <w:t>Q., &amp; Thiemann,</w:t>
      </w:r>
      <w:r w:rsidRPr="00B42BD0">
        <w:rPr>
          <w:rFonts w:cs="Arial"/>
          <w:sz w:val="22"/>
          <w:szCs w:val="22"/>
        </w:rPr>
        <w:t> </w:t>
      </w:r>
      <w:r w:rsidRPr="00B42BD0">
        <w:rPr>
          <w:sz w:val="22"/>
          <w:szCs w:val="22"/>
        </w:rPr>
        <w:t>T. (2022). Characterization of the Blood-Feeding Patterns of</w:t>
      </w:r>
      <w:bookmarkEnd w:id="10"/>
      <w:r w:rsidRPr="00B42BD0">
        <w:rPr>
          <w:sz w:val="22"/>
          <w:szCs w:val="22"/>
        </w:rPr>
        <w:t xml:space="preserve"> </w:t>
      </w:r>
      <w:r w:rsidRPr="00B42BD0">
        <w:rPr>
          <w:i/>
          <w:sz w:val="22"/>
          <w:szCs w:val="22"/>
        </w:rPr>
        <w:t xml:space="preserve">Culex quinquefasciatus </w:t>
      </w:r>
      <w:r w:rsidRPr="00B42BD0">
        <w:rPr>
          <w:sz w:val="22"/>
          <w:szCs w:val="22"/>
        </w:rPr>
        <w:t xml:space="preserve">(Diptera: Culicidae) in San Bernardino County, California. </w:t>
      </w:r>
      <w:r w:rsidRPr="00B42BD0">
        <w:rPr>
          <w:i/>
          <w:sz w:val="22"/>
          <w:szCs w:val="22"/>
        </w:rPr>
        <w:t>Journal of Medical Entomology</w:t>
      </w:r>
      <w:r w:rsidRPr="00B42BD0">
        <w:rPr>
          <w:sz w:val="22"/>
          <w:szCs w:val="22"/>
        </w:rPr>
        <w:t xml:space="preserve">, </w:t>
      </w:r>
      <w:r w:rsidRPr="00B42BD0">
        <w:rPr>
          <w:i/>
          <w:sz w:val="22"/>
          <w:szCs w:val="22"/>
        </w:rPr>
        <w:t>59</w:t>
      </w:r>
      <w:r w:rsidRPr="00B42BD0">
        <w:rPr>
          <w:sz w:val="22"/>
          <w:szCs w:val="22"/>
        </w:rPr>
        <w:t xml:space="preserve">(5), 1756–1765. </w:t>
      </w:r>
      <w:hyperlink r:id="rId12" w:history="1">
        <w:r w:rsidR="008E2C8E" w:rsidRPr="00B42BD0">
          <w:rPr>
            <w:rStyle w:val="Hyperlink"/>
            <w:sz w:val="22"/>
            <w:szCs w:val="22"/>
          </w:rPr>
          <w:t>https://doi.org/10.1093/jme/tjac077</w:t>
        </w:r>
      </w:hyperlink>
    </w:p>
    <w:p w14:paraId="328299D2" w14:textId="535A9C2A" w:rsidR="00B417F0" w:rsidRPr="00B42BD0" w:rsidRDefault="00B417F0" w:rsidP="00B417F0">
      <w:pPr>
        <w:pStyle w:val="CitaviBibliographyEntry"/>
        <w:rPr>
          <w:sz w:val="22"/>
          <w:szCs w:val="22"/>
        </w:rPr>
      </w:pPr>
      <w:bookmarkStart w:id="11" w:name="_CTVL001451a8c74e3be485a9ca2a60b2eff7c10"/>
      <w:r w:rsidRPr="00B42BD0">
        <w:rPr>
          <w:sz w:val="22"/>
          <w:szCs w:val="22"/>
        </w:rPr>
        <w:t>Hannon, E. R., Jackson, K. C., Biggerstaff, B. J., Raman, V., &amp; Komar, N. (2019). Bloodmeal Host Selection of</w:t>
      </w:r>
      <w:bookmarkEnd w:id="11"/>
      <w:r w:rsidRPr="00B42BD0">
        <w:rPr>
          <w:sz w:val="22"/>
          <w:szCs w:val="22"/>
        </w:rPr>
        <w:t xml:space="preserve"> </w:t>
      </w:r>
      <w:r w:rsidRPr="00B42BD0">
        <w:rPr>
          <w:i/>
          <w:sz w:val="22"/>
          <w:szCs w:val="22"/>
        </w:rPr>
        <w:t xml:space="preserve">Culex quinquefasciatus </w:t>
      </w:r>
      <w:r w:rsidRPr="00B42BD0">
        <w:rPr>
          <w:sz w:val="22"/>
          <w:szCs w:val="22"/>
        </w:rPr>
        <w:t xml:space="preserve">(Diptera: Culicidae) in Las Vegas, Nevada, United States. </w:t>
      </w:r>
      <w:r w:rsidRPr="00B42BD0">
        <w:rPr>
          <w:i/>
          <w:sz w:val="22"/>
          <w:szCs w:val="22"/>
        </w:rPr>
        <w:t>Journal of Medical Entomology</w:t>
      </w:r>
      <w:r w:rsidRPr="00B42BD0">
        <w:rPr>
          <w:sz w:val="22"/>
          <w:szCs w:val="22"/>
        </w:rPr>
        <w:t xml:space="preserve">, </w:t>
      </w:r>
      <w:r w:rsidRPr="00B42BD0">
        <w:rPr>
          <w:i/>
          <w:sz w:val="22"/>
          <w:szCs w:val="22"/>
        </w:rPr>
        <w:t>56</w:t>
      </w:r>
      <w:r w:rsidRPr="00B42BD0">
        <w:rPr>
          <w:sz w:val="22"/>
          <w:szCs w:val="22"/>
        </w:rPr>
        <w:t xml:space="preserve">(3), 603–608. </w:t>
      </w:r>
      <w:hyperlink r:id="rId13" w:history="1">
        <w:r w:rsidR="008E2C8E" w:rsidRPr="00B42BD0">
          <w:rPr>
            <w:rStyle w:val="Hyperlink"/>
            <w:sz w:val="22"/>
            <w:szCs w:val="22"/>
          </w:rPr>
          <w:t>https://doi.org/10.1093/jme/tjy237</w:t>
        </w:r>
      </w:hyperlink>
    </w:p>
    <w:p w14:paraId="5CE5F99B" w14:textId="72B6411A" w:rsidR="00B417F0" w:rsidRPr="00B42BD0" w:rsidRDefault="00B417F0" w:rsidP="00B417F0">
      <w:pPr>
        <w:pStyle w:val="CitaviBibliographyEntry"/>
        <w:rPr>
          <w:sz w:val="22"/>
          <w:szCs w:val="22"/>
        </w:rPr>
      </w:pPr>
      <w:bookmarkStart w:id="12" w:name="_CTVL001795688d050364bcea340483e9ddf025e"/>
      <w:r w:rsidRPr="00B42BD0">
        <w:rPr>
          <w:sz w:val="22"/>
          <w:szCs w:val="22"/>
        </w:rPr>
        <w:t xml:space="preserve">Lujan, D. A., Greenberg, J. A., Hung, A. S., Dimenna, M. A., &amp; </w:t>
      </w:r>
      <w:proofErr w:type="spellStart"/>
      <w:r w:rsidRPr="00B42BD0">
        <w:rPr>
          <w:sz w:val="22"/>
          <w:szCs w:val="22"/>
        </w:rPr>
        <w:t>Hofkin</w:t>
      </w:r>
      <w:proofErr w:type="spellEnd"/>
      <w:r w:rsidRPr="00B42BD0">
        <w:rPr>
          <w:sz w:val="22"/>
          <w:szCs w:val="22"/>
        </w:rPr>
        <w:t>, B. V. (2014). Evaluation of Seasonal Feeding Patterns of West Nile Virus Vectors in Bernalillo County, New Mexico, United States: Implications for Disease Transmission.</w:t>
      </w:r>
      <w:bookmarkEnd w:id="12"/>
      <w:r w:rsidRPr="00B42BD0">
        <w:rPr>
          <w:sz w:val="22"/>
          <w:szCs w:val="22"/>
        </w:rPr>
        <w:t xml:space="preserve"> </w:t>
      </w:r>
      <w:r w:rsidRPr="00B42BD0">
        <w:rPr>
          <w:i/>
          <w:sz w:val="22"/>
          <w:szCs w:val="22"/>
        </w:rPr>
        <w:t>Journal of Medical Entomology</w:t>
      </w:r>
      <w:r w:rsidRPr="00B42BD0">
        <w:rPr>
          <w:sz w:val="22"/>
          <w:szCs w:val="22"/>
        </w:rPr>
        <w:t xml:space="preserve">, </w:t>
      </w:r>
      <w:r w:rsidRPr="00B42BD0">
        <w:rPr>
          <w:i/>
          <w:sz w:val="22"/>
          <w:szCs w:val="22"/>
        </w:rPr>
        <w:t>51</w:t>
      </w:r>
      <w:r w:rsidRPr="00B42BD0">
        <w:rPr>
          <w:sz w:val="22"/>
          <w:szCs w:val="22"/>
        </w:rPr>
        <w:t xml:space="preserve">(1), 264–268. </w:t>
      </w:r>
      <w:hyperlink r:id="rId14" w:history="1">
        <w:r w:rsidR="008E2C8E" w:rsidRPr="00B42BD0">
          <w:rPr>
            <w:rStyle w:val="Hyperlink"/>
            <w:sz w:val="22"/>
            <w:szCs w:val="22"/>
          </w:rPr>
          <w:t>https://doi.org/10.1603/me13163</w:t>
        </w:r>
      </w:hyperlink>
    </w:p>
    <w:p w14:paraId="2BD95B0E" w14:textId="51D1C5B0" w:rsidR="00B417F0" w:rsidRPr="00B42BD0" w:rsidRDefault="00B417F0" w:rsidP="00B417F0">
      <w:pPr>
        <w:pStyle w:val="CitaviBibliographyEntry"/>
        <w:rPr>
          <w:sz w:val="22"/>
          <w:szCs w:val="22"/>
        </w:rPr>
      </w:pPr>
      <w:bookmarkStart w:id="13" w:name="_CTVL001994e93342d694a6597a9191c4825ccec"/>
      <w:r w:rsidRPr="00B42BD0">
        <w:rPr>
          <w:sz w:val="22"/>
          <w:szCs w:val="22"/>
        </w:rPr>
        <w:t>Molaei, G., Cummings, R. F., Su, T., Armstrong, P. M., Williams, G. A., Cheng, </w:t>
      </w:r>
      <w:proofErr w:type="gramStart"/>
      <w:r w:rsidRPr="00B42BD0">
        <w:rPr>
          <w:sz w:val="22"/>
          <w:szCs w:val="22"/>
        </w:rPr>
        <w:t>M.</w:t>
      </w:r>
      <w:r w:rsidRPr="00B42BD0">
        <w:rPr>
          <w:rFonts w:ascii="Cambria Math" w:hAnsi="Cambria Math" w:cs="Cambria Math"/>
          <w:sz w:val="22"/>
          <w:szCs w:val="22"/>
        </w:rPr>
        <w:t>‑</w:t>
      </w:r>
      <w:proofErr w:type="gramEnd"/>
      <w:r w:rsidRPr="00B42BD0">
        <w:rPr>
          <w:sz w:val="22"/>
          <w:szCs w:val="22"/>
        </w:rPr>
        <w:t>L., Webb,</w:t>
      </w:r>
      <w:r w:rsidRPr="00B42BD0">
        <w:rPr>
          <w:rFonts w:cs="Arial"/>
          <w:sz w:val="22"/>
          <w:szCs w:val="22"/>
        </w:rPr>
        <w:t> </w:t>
      </w:r>
      <w:r w:rsidRPr="00B42BD0">
        <w:rPr>
          <w:sz w:val="22"/>
          <w:szCs w:val="22"/>
        </w:rPr>
        <w:t>J.</w:t>
      </w:r>
      <w:r w:rsidRPr="00B42BD0">
        <w:rPr>
          <w:rFonts w:cs="Arial"/>
          <w:sz w:val="22"/>
          <w:szCs w:val="22"/>
        </w:rPr>
        <w:t> </w:t>
      </w:r>
      <w:r w:rsidRPr="00B42BD0">
        <w:rPr>
          <w:sz w:val="22"/>
          <w:szCs w:val="22"/>
        </w:rPr>
        <w:t>P., &amp; Andreadis,</w:t>
      </w:r>
      <w:r w:rsidRPr="00B42BD0">
        <w:rPr>
          <w:rFonts w:cs="Arial"/>
          <w:sz w:val="22"/>
          <w:szCs w:val="22"/>
        </w:rPr>
        <w:t> </w:t>
      </w:r>
      <w:r w:rsidRPr="00B42BD0">
        <w:rPr>
          <w:sz w:val="22"/>
          <w:szCs w:val="22"/>
        </w:rPr>
        <w:t>T.</w:t>
      </w:r>
      <w:r w:rsidRPr="00B42BD0">
        <w:rPr>
          <w:rFonts w:cs="Arial"/>
          <w:sz w:val="22"/>
          <w:szCs w:val="22"/>
        </w:rPr>
        <w:t> </w:t>
      </w:r>
      <w:r w:rsidRPr="00B42BD0">
        <w:rPr>
          <w:sz w:val="22"/>
          <w:szCs w:val="22"/>
        </w:rPr>
        <w:t>G. (2010). Vector-Host Interactions Governing Epidemiology of West Nile Virus in Southern California.</w:t>
      </w:r>
      <w:bookmarkEnd w:id="13"/>
      <w:r w:rsidRPr="00B42BD0">
        <w:rPr>
          <w:sz w:val="22"/>
          <w:szCs w:val="22"/>
        </w:rPr>
        <w:t xml:space="preserve"> </w:t>
      </w:r>
      <w:r w:rsidRPr="00B42BD0">
        <w:rPr>
          <w:i/>
          <w:sz w:val="22"/>
          <w:szCs w:val="22"/>
        </w:rPr>
        <w:t>The American Journal of Tropical Medicine and Hygiene</w:t>
      </w:r>
      <w:r w:rsidRPr="00B42BD0">
        <w:rPr>
          <w:sz w:val="22"/>
          <w:szCs w:val="22"/>
        </w:rPr>
        <w:t xml:space="preserve">, </w:t>
      </w:r>
      <w:r w:rsidRPr="00B42BD0">
        <w:rPr>
          <w:i/>
          <w:sz w:val="22"/>
          <w:szCs w:val="22"/>
        </w:rPr>
        <w:t>83</w:t>
      </w:r>
      <w:r w:rsidRPr="00B42BD0">
        <w:rPr>
          <w:sz w:val="22"/>
          <w:szCs w:val="22"/>
        </w:rPr>
        <w:t xml:space="preserve">(6), 1269–1282. </w:t>
      </w:r>
      <w:hyperlink r:id="rId15" w:history="1">
        <w:r w:rsidR="008E2C8E" w:rsidRPr="00B42BD0">
          <w:rPr>
            <w:rStyle w:val="Hyperlink"/>
            <w:sz w:val="22"/>
            <w:szCs w:val="22"/>
          </w:rPr>
          <w:t>https://doi.org/10.4269/ajtmh.2010.10-0392</w:t>
        </w:r>
      </w:hyperlink>
    </w:p>
    <w:p w14:paraId="4AACAF43" w14:textId="2EA4659A" w:rsidR="00B417F0" w:rsidRPr="00B42BD0" w:rsidRDefault="00B417F0" w:rsidP="00B417F0">
      <w:pPr>
        <w:pStyle w:val="CitaviBibliographyEntry"/>
        <w:rPr>
          <w:sz w:val="22"/>
          <w:szCs w:val="22"/>
        </w:rPr>
      </w:pPr>
      <w:bookmarkStart w:id="14" w:name="_CTVL0013d37740797564f7eb48ee0583b253047"/>
      <w:proofErr w:type="spellStart"/>
      <w:r w:rsidRPr="00B42BD0">
        <w:rPr>
          <w:sz w:val="22"/>
          <w:szCs w:val="22"/>
        </w:rPr>
        <w:t>Tempelis</w:t>
      </w:r>
      <w:proofErr w:type="spellEnd"/>
      <w:r w:rsidRPr="00B42BD0">
        <w:rPr>
          <w:sz w:val="22"/>
          <w:szCs w:val="22"/>
        </w:rPr>
        <w:t>, C. H., Hayes, R. O., Hess, A. D., &amp; Reeves, W. C. (1970). Blood-Feeding Habits of Four Species of Mosquito Found in Hawaii.</w:t>
      </w:r>
      <w:bookmarkEnd w:id="14"/>
      <w:r w:rsidRPr="00B42BD0">
        <w:rPr>
          <w:sz w:val="22"/>
          <w:szCs w:val="22"/>
        </w:rPr>
        <w:t xml:space="preserve"> </w:t>
      </w:r>
      <w:r w:rsidRPr="00B42BD0">
        <w:rPr>
          <w:i/>
          <w:sz w:val="22"/>
          <w:szCs w:val="22"/>
        </w:rPr>
        <w:t>The American Journal of Tropical Medicine and Hygiene</w:t>
      </w:r>
      <w:r w:rsidRPr="00B42BD0">
        <w:rPr>
          <w:sz w:val="22"/>
          <w:szCs w:val="22"/>
        </w:rPr>
        <w:t xml:space="preserve">, </w:t>
      </w:r>
      <w:r w:rsidRPr="00B42BD0">
        <w:rPr>
          <w:i/>
          <w:sz w:val="22"/>
          <w:szCs w:val="22"/>
        </w:rPr>
        <w:t>19</w:t>
      </w:r>
      <w:r w:rsidRPr="00B42BD0">
        <w:rPr>
          <w:sz w:val="22"/>
          <w:szCs w:val="22"/>
        </w:rPr>
        <w:t xml:space="preserve">(2), 335–341. </w:t>
      </w:r>
      <w:hyperlink r:id="rId16" w:history="1">
        <w:r w:rsidR="008E2C8E" w:rsidRPr="00B42BD0">
          <w:rPr>
            <w:rStyle w:val="Hyperlink"/>
            <w:sz w:val="22"/>
            <w:szCs w:val="22"/>
          </w:rPr>
          <w:t>https://doi.org/10.4269/ajtmh.1970.19.335</w:t>
        </w:r>
      </w:hyperlink>
    </w:p>
    <w:p w14:paraId="4CF26D10" w14:textId="1759A7EC" w:rsidR="00B417F0" w:rsidRPr="00B42BD0" w:rsidRDefault="00B417F0" w:rsidP="00B417F0">
      <w:pPr>
        <w:pStyle w:val="CitaviBibliographyEntry"/>
        <w:rPr>
          <w:sz w:val="22"/>
          <w:szCs w:val="22"/>
        </w:rPr>
      </w:pPr>
      <w:bookmarkStart w:id="15" w:name="_CTVL0011c88658bf5f441819d04c6a8366509b9"/>
      <w:proofErr w:type="spellStart"/>
      <w:r w:rsidRPr="00B42BD0">
        <w:rPr>
          <w:sz w:val="22"/>
          <w:szCs w:val="22"/>
        </w:rPr>
        <w:t>Tempelis</w:t>
      </w:r>
      <w:proofErr w:type="spellEnd"/>
      <w:r w:rsidRPr="00B42BD0">
        <w:rPr>
          <w:sz w:val="22"/>
          <w:szCs w:val="22"/>
        </w:rPr>
        <w:t>, C. H., Reeves, W. C., Bellamy, R. E., &amp; Lofy, M. F. (1965). A Three-Year Study of the Feeding Habits of</w:t>
      </w:r>
      <w:bookmarkEnd w:id="15"/>
      <w:r w:rsidRPr="00B42BD0">
        <w:rPr>
          <w:sz w:val="22"/>
          <w:szCs w:val="22"/>
        </w:rPr>
        <w:t xml:space="preserve"> </w:t>
      </w:r>
      <w:r w:rsidRPr="00B42BD0">
        <w:rPr>
          <w:i/>
          <w:sz w:val="22"/>
          <w:szCs w:val="22"/>
        </w:rPr>
        <w:t xml:space="preserve">Culex tarsalis </w:t>
      </w:r>
      <w:r w:rsidRPr="00B42BD0">
        <w:rPr>
          <w:sz w:val="22"/>
          <w:szCs w:val="22"/>
        </w:rPr>
        <w:t xml:space="preserve">in Kern County, California. </w:t>
      </w:r>
      <w:r w:rsidRPr="00B42BD0">
        <w:rPr>
          <w:i/>
          <w:sz w:val="22"/>
          <w:szCs w:val="22"/>
        </w:rPr>
        <w:t>The American Journal of Tropical Medicine and Hygiene</w:t>
      </w:r>
      <w:r w:rsidRPr="00B42BD0">
        <w:rPr>
          <w:sz w:val="22"/>
          <w:szCs w:val="22"/>
        </w:rPr>
        <w:t xml:space="preserve">, </w:t>
      </w:r>
      <w:r w:rsidRPr="00B42BD0">
        <w:rPr>
          <w:i/>
          <w:sz w:val="22"/>
          <w:szCs w:val="22"/>
        </w:rPr>
        <w:t>14</w:t>
      </w:r>
      <w:r w:rsidRPr="00B42BD0">
        <w:rPr>
          <w:sz w:val="22"/>
          <w:szCs w:val="22"/>
        </w:rPr>
        <w:t xml:space="preserve">, 170–177. </w:t>
      </w:r>
      <w:hyperlink r:id="rId17" w:history="1">
        <w:r w:rsidR="008E2C8E" w:rsidRPr="00B42BD0">
          <w:rPr>
            <w:rStyle w:val="Hyperlink"/>
            <w:sz w:val="22"/>
            <w:szCs w:val="22"/>
          </w:rPr>
          <w:t>https://doi.org/10.4269/ajtmh.1965.14.170</w:t>
        </w:r>
      </w:hyperlink>
    </w:p>
    <w:p w14:paraId="185048C1" w14:textId="7864B0E9" w:rsidR="00B417F0" w:rsidRPr="00B42BD0" w:rsidRDefault="00B417F0" w:rsidP="00B417F0">
      <w:pPr>
        <w:pStyle w:val="CitaviBibliographyEntry"/>
        <w:rPr>
          <w:sz w:val="22"/>
          <w:szCs w:val="22"/>
        </w:rPr>
      </w:pPr>
      <w:bookmarkStart w:id="16" w:name="_CTVL001cbfaa36b301f418198cd70b4dac4b1e6"/>
      <w:proofErr w:type="spellStart"/>
      <w:r w:rsidRPr="00B42BD0">
        <w:rPr>
          <w:sz w:val="22"/>
          <w:szCs w:val="22"/>
        </w:rPr>
        <w:t>Tempelis</w:t>
      </w:r>
      <w:proofErr w:type="spellEnd"/>
      <w:r w:rsidRPr="00B42BD0">
        <w:rPr>
          <w:sz w:val="22"/>
          <w:szCs w:val="22"/>
        </w:rPr>
        <w:t xml:space="preserve">, C. H., &amp; </w:t>
      </w:r>
      <w:proofErr w:type="spellStart"/>
      <w:r w:rsidRPr="00B42BD0">
        <w:rPr>
          <w:sz w:val="22"/>
          <w:szCs w:val="22"/>
        </w:rPr>
        <w:t>Washino</w:t>
      </w:r>
      <w:proofErr w:type="spellEnd"/>
      <w:r w:rsidRPr="00B42BD0">
        <w:rPr>
          <w:sz w:val="22"/>
          <w:szCs w:val="22"/>
        </w:rPr>
        <w:t>, R. K. (1967). Host-Feeding Patterns of</w:t>
      </w:r>
      <w:bookmarkEnd w:id="16"/>
      <w:r w:rsidRPr="00B42BD0">
        <w:rPr>
          <w:sz w:val="22"/>
          <w:szCs w:val="22"/>
        </w:rPr>
        <w:t xml:space="preserve"> </w:t>
      </w:r>
      <w:r w:rsidRPr="00B42BD0">
        <w:rPr>
          <w:i/>
          <w:sz w:val="22"/>
          <w:szCs w:val="22"/>
        </w:rPr>
        <w:t>Culex tarsalis</w:t>
      </w:r>
      <w:r w:rsidRPr="00B42BD0">
        <w:rPr>
          <w:sz w:val="22"/>
          <w:szCs w:val="22"/>
        </w:rPr>
        <w:t xml:space="preserve"> in the Sacramento Valley, California, with Notes on Other Species. </w:t>
      </w:r>
      <w:r w:rsidRPr="00B42BD0">
        <w:rPr>
          <w:i/>
          <w:sz w:val="22"/>
          <w:szCs w:val="22"/>
        </w:rPr>
        <w:t>Journal of Medical Entomology</w:t>
      </w:r>
      <w:r w:rsidRPr="00B42BD0">
        <w:rPr>
          <w:sz w:val="22"/>
          <w:szCs w:val="22"/>
        </w:rPr>
        <w:t xml:space="preserve">, </w:t>
      </w:r>
      <w:r w:rsidRPr="00B42BD0">
        <w:rPr>
          <w:i/>
          <w:sz w:val="22"/>
          <w:szCs w:val="22"/>
        </w:rPr>
        <w:t>4</w:t>
      </w:r>
      <w:r w:rsidRPr="00B42BD0">
        <w:rPr>
          <w:sz w:val="22"/>
          <w:szCs w:val="22"/>
        </w:rPr>
        <w:t xml:space="preserve">(3), 315–318. </w:t>
      </w:r>
      <w:hyperlink r:id="rId18" w:history="1">
        <w:r w:rsidR="008E2C8E" w:rsidRPr="00B42BD0">
          <w:rPr>
            <w:rStyle w:val="Hyperlink"/>
            <w:sz w:val="22"/>
            <w:szCs w:val="22"/>
          </w:rPr>
          <w:t>https://doi.org/10.1093/jmedent/4.3.315</w:t>
        </w:r>
      </w:hyperlink>
    </w:p>
    <w:p w14:paraId="3A3E3B22" w14:textId="17D3B86F" w:rsidR="00BD4B7F" w:rsidRPr="00B42BD0" w:rsidRDefault="00B417F0" w:rsidP="00B417F0">
      <w:pPr>
        <w:pStyle w:val="CitaviBibliographyEntry"/>
        <w:rPr>
          <w:sz w:val="22"/>
          <w:szCs w:val="22"/>
        </w:rPr>
      </w:pPr>
      <w:bookmarkStart w:id="17" w:name="_CTVL001307b1dad4c6546b181efee4c2cd58b09"/>
      <w:r w:rsidRPr="00B42BD0">
        <w:rPr>
          <w:sz w:val="22"/>
          <w:szCs w:val="22"/>
        </w:rPr>
        <w:t>Thiemann, T. C., Wheeler, S. S., Barker, C. M., &amp; Reisen, W. K. (2011). Mosquito Host Selection Varies Seasonally with Host Availability and Mosquito Density.</w:t>
      </w:r>
      <w:bookmarkEnd w:id="17"/>
      <w:r w:rsidRPr="00B42BD0">
        <w:rPr>
          <w:sz w:val="22"/>
          <w:szCs w:val="22"/>
        </w:rPr>
        <w:t xml:space="preserve"> </w:t>
      </w:r>
      <w:proofErr w:type="spellStart"/>
      <w:r w:rsidRPr="00B42BD0">
        <w:rPr>
          <w:i/>
          <w:sz w:val="22"/>
          <w:szCs w:val="22"/>
        </w:rPr>
        <w:t>PLoS</w:t>
      </w:r>
      <w:proofErr w:type="spellEnd"/>
      <w:r w:rsidRPr="00B42BD0">
        <w:rPr>
          <w:i/>
          <w:sz w:val="22"/>
          <w:szCs w:val="22"/>
        </w:rPr>
        <w:t xml:space="preserve"> Neglected Tropical Diseases</w:t>
      </w:r>
      <w:r w:rsidRPr="00B42BD0">
        <w:rPr>
          <w:sz w:val="22"/>
          <w:szCs w:val="22"/>
        </w:rPr>
        <w:t xml:space="preserve">, </w:t>
      </w:r>
      <w:r w:rsidRPr="00B42BD0">
        <w:rPr>
          <w:i/>
          <w:sz w:val="22"/>
          <w:szCs w:val="22"/>
        </w:rPr>
        <w:t>5</w:t>
      </w:r>
      <w:r w:rsidRPr="00B42BD0">
        <w:rPr>
          <w:sz w:val="22"/>
          <w:szCs w:val="22"/>
        </w:rPr>
        <w:t xml:space="preserve">(12), e1452. </w:t>
      </w:r>
      <w:hyperlink r:id="rId19" w:history="1">
        <w:r w:rsidR="008E2C8E" w:rsidRPr="00B42BD0">
          <w:rPr>
            <w:rStyle w:val="Hyperlink"/>
            <w:sz w:val="22"/>
            <w:szCs w:val="22"/>
          </w:rPr>
          <w:t>https://doi.org/10.1371/journal.pntd.0001452</w:t>
        </w:r>
      </w:hyperlink>
    </w:p>
    <w:bookmarkEnd w:id="5"/>
    <w:p w14:paraId="36135997" w14:textId="77777777" w:rsidR="00BD4B7F" w:rsidRDefault="00BD4B7F" w:rsidP="00BD4B7F"/>
    <w:sectPr w:rsidR="00BD4B7F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32341" w14:textId="77777777" w:rsidR="00510432" w:rsidRDefault="00510432" w:rsidP="00CC030D">
      <w:r>
        <w:separator/>
      </w:r>
    </w:p>
  </w:endnote>
  <w:endnote w:type="continuationSeparator" w:id="0">
    <w:p w14:paraId="2A729658" w14:textId="77777777" w:rsidR="00510432" w:rsidRDefault="00510432" w:rsidP="00CC0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15397" w14:textId="77777777" w:rsidR="00CC030D" w:rsidRDefault="00CC03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704117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681556" w14:textId="5A32777B" w:rsidR="00CC030D" w:rsidRDefault="00CC030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9FC973" w14:textId="77777777" w:rsidR="00CC030D" w:rsidRDefault="00CC030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6834E" w14:textId="77777777" w:rsidR="00CC030D" w:rsidRDefault="00CC03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B1C935" w14:textId="77777777" w:rsidR="00510432" w:rsidRDefault="00510432" w:rsidP="00CC030D">
      <w:r>
        <w:separator/>
      </w:r>
    </w:p>
  </w:footnote>
  <w:footnote w:type="continuationSeparator" w:id="0">
    <w:p w14:paraId="447D1441" w14:textId="77777777" w:rsidR="00510432" w:rsidRDefault="00510432" w:rsidP="00CC03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76A1A" w14:textId="77777777" w:rsidR="00CC030D" w:rsidRDefault="00CC03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1F6A8" w14:textId="228EF052" w:rsidR="00CC030D" w:rsidRDefault="00CC030D">
    <w:pPr>
      <w:pStyle w:val="Header"/>
    </w:pPr>
    <w:r>
      <w:t xml:space="preserve">Vector Potential Index: Supplementary </w:t>
    </w:r>
    <w:r w:rsidR="00C35761">
      <w:t>Information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C399C" w14:textId="77777777" w:rsidR="00CC030D" w:rsidRDefault="00CC030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EA4"/>
    <w:rsid w:val="00033EA4"/>
    <w:rsid w:val="000A5B4F"/>
    <w:rsid w:val="00141A13"/>
    <w:rsid w:val="00246496"/>
    <w:rsid w:val="00272C32"/>
    <w:rsid w:val="002B5609"/>
    <w:rsid w:val="002C3EB6"/>
    <w:rsid w:val="00413A82"/>
    <w:rsid w:val="004454AF"/>
    <w:rsid w:val="00510432"/>
    <w:rsid w:val="00583157"/>
    <w:rsid w:val="0066427D"/>
    <w:rsid w:val="0066781F"/>
    <w:rsid w:val="00691E3C"/>
    <w:rsid w:val="007A19E3"/>
    <w:rsid w:val="007B38A0"/>
    <w:rsid w:val="00871BA0"/>
    <w:rsid w:val="008C3813"/>
    <w:rsid w:val="008D461A"/>
    <w:rsid w:val="008E02C7"/>
    <w:rsid w:val="008E2C8E"/>
    <w:rsid w:val="00B12882"/>
    <w:rsid w:val="00B417F0"/>
    <w:rsid w:val="00B42BD0"/>
    <w:rsid w:val="00B63A10"/>
    <w:rsid w:val="00BD4B7F"/>
    <w:rsid w:val="00C35761"/>
    <w:rsid w:val="00CC030D"/>
    <w:rsid w:val="00E073FE"/>
    <w:rsid w:val="00EA0B3C"/>
    <w:rsid w:val="00EA7B72"/>
    <w:rsid w:val="00F92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BB90F"/>
  <w15:chartTrackingRefBased/>
  <w15:docId w15:val="{A0853A86-2D62-4A7B-A4E2-159AAE2D2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EA4"/>
    <w:pPr>
      <w:spacing w:after="0" w:line="240" w:lineRule="auto"/>
    </w:pPr>
    <w:rPr>
      <w:rFonts w:ascii="Arial" w:eastAsia="Times New Roman" w:hAnsi="Arial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3EA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EA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EA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EA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EA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EA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3EA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EA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EA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E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E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E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E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E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E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3E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E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E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E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3E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EA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3E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EA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3E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EA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3E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E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E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EA4"/>
    <w:rPr>
      <w:b/>
      <w:bCs/>
      <w:smallCaps/>
      <w:color w:val="0F4761" w:themeColor="accent1" w:themeShade="BF"/>
      <w:spacing w:val="5"/>
    </w:rPr>
  </w:style>
  <w:style w:type="paragraph" w:customStyle="1" w:styleId="013TableCaption">
    <w:name w:val="013 Table Caption"/>
    <w:basedOn w:val="Normal"/>
    <w:next w:val="Normal"/>
    <w:qFormat/>
    <w:rsid w:val="00033EA4"/>
    <w:pPr>
      <w:keepNext/>
      <w:ind w:left="1080" w:hanging="1080"/>
    </w:pPr>
  </w:style>
  <w:style w:type="paragraph" w:customStyle="1" w:styleId="006BodyText">
    <w:name w:val="006 Body Text"/>
    <w:basedOn w:val="Normal"/>
    <w:link w:val="006BodyTextChar"/>
    <w:qFormat/>
    <w:rsid w:val="00033EA4"/>
    <w:pPr>
      <w:spacing w:line="480" w:lineRule="auto"/>
      <w:ind w:firstLine="720"/>
    </w:pPr>
    <w:rPr>
      <w:rFonts w:eastAsia="Calibri" w:cs="Arial"/>
    </w:rPr>
  </w:style>
  <w:style w:type="character" w:customStyle="1" w:styleId="006BodyTextChar">
    <w:name w:val="006 Body Text Char"/>
    <w:basedOn w:val="DefaultParagraphFont"/>
    <w:link w:val="006BodyText"/>
    <w:rsid w:val="00033EA4"/>
    <w:rPr>
      <w:rFonts w:ascii="Arial" w:eastAsia="Calibri" w:hAnsi="Arial" w:cs="Arial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33EA4"/>
  </w:style>
  <w:style w:type="character" w:styleId="Hyperlink">
    <w:name w:val="Hyperlink"/>
    <w:basedOn w:val="DefaultParagraphFont"/>
    <w:uiPriority w:val="99"/>
    <w:unhideWhenUsed/>
    <w:rsid w:val="00246496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246496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D4B7F"/>
    <w:rPr>
      <w:color w:val="666666"/>
    </w:rPr>
  </w:style>
  <w:style w:type="paragraph" w:customStyle="1" w:styleId="CitaviBibliographyEntry">
    <w:name w:val="Citavi Bibliography Entry"/>
    <w:basedOn w:val="Normal"/>
    <w:link w:val="CitaviBibliographyEntryChar"/>
    <w:uiPriority w:val="99"/>
    <w:rsid w:val="00BD4B7F"/>
    <w:pPr>
      <w:tabs>
        <w:tab w:val="left" w:pos="283"/>
      </w:tabs>
      <w:spacing w:after="60"/>
      <w:ind w:left="283" w:hanging="283"/>
    </w:pPr>
  </w:style>
  <w:style w:type="character" w:customStyle="1" w:styleId="CitaviBibliographyEntryChar">
    <w:name w:val="Citavi Bibliography Entry Char"/>
    <w:basedOn w:val="DefaultParagraphFont"/>
    <w:link w:val="CitaviBibliographyEntry"/>
    <w:uiPriority w:val="99"/>
    <w:rsid w:val="00BD4B7F"/>
    <w:rPr>
      <w:rFonts w:ascii="Arial" w:eastAsia="Times New Roman" w:hAnsi="Arial" w:cs="Times New Roman"/>
      <w:kern w:val="0"/>
      <w14:ligatures w14:val="none"/>
    </w:rPr>
  </w:style>
  <w:style w:type="paragraph" w:customStyle="1" w:styleId="CitaviBibliographyHeading">
    <w:name w:val="Citavi Bibliography Heading"/>
    <w:basedOn w:val="Heading1"/>
    <w:link w:val="CitaviBibliographyHeadingChar"/>
    <w:uiPriority w:val="99"/>
    <w:rsid w:val="00BD4B7F"/>
  </w:style>
  <w:style w:type="character" w:customStyle="1" w:styleId="CitaviBibliographyHeadingChar">
    <w:name w:val="Citavi Bibliography Heading Char"/>
    <w:basedOn w:val="DefaultParagraphFont"/>
    <w:link w:val="CitaviBibliographyHeading"/>
    <w:uiPriority w:val="99"/>
    <w:rsid w:val="00BD4B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customStyle="1" w:styleId="CitaviChapterBibliographyHeading">
    <w:name w:val="Citavi Chapter Bibliography Heading"/>
    <w:basedOn w:val="Heading2"/>
    <w:link w:val="CitaviChapterBibliographyHeadingChar"/>
    <w:uiPriority w:val="99"/>
    <w:rsid w:val="00BD4B7F"/>
  </w:style>
  <w:style w:type="character" w:customStyle="1" w:styleId="CitaviChapterBibliographyHeadingChar">
    <w:name w:val="Citavi Chapter Bibliography Heading Char"/>
    <w:basedOn w:val="DefaultParagraphFont"/>
    <w:link w:val="CitaviChapterBibliographyHeading"/>
    <w:uiPriority w:val="99"/>
    <w:rsid w:val="00BD4B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customStyle="1" w:styleId="CitaviBibliographySubheading1">
    <w:name w:val="Citavi Bibliography Subheading 1"/>
    <w:basedOn w:val="Heading2"/>
    <w:link w:val="CitaviBibliographySubheading1Char"/>
    <w:uiPriority w:val="99"/>
    <w:rsid w:val="00BD4B7F"/>
    <w:pPr>
      <w:outlineLvl w:val="9"/>
    </w:pPr>
  </w:style>
  <w:style w:type="character" w:customStyle="1" w:styleId="CitaviBibliographySubheading1Char">
    <w:name w:val="Citavi Bibliography Subheading 1 Char"/>
    <w:basedOn w:val="DefaultParagraphFont"/>
    <w:link w:val="CitaviBibliographySubheading1"/>
    <w:uiPriority w:val="99"/>
    <w:rsid w:val="00BD4B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customStyle="1" w:styleId="CitaviBibliographySubheading2">
    <w:name w:val="Citavi Bibliography Subheading 2"/>
    <w:basedOn w:val="Heading3"/>
    <w:link w:val="CitaviBibliographySubheading2Char"/>
    <w:uiPriority w:val="99"/>
    <w:rsid w:val="00BD4B7F"/>
    <w:pPr>
      <w:outlineLvl w:val="9"/>
    </w:pPr>
  </w:style>
  <w:style w:type="character" w:customStyle="1" w:styleId="CitaviBibliographySubheading2Char">
    <w:name w:val="Citavi Bibliography Subheading 2 Char"/>
    <w:basedOn w:val="DefaultParagraphFont"/>
    <w:link w:val="CitaviBibliographySubheading2"/>
    <w:uiPriority w:val="99"/>
    <w:rsid w:val="00BD4B7F"/>
    <w:rPr>
      <w:rFonts w:eastAsiaTheme="majorEastAsia" w:cstheme="majorBidi"/>
      <w:color w:val="0F4761" w:themeColor="accent1" w:themeShade="BF"/>
      <w:sz w:val="28"/>
      <w:szCs w:val="28"/>
    </w:rPr>
  </w:style>
  <w:style w:type="paragraph" w:customStyle="1" w:styleId="CitaviBibliographySubheading3">
    <w:name w:val="Citavi Bibliography Subheading 3"/>
    <w:basedOn w:val="Heading4"/>
    <w:link w:val="CitaviBibliographySubheading3Char"/>
    <w:uiPriority w:val="99"/>
    <w:rsid w:val="00BD4B7F"/>
    <w:pPr>
      <w:outlineLvl w:val="9"/>
    </w:pPr>
  </w:style>
  <w:style w:type="character" w:customStyle="1" w:styleId="CitaviBibliographySubheading3Char">
    <w:name w:val="Citavi Bibliography Subheading 3 Char"/>
    <w:basedOn w:val="DefaultParagraphFont"/>
    <w:link w:val="CitaviBibliographySubheading3"/>
    <w:uiPriority w:val="99"/>
    <w:rsid w:val="00BD4B7F"/>
    <w:rPr>
      <w:rFonts w:eastAsiaTheme="majorEastAsia" w:cstheme="majorBidi"/>
      <w:i/>
      <w:iCs/>
      <w:color w:val="0F4761" w:themeColor="accent1" w:themeShade="BF"/>
    </w:rPr>
  </w:style>
  <w:style w:type="paragraph" w:customStyle="1" w:styleId="CitaviBibliographySubheading4">
    <w:name w:val="Citavi Bibliography Subheading 4"/>
    <w:basedOn w:val="Heading5"/>
    <w:link w:val="CitaviBibliographySubheading4Char"/>
    <w:uiPriority w:val="99"/>
    <w:rsid w:val="00BD4B7F"/>
    <w:pPr>
      <w:outlineLvl w:val="9"/>
    </w:pPr>
  </w:style>
  <w:style w:type="character" w:customStyle="1" w:styleId="CitaviBibliographySubheading4Char">
    <w:name w:val="Citavi Bibliography Subheading 4 Char"/>
    <w:basedOn w:val="DefaultParagraphFont"/>
    <w:link w:val="CitaviBibliographySubheading4"/>
    <w:uiPriority w:val="99"/>
    <w:rsid w:val="00BD4B7F"/>
    <w:rPr>
      <w:rFonts w:eastAsiaTheme="majorEastAsia" w:cstheme="majorBidi"/>
      <w:color w:val="0F4761" w:themeColor="accent1" w:themeShade="BF"/>
    </w:rPr>
  </w:style>
  <w:style w:type="paragraph" w:customStyle="1" w:styleId="CitaviBibliographySubheading5">
    <w:name w:val="Citavi Bibliography Subheading 5"/>
    <w:basedOn w:val="Heading6"/>
    <w:link w:val="CitaviBibliographySubheading5Char"/>
    <w:uiPriority w:val="99"/>
    <w:rsid w:val="00BD4B7F"/>
    <w:pPr>
      <w:outlineLvl w:val="9"/>
    </w:pPr>
  </w:style>
  <w:style w:type="character" w:customStyle="1" w:styleId="CitaviBibliographySubheading5Char">
    <w:name w:val="Citavi Bibliography Subheading 5 Char"/>
    <w:basedOn w:val="DefaultParagraphFont"/>
    <w:link w:val="CitaviBibliographySubheading5"/>
    <w:uiPriority w:val="99"/>
    <w:rsid w:val="00BD4B7F"/>
    <w:rPr>
      <w:rFonts w:eastAsiaTheme="majorEastAsia" w:cstheme="majorBidi"/>
      <w:i/>
      <w:iCs/>
      <w:color w:val="595959" w:themeColor="text1" w:themeTint="A6"/>
    </w:rPr>
  </w:style>
  <w:style w:type="paragraph" w:customStyle="1" w:styleId="CitaviBibliographySubheading6">
    <w:name w:val="Citavi Bibliography Subheading 6"/>
    <w:basedOn w:val="Heading7"/>
    <w:link w:val="CitaviBibliographySubheading6Char"/>
    <w:uiPriority w:val="99"/>
    <w:rsid w:val="00BD4B7F"/>
    <w:pPr>
      <w:outlineLvl w:val="9"/>
    </w:pPr>
  </w:style>
  <w:style w:type="character" w:customStyle="1" w:styleId="CitaviBibliographySubheading6Char">
    <w:name w:val="Citavi Bibliography Subheading 6 Char"/>
    <w:basedOn w:val="DefaultParagraphFont"/>
    <w:link w:val="CitaviBibliographySubheading6"/>
    <w:uiPriority w:val="99"/>
    <w:rsid w:val="00BD4B7F"/>
    <w:rPr>
      <w:rFonts w:eastAsiaTheme="majorEastAsia" w:cstheme="majorBidi"/>
      <w:color w:val="595959" w:themeColor="text1" w:themeTint="A6"/>
    </w:rPr>
  </w:style>
  <w:style w:type="paragraph" w:customStyle="1" w:styleId="CitaviBibliographySubheading7">
    <w:name w:val="Citavi Bibliography Subheading 7"/>
    <w:basedOn w:val="Heading8"/>
    <w:link w:val="CitaviBibliographySubheading7Char"/>
    <w:uiPriority w:val="99"/>
    <w:rsid w:val="00BD4B7F"/>
    <w:pPr>
      <w:outlineLvl w:val="9"/>
    </w:pPr>
  </w:style>
  <w:style w:type="character" w:customStyle="1" w:styleId="CitaviBibliographySubheading7Char">
    <w:name w:val="Citavi Bibliography Subheading 7 Char"/>
    <w:basedOn w:val="DefaultParagraphFont"/>
    <w:link w:val="CitaviBibliographySubheading7"/>
    <w:uiPriority w:val="99"/>
    <w:rsid w:val="00BD4B7F"/>
    <w:rPr>
      <w:rFonts w:eastAsiaTheme="majorEastAsia" w:cstheme="majorBidi"/>
      <w:i/>
      <w:iCs/>
      <w:color w:val="272727" w:themeColor="text1" w:themeTint="D8"/>
    </w:rPr>
  </w:style>
  <w:style w:type="paragraph" w:customStyle="1" w:styleId="CitaviBibliographySubheading8">
    <w:name w:val="Citavi Bibliography Subheading 8"/>
    <w:basedOn w:val="Heading9"/>
    <w:link w:val="CitaviBibliographySubheading8Char"/>
    <w:uiPriority w:val="99"/>
    <w:rsid w:val="00BD4B7F"/>
    <w:pPr>
      <w:outlineLvl w:val="9"/>
    </w:pPr>
  </w:style>
  <w:style w:type="character" w:customStyle="1" w:styleId="CitaviBibliographySubheading8Char">
    <w:name w:val="Citavi Bibliography Subheading 8 Char"/>
    <w:basedOn w:val="DefaultParagraphFont"/>
    <w:link w:val="CitaviBibliographySubheading8"/>
    <w:uiPriority w:val="99"/>
    <w:rsid w:val="00BD4B7F"/>
    <w:rPr>
      <w:rFonts w:eastAsiaTheme="majorEastAsia" w:cstheme="majorBidi"/>
      <w:color w:val="272727" w:themeColor="text1" w:themeTint="D8"/>
    </w:rPr>
  </w:style>
  <w:style w:type="character" w:styleId="UnresolvedMention">
    <w:name w:val="Unresolved Mention"/>
    <w:basedOn w:val="DefaultParagraphFont"/>
    <w:uiPriority w:val="99"/>
    <w:semiHidden/>
    <w:unhideWhenUsed/>
    <w:rsid w:val="008E2C8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C030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030D"/>
    <w:rPr>
      <w:rFonts w:ascii="Arial" w:eastAsia="Times New Roman" w:hAnsi="Arial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C030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030D"/>
    <w:rPr>
      <w:rFonts w:ascii="Arial" w:eastAsia="Times New Roman" w:hAnsi="Arial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85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c.org" TargetMode="External"/><Relationship Id="rId13" Type="http://schemas.openxmlformats.org/officeDocument/2006/relationships/hyperlink" Target="https://doi.org/10.1093/jme/tjy237" TargetMode="External"/><Relationship Id="rId18" Type="http://schemas.openxmlformats.org/officeDocument/2006/relationships/hyperlink" Target="https://doi.org/10.1093/jmedent/4.3.315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hyperlink" Target="https://doi.org/10.1093/jme/tjac077" TargetMode="External"/><Relationship Id="rId17" Type="http://schemas.openxmlformats.org/officeDocument/2006/relationships/hyperlink" Target="https://doi.org/10.4269/ajtmh.1965.14.170" TargetMode="External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https://doi.org/10.4269/ajtmh.1970.19.335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doi.org/10.1673/031.013.7501" TargetMode="External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doi.org/10.4269/ajtmh.2010.10-0392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doi.org/10.1603/ME13089" TargetMode="External"/><Relationship Id="rId19" Type="http://schemas.openxmlformats.org/officeDocument/2006/relationships/hyperlink" Target="https://doi.org/10.1371/journal.pntd.00014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89/153036604773083013" TargetMode="External"/><Relationship Id="rId14" Type="http://schemas.openxmlformats.org/officeDocument/2006/relationships/hyperlink" Target="https://doi.org/10.1603/me13163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D9FAD-56F7-4676-8BE1-E3DBD0E57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5</Pages>
  <Words>1166</Words>
  <Characters>6648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Bauer, Amely</dc:creator>
  <cp:keywords/>
  <dc:description/>
  <cp:lastModifiedBy>Bauer, Amely</cp:lastModifiedBy>
  <cp:revision>7</cp:revision>
  <dcterms:created xsi:type="dcterms:W3CDTF">2025-01-29T17:22:00Z</dcterms:created>
  <dcterms:modified xsi:type="dcterms:W3CDTF">2025-01-29T23:36:00Z</dcterms:modified>
</cp:coreProperties>
</file>